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4D28" w14:textId="0DB84528"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Il </w:t>
      </w:r>
      <w:hyperlink r:id="rId5" w:tgtFrame="_blank" w:history="1">
        <w:r w:rsidRPr="0002000C">
          <w:rPr>
            <w:rFonts w:ascii="Arial" w:eastAsia="Times New Roman" w:hAnsi="Arial" w:cs="Times New Roman"/>
            <w:b/>
            <w:bCs/>
            <w:color w:val="005CA9"/>
            <w:sz w:val="27"/>
            <w:szCs w:val="27"/>
            <w:u w:val="single"/>
            <w:lang w:eastAsia="it-IT"/>
          </w:rPr>
          <w:t>Decreto legge 19 febbraio 2026, n. 19</w:t>
        </w:r>
      </w:hyperlink>
      <w:r w:rsidRPr="0002000C">
        <w:rPr>
          <w:rFonts w:ascii="Arial" w:eastAsia="Times New Roman" w:hAnsi="Arial" w:cs="Times New Roman"/>
          <w:b/>
          <w:bCs/>
          <w:color w:val="000000"/>
          <w:sz w:val="27"/>
          <w:szCs w:val="27"/>
          <w:lang w:eastAsia="it-IT"/>
        </w:rPr>
        <w:t>, in vigore dal 20 febbraio 2026 e attualmente in attesa di conversione,</w:t>
      </w:r>
      <w:r w:rsidRPr="0002000C">
        <w:rPr>
          <w:rFonts w:ascii="Arial" w:eastAsia="Times New Roman" w:hAnsi="Arial" w:cs="Times New Roman"/>
          <w:color w:val="000000"/>
          <w:sz w:val="27"/>
          <w:szCs w:val="27"/>
          <w:lang w:eastAsia="it-IT"/>
        </w:rPr>
        <w:t> introduce </w:t>
      </w:r>
      <w:r w:rsidRPr="0002000C">
        <w:rPr>
          <w:rFonts w:ascii="Arial" w:eastAsia="Times New Roman" w:hAnsi="Arial" w:cs="Times New Roman"/>
          <w:b/>
          <w:bCs/>
          <w:color w:val="000000"/>
          <w:sz w:val="27"/>
          <w:szCs w:val="27"/>
          <w:lang w:eastAsia="it-IT"/>
        </w:rPr>
        <w:t>importanti misure di semplificazione per le microimprese</w:t>
      </w:r>
      <w:r w:rsidRPr="0002000C">
        <w:rPr>
          <w:rFonts w:ascii="Arial" w:eastAsia="Times New Roman" w:hAnsi="Arial" w:cs="Times New Roman"/>
          <w:color w:val="000000"/>
          <w:sz w:val="27"/>
          <w:szCs w:val="27"/>
          <w:lang w:eastAsia="it-IT"/>
        </w:rPr>
        <w:t>. Tra queste, l’art. 12, commi 3 e 4, interviene sulla normativa di settore relativa alle attività di acconciatore ed estetista, con l’obiettivo di garantire la continuità dell’attività in caso di assenza temporanea del responsabile tecnico, evitando sospensioni immediate dell’esercizio e conseguenti danni economici per le imprese.</w:t>
      </w:r>
    </w:p>
    <w:p w14:paraId="29EAE407" w14:textId="77777777" w:rsidR="0002000C" w:rsidRPr="0002000C" w:rsidRDefault="0002000C" w:rsidP="0002000C">
      <w:pPr>
        <w:shd w:val="clear" w:color="auto" w:fill="FFFFFF"/>
        <w:spacing w:after="100" w:afterAutospacing="1" w:line="240" w:lineRule="auto"/>
        <w:jc w:val="both"/>
        <w:outlineLvl w:val="3"/>
        <w:rPr>
          <w:rFonts w:ascii="Arial" w:eastAsia="Times New Roman" w:hAnsi="Arial" w:cs="Times New Roman"/>
          <w:b/>
          <w:bCs/>
          <w:color w:val="000000"/>
          <w:sz w:val="24"/>
          <w:szCs w:val="24"/>
          <w:lang w:eastAsia="it-IT"/>
        </w:rPr>
      </w:pPr>
      <w:r w:rsidRPr="0002000C">
        <w:rPr>
          <w:rFonts w:ascii="Arial" w:eastAsia="Times New Roman" w:hAnsi="Arial" w:cs="Times New Roman"/>
          <w:b/>
          <w:bCs/>
          <w:color w:val="000000"/>
          <w:sz w:val="24"/>
          <w:szCs w:val="24"/>
          <w:lang w:eastAsia="it-IT"/>
        </w:rPr>
        <w:t>Le novità introdotte</w:t>
      </w:r>
    </w:p>
    <w:p w14:paraId="333ABAFC"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Il decreto modifica:</w:t>
      </w:r>
    </w:p>
    <w:p w14:paraId="6F24123C" w14:textId="77777777" w:rsidR="0002000C" w:rsidRPr="0002000C" w:rsidRDefault="0002000C" w:rsidP="0002000C">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l’art. 3, comma 01, della Legge n. 1/1990 (estetisti);</w:t>
      </w:r>
    </w:p>
    <w:p w14:paraId="55DC8CF2" w14:textId="77777777" w:rsidR="0002000C" w:rsidRPr="0002000C" w:rsidRDefault="0002000C" w:rsidP="0002000C">
      <w:pPr>
        <w:numPr>
          <w:ilvl w:val="0"/>
          <w:numId w:val="1"/>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l’art. 3, comma 5 bis, della Legge n. 174/2005 (acconciatori),</w:t>
      </w:r>
    </w:p>
    <w:p w14:paraId="0917F137"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prevedendo la </w:t>
      </w:r>
      <w:r w:rsidRPr="0002000C">
        <w:rPr>
          <w:rFonts w:ascii="Arial" w:eastAsia="Times New Roman" w:hAnsi="Arial" w:cs="Times New Roman"/>
          <w:b/>
          <w:bCs/>
          <w:color w:val="000000"/>
          <w:sz w:val="27"/>
          <w:szCs w:val="27"/>
          <w:lang w:eastAsia="it-IT"/>
        </w:rPr>
        <w:t>possibilità per l’impresa di nominare un responsabile tecnico temporaneo in caso di assenza del titolare dell’incarico.</w:t>
      </w:r>
    </w:p>
    <w:p w14:paraId="768D8186" w14:textId="77777777" w:rsidR="0002000C" w:rsidRPr="0002000C" w:rsidRDefault="0002000C" w:rsidP="0002000C">
      <w:pPr>
        <w:shd w:val="clear" w:color="auto" w:fill="FFFFFF"/>
        <w:spacing w:after="100" w:afterAutospacing="1" w:line="240" w:lineRule="auto"/>
        <w:jc w:val="both"/>
        <w:outlineLvl w:val="3"/>
        <w:rPr>
          <w:rFonts w:ascii="Arial" w:eastAsia="Times New Roman" w:hAnsi="Arial" w:cs="Times New Roman"/>
          <w:b/>
          <w:bCs/>
          <w:color w:val="000000"/>
          <w:sz w:val="24"/>
          <w:szCs w:val="24"/>
          <w:lang w:eastAsia="it-IT"/>
        </w:rPr>
      </w:pPr>
      <w:r w:rsidRPr="0002000C">
        <w:rPr>
          <w:rFonts w:ascii="Arial" w:eastAsia="Times New Roman" w:hAnsi="Arial" w:cs="Times New Roman"/>
          <w:b/>
          <w:bCs/>
          <w:color w:val="000000"/>
          <w:sz w:val="24"/>
          <w:szCs w:val="24"/>
          <w:lang w:eastAsia="it-IT"/>
        </w:rPr>
        <w:t>Chi può essere nominato responsabile tecnico temporaneo</w:t>
      </w:r>
    </w:p>
    <w:p w14:paraId="2DAEFAE0"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L’impresa può indicare come responsabile tecnico temporaneo:</w:t>
      </w:r>
    </w:p>
    <w:p w14:paraId="2CDB2D55" w14:textId="77777777" w:rsidR="0002000C" w:rsidRPr="0002000C" w:rsidRDefault="0002000C" w:rsidP="0002000C">
      <w:pPr>
        <w:numPr>
          <w:ilvl w:val="0"/>
          <w:numId w:val="2"/>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un </w:t>
      </w:r>
      <w:r w:rsidRPr="0002000C">
        <w:rPr>
          <w:rFonts w:ascii="Arial" w:eastAsia="Times New Roman" w:hAnsi="Arial" w:cs="Times New Roman"/>
          <w:b/>
          <w:bCs/>
          <w:color w:val="000000"/>
          <w:sz w:val="27"/>
          <w:szCs w:val="27"/>
          <w:lang w:eastAsia="it-IT"/>
        </w:rPr>
        <w:t>dipendente</w:t>
      </w:r>
      <w:r w:rsidRPr="0002000C">
        <w:rPr>
          <w:rFonts w:ascii="Arial" w:eastAsia="Times New Roman" w:hAnsi="Arial" w:cs="Times New Roman"/>
          <w:color w:val="000000"/>
          <w:sz w:val="27"/>
          <w:szCs w:val="27"/>
          <w:lang w:eastAsia="it-IT"/>
        </w:rPr>
        <w:t>;</w:t>
      </w:r>
    </w:p>
    <w:p w14:paraId="6F66D411" w14:textId="77777777" w:rsidR="0002000C" w:rsidRPr="0002000C" w:rsidRDefault="0002000C" w:rsidP="0002000C">
      <w:pPr>
        <w:numPr>
          <w:ilvl w:val="0"/>
          <w:numId w:val="2"/>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un </w:t>
      </w:r>
      <w:r w:rsidRPr="0002000C">
        <w:rPr>
          <w:rFonts w:ascii="Arial" w:eastAsia="Times New Roman" w:hAnsi="Arial" w:cs="Times New Roman"/>
          <w:b/>
          <w:bCs/>
          <w:color w:val="000000"/>
          <w:sz w:val="27"/>
          <w:szCs w:val="27"/>
          <w:lang w:eastAsia="it-IT"/>
        </w:rPr>
        <w:t>familiare coadiuvante</w:t>
      </w:r>
      <w:r w:rsidRPr="0002000C">
        <w:rPr>
          <w:rFonts w:ascii="Arial" w:eastAsia="Times New Roman" w:hAnsi="Arial" w:cs="Times New Roman"/>
          <w:color w:val="000000"/>
          <w:sz w:val="27"/>
          <w:szCs w:val="27"/>
          <w:lang w:eastAsia="it-IT"/>
        </w:rPr>
        <w:t>;</w:t>
      </w:r>
    </w:p>
    <w:p w14:paraId="56E2873C" w14:textId="77777777" w:rsidR="0002000C" w:rsidRPr="0002000C" w:rsidRDefault="0002000C" w:rsidP="0002000C">
      <w:pPr>
        <w:numPr>
          <w:ilvl w:val="0"/>
          <w:numId w:val="2"/>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un </w:t>
      </w:r>
      <w:r w:rsidRPr="0002000C">
        <w:rPr>
          <w:rFonts w:ascii="Arial" w:eastAsia="Times New Roman" w:hAnsi="Arial" w:cs="Times New Roman"/>
          <w:b/>
          <w:bCs/>
          <w:color w:val="000000"/>
          <w:sz w:val="27"/>
          <w:szCs w:val="27"/>
          <w:lang w:eastAsia="it-IT"/>
        </w:rPr>
        <w:t>collaboratore</w:t>
      </w:r>
      <w:r w:rsidRPr="0002000C">
        <w:rPr>
          <w:rFonts w:ascii="Arial" w:eastAsia="Times New Roman" w:hAnsi="Arial" w:cs="Times New Roman"/>
          <w:color w:val="000000"/>
          <w:sz w:val="27"/>
          <w:szCs w:val="27"/>
          <w:lang w:eastAsia="it-IT"/>
        </w:rPr>
        <w:t>,</w:t>
      </w:r>
    </w:p>
    <w:p w14:paraId="4B6AFAC3"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b/>
          <w:bCs/>
          <w:color w:val="000000"/>
          <w:sz w:val="27"/>
          <w:szCs w:val="27"/>
          <w:lang w:eastAsia="it-IT"/>
        </w:rPr>
        <w:t>purché in possesso di un’esperienza professionale nel settore di riferimento non inferiore a tre anni.</w:t>
      </w:r>
      <w:r w:rsidRPr="0002000C">
        <w:rPr>
          <w:rFonts w:ascii="Arial" w:eastAsia="Times New Roman" w:hAnsi="Arial" w:cs="Times New Roman"/>
          <w:color w:val="000000"/>
          <w:sz w:val="27"/>
          <w:szCs w:val="27"/>
          <w:lang w:eastAsia="it-IT"/>
        </w:rPr>
        <w:t> In assenza di ulteriori chiarimenti normativi, il termine «collaboratore» deve essere inteso in senso sostanziale: non un soggetto esterno o occasionale, ma una persona già inserita nell’organizzazione dell’impresa e coinvolta nello svolgimento dell’attività (ad esempio socio lavoratore o altra figura operativa stabile).</w:t>
      </w:r>
    </w:p>
    <w:p w14:paraId="6222EF3E"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Requisiti professionali: il decreto introduce una rilevante semplificazione:</w:t>
      </w:r>
      <w:r w:rsidRPr="0002000C">
        <w:rPr>
          <w:rFonts w:ascii="Arial" w:eastAsia="Times New Roman" w:hAnsi="Arial" w:cs="Times New Roman"/>
          <w:color w:val="000000"/>
          <w:sz w:val="27"/>
          <w:szCs w:val="27"/>
          <w:lang w:eastAsia="it-IT"/>
        </w:rPr>
        <w:br/>
        <w:t>il responsabile tecnico temporaneo può essere individuato tra i soggetti sopra indicati in possesso della sola qualifica professionale (corso regionale biennale) e di almeno tre anni di esperienza nel settore. </w:t>
      </w:r>
      <w:r w:rsidRPr="0002000C">
        <w:rPr>
          <w:rFonts w:ascii="Arial" w:eastAsia="Times New Roman" w:hAnsi="Arial" w:cs="Times New Roman"/>
          <w:b/>
          <w:bCs/>
          <w:color w:val="000000"/>
          <w:sz w:val="27"/>
          <w:szCs w:val="27"/>
          <w:lang w:eastAsia="it-IT"/>
        </w:rPr>
        <w:t>Non è quindi richiesta l’abilitazione completa normalmente necessaria per la nomina del responsabile tecnico.</w:t>
      </w:r>
    </w:p>
    <w:p w14:paraId="714106A5" w14:textId="77777777" w:rsidR="0002000C" w:rsidRPr="0002000C" w:rsidRDefault="0002000C" w:rsidP="0002000C">
      <w:pPr>
        <w:shd w:val="clear" w:color="auto" w:fill="FFFFFF"/>
        <w:spacing w:after="100" w:afterAutospacing="1" w:line="240" w:lineRule="auto"/>
        <w:jc w:val="both"/>
        <w:outlineLvl w:val="3"/>
        <w:rPr>
          <w:rFonts w:ascii="Arial" w:eastAsia="Times New Roman" w:hAnsi="Arial" w:cs="Times New Roman"/>
          <w:b/>
          <w:bCs/>
          <w:color w:val="000000"/>
          <w:sz w:val="24"/>
          <w:szCs w:val="24"/>
          <w:lang w:eastAsia="it-IT"/>
        </w:rPr>
      </w:pPr>
      <w:r w:rsidRPr="0002000C">
        <w:rPr>
          <w:rFonts w:ascii="Arial" w:eastAsia="Times New Roman" w:hAnsi="Arial" w:cs="Times New Roman"/>
          <w:b/>
          <w:bCs/>
          <w:color w:val="000000"/>
          <w:sz w:val="24"/>
          <w:szCs w:val="24"/>
          <w:lang w:eastAsia="it-IT"/>
        </w:rPr>
        <w:t>Durata della sostituzione</w:t>
      </w:r>
    </w:p>
    <w:p w14:paraId="66A8E213"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La sostituzione temporanea del responsabile tecnico è ammessa:</w:t>
      </w:r>
    </w:p>
    <w:p w14:paraId="77F5CFBC" w14:textId="77777777" w:rsidR="0002000C" w:rsidRPr="0002000C" w:rsidRDefault="0002000C" w:rsidP="0002000C">
      <w:pPr>
        <w:numPr>
          <w:ilvl w:val="0"/>
          <w:numId w:val="3"/>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b/>
          <w:bCs/>
          <w:color w:val="000000"/>
          <w:sz w:val="27"/>
          <w:szCs w:val="27"/>
          <w:lang w:eastAsia="it-IT"/>
        </w:rPr>
        <w:t>fino a 30 giorni per qualsiasi motivo di assenza</w:t>
      </w:r>
      <w:r w:rsidRPr="0002000C">
        <w:rPr>
          <w:rFonts w:ascii="Arial" w:eastAsia="Times New Roman" w:hAnsi="Arial" w:cs="Times New Roman"/>
          <w:color w:val="000000"/>
          <w:sz w:val="27"/>
          <w:szCs w:val="27"/>
          <w:lang w:eastAsia="it-IT"/>
        </w:rPr>
        <w:t> (ferie, permessi, impedimenti improvvisi);</w:t>
      </w:r>
    </w:p>
    <w:p w14:paraId="2C2F6186" w14:textId="77777777" w:rsidR="0002000C" w:rsidRPr="0002000C" w:rsidRDefault="0002000C" w:rsidP="0002000C">
      <w:pPr>
        <w:numPr>
          <w:ilvl w:val="0"/>
          <w:numId w:val="3"/>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b/>
          <w:bCs/>
          <w:color w:val="000000"/>
          <w:sz w:val="27"/>
          <w:szCs w:val="27"/>
          <w:lang w:eastAsia="it-IT"/>
        </w:rPr>
        <w:lastRenderedPageBreak/>
        <w:t>da 31 a 90 giorni esclusivamente in presenza di comprovati motivi</w:t>
      </w:r>
      <w:r w:rsidRPr="0002000C">
        <w:rPr>
          <w:rFonts w:ascii="Arial" w:eastAsia="Times New Roman" w:hAnsi="Arial" w:cs="Times New Roman"/>
          <w:color w:val="000000"/>
          <w:sz w:val="27"/>
          <w:szCs w:val="27"/>
          <w:lang w:eastAsia="it-IT"/>
        </w:rPr>
        <w:t> di salute, debitamente documentati.</w:t>
      </w:r>
    </w:p>
    <w:p w14:paraId="30BD1FD5" w14:textId="77777777" w:rsidR="0002000C" w:rsidRPr="0002000C" w:rsidRDefault="0002000C" w:rsidP="0002000C">
      <w:pPr>
        <w:shd w:val="clear" w:color="auto" w:fill="FFFFFF"/>
        <w:spacing w:after="100" w:afterAutospacing="1" w:line="240" w:lineRule="auto"/>
        <w:jc w:val="both"/>
        <w:outlineLvl w:val="3"/>
        <w:rPr>
          <w:rFonts w:ascii="Arial" w:eastAsia="Times New Roman" w:hAnsi="Arial" w:cs="Times New Roman"/>
          <w:b/>
          <w:bCs/>
          <w:color w:val="000000"/>
          <w:sz w:val="24"/>
          <w:szCs w:val="24"/>
          <w:lang w:eastAsia="it-IT"/>
        </w:rPr>
      </w:pPr>
      <w:r w:rsidRPr="0002000C">
        <w:rPr>
          <w:rFonts w:ascii="Arial" w:eastAsia="Times New Roman" w:hAnsi="Arial" w:cs="Times New Roman"/>
          <w:b/>
          <w:bCs/>
          <w:color w:val="000000"/>
          <w:sz w:val="24"/>
          <w:szCs w:val="24"/>
          <w:lang w:eastAsia="it-IT"/>
        </w:rPr>
        <w:t>Comunicazioni a SUAP e Camera di commercio</w:t>
      </w:r>
    </w:p>
    <w:p w14:paraId="627AF329"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Non è previsto alcun nuovo procedimento autorizzatorio. L’impresa è tenuta esclusivamente a effettuare una tempestiva comunicazione a:</w:t>
      </w:r>
    </w:p>
    <w:p w14:paraId="21CF625C" w14:textId="77777777" w:rsidR="0002000C" w:rsidRPr="0002000C" w:rsidRDefault="0002000C" w:rsidP="0002000C">
      <w:pPr>
        <w:numPr>
          <w:ilvl w:val="0"/>
          <w:numId w:val="4"/>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b/>
          <w:bCs/>
          <w:color w:val="000000"/>
          <w:sz w:val="27"/>
          <w:szCs w:val="27"/>
          <w:lang w:eastAsia="it-IT"/>
        </w:rPr>
        <w:t>SUAP</w:t>
      </w:r>
      <w:r w:rsidRPr="0002000C">
        <w:rPr>
          <w:rFonts w:ascii="Arial" w:eastAsia="Times New Roman" w:hAnsi="Arial" w:cs="Times New Roman"/>
          <w:color w:val="000000"/>
          <w:sz w:val="27"/>
          <w:szCs w:val="27"/>
          <w:lang w:eastAsia="it-IT"/>
        </w:rPr>
        <w:t> territorialmente competente;</w:t>
      </w:r>
    </w:p>
    <w:p w14:paraId="2BFD1D91" w14:textId="77777777" w:rsidR="0002000C" w:rsidRPr="0002000C" w:rsidRDefault="0002000C" w:rsidP="0002000C">
      <w:pPr>
        <w:numPr>
          <w:ilvl w:val="0"/>
          <w:numId w:val="4"/>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b/>
          <w:bCs/>
          <w:color w:val="000000"/>
          <w:sz w:val="27"/>
          <w:szCs w:val="27"/>
          <w:lang w:eastAsia="it-IT"/>
        </w:rPr>
        <w:t>Camera di commercio</w:t>
      </w:r>
      <w:r w:rsidRPr="0002000C">
        <w:rPr>
          <w:rFonts w:ascii="Arial" w:eastAsia="Times New Roman" w:hAnsi="Arial" w:cs="Times New Roman"/>
          <w:color w:val="000000"/>
          <w:sz w:val="27"/>
          <w:szCs w:val="27"/>
          <w:lang w:eastAsia="it-IT"/>
        </w:rPr>
        <w:t>, industria, artigianato e agricoltura competente.</w:t>
      </w:r>
    </w:p>
    <w:p w14:paraId="28641BB8"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Il termine «tempestivamente» va inteso in modo ragionevole, tenendo conto dei tempi necessari all’impresa per:</w:t>
      </w:r>
    </w:p>
    <w:p w14:paraId="238825BB" w14:textId="77777777" w:rsidR="0002000C" w:rsidRPr="0002000C" w:rsidRDefault="0002000C" w:rsidP="0002000C">
      <w:pPr>
        <w:numPr>
          <w:ilvl w:val="0"/>
          <w:numId w:val="5"/>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accertare l’assenza del responsabile tecnico;</w:t>
      </w:r>
    </w:p>
    <w:p w14:paraId="391C4024" w14:textId="77777777" w:rsidR="0002000C" w:rsidRPr="0002000C" w:rsidRDefault="0002000C" w:rsidP="0002000C">
      <w:pPr>
        <w:numPr>
          <w:ilvl w:val="0"/>
          <w:numId w:val="5"/>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individuare il sostituto;</w:t>
      </w:r>
    </w:p>
    <w:p w14:paraId="0BD56A51" w14:textId="77777777" w:rsidR="0002000C" w:rsidRPr="0002000C" w:rsidRDefault="0002000C" w:rsidP="0002000C">
      <w:pPr>
        <w:numPr>
          <w:ilvl w:val="0"/>
          <w:numId w:val="5"/>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predisporre la comunicazione.</w:t>
      </w:r>
    </w:p>
    <w:p w14:paraId="155C529C"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b/>
          <w:bCs/>
          <w:color w:val="000000"/>
          <w:sz w:val="27"/>
          <w:szCs w:val="27"/>
          <w:lang w:eastAsia="it-IT"/>
        </w:rPr>
        <w:t>In assenza di indicazioni specifiche da parte degli enti, la comunicazione può essere trasmessa anche tramite PEC</w:t>
      </w:r>
      <w:r w:rsidRPr="0002000C">
        <w:rPr>
          <w:rFonts w:ascii="Arial" w:eastAsia="Times New Roman" w:hAnsi="Arial" w:cs="Times New Roman"/>
          <w:color w:val="000000"/>
          <w:sz w:val="27"/>
          <w:szCs w:val="27"/>
          <w:lang w:eastAsia="it-IT"/>
        </w:rPr>
        <w:t>, in coerenza con i principi di semplificazione amministrativa.</w:t>
      </w:r>
    </w:p>
    <w:p w14:paraId="11D9F275" w14:textId="77777777" w:rsidR="0002000C" w:rsidRPr="0002000C" w:rsidRDefault="0002000C" w:rsidP="0002000C">
      <w:pPr>
        <w:shd w:val="clear" w:color="auto" w:fill="FFFFFF"/>
        <w:spacing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Riferimenti normativi e allegati</w:t>
      </w:r>
    </w:p>
    <w:p w14:paraId="7137266D" w14:textId="77777777" w:rsidR="0002000C" w:rsidRPr="0002000C" w:rsidRDefault="0002000C" w:rsidP="0002000C">
      <w:pPr>
        <w:numPr>
          <w:ilvl w:val="0"/>
          <w:numId w:val="6"/>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Legge 4 gennaio 1990, n. 1</w:t>
      </w:r>
    </w:p>
    <w:p w14:paraId="6BCA1F14" w14:textId="77777777" w:rsidR="0002000C" w:rsidRPr="0002000C" w:rsidRDefault="0002000C" w:rsidP="0002000C">
      <w:pPr>
        <w:numPr>
          <w:ilvl w:val="0"/>
          <w:numId w:val="6"/>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Legge 17 agosto 2005, n. 174</w:t>
      </w:r>
    </w:p>
    <w:p w14:paraId="4417294B" w14:textId="77777777" w:rsidR="0002000C" w:rsidRPr="0002000C" w:rsidRDefault="0002000C" w:rsidP="0002000C">
      <w:pPr>
        <w:numPr>
          <w:ilvl w:val="0"/>
          <w:numId w:val="6"/>
        </w:numPr>
        <w:shd w:val="clear" w:color="auto" w:fill="FFFFFF"/>
        <w:spacing w:before="100" w:beforeAutospacing="1" w:after="100" w:afterAutospacing="1" w:line="240" w:lineRule="auto"/>
        <w:jc w:val="both"/>
        <w:rPr>
          <w:rFonts w:ascii="Arial" w:eastAsia="Times New Roman" w:hAnsi="Arial" w:cs="Times New Roman"/>
          <w:color w:val="000000"/>
          <w:sz w:val="27"/>
          <w:szCs w:val="27"/>
          <w:lang w:eastAsia="it-IT"/>
        </w:rPr>
      </w:pPr>
      <w:r w:rsidRPr="0002000C">
        <w:rPr>
          <w:rFonts w:ascii="Arial" w:eastAsia="Times New Roman" w:hAnsi="Arial" w:cs="Times New Roman"/>
          <w:color w:val="000000"/>
          <w:sz w:val="27"/>
          <w:szCs w:val="27"/>
          <w:lang w:eastAsia="it-IT"/>
        </w:rPr>
        <w:t>Decreto legge 19 febbraio 2026, n. 19 (G.U. n. 41 del 19 febbraio 2026)</w:t>
      </w:r>
    </w:p>
    <w:p w14:paraId="1AD61E69" w14:textId="77777777" w:rsidR="0002000C" w:rsidRDefault="0002000C" w:rsidP="0002000C">
      <w:pPr>
        <w:jc w:val="both"/>
      </w:pPr>
    </w:p>
    <w:sectPr w:rsidR="00020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1413"/>
    <w:multiLevelType w:val="multilevel"/>
    <w:tmpl w:val="94B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F6910"/>
    <w:multiLevelType w:val="multilevel"/>
    <w:tmpl w:val="D52A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80EC2"/>
    <w:multiLevelType w:val="multilevel"/>
    <w:tmpl w:val="8FF0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B4485"/>
    <w:multiLevelType w:val="multilevel"/>
    <w:tmpl w:val="BFB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D394A"/>
    <w:multiLevelType w:val="multilevel"/>
    <w:tmpl w:val="2D1E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E670B"/>
    <w:multiLevelType w:val="multilevel"/>
    <w:tmpl w:val="BD04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0C"/>
    <w:rsid w:val="00020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DE9A"/>
  <w15:chartTrackingRefBased/>
  <w15:docId w15:val="{BDC3685A-DF3B-475C-A99E-CF31C7AD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02000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2000C"/>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0200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2000C"/>
    <w:rPr>
      <w:b/>
      <w:bCs/>
    </w:rPr>
  </w:style>
  <w:style w:type="character" w:styleId="Collegamentoipertestuale">
    <w:name w:val="Hyperlink"/>
    <w:basedOn w:val="Carpredefinitoparagrafo"/>
    <w:uiPriority w:val="99"/>
    <w:semiHidden/>
    <w:unhideWhenUsed/>
    <w:rsid w:val="00020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6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dena.cna.it/wp-content/uploads/2026/03/2026_CNA-Benessere_DL-19_2026.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Di Giandomenico</dc:creator>
  <cp:keywords/>
  <dc:description/>
  <cp:lastModifiedBy>Barbara Di Giandomenico</cp:lastModifiedBy>
  <cp:revision>1</cp:revision>
  <cp:lastPrinted>2026-07-07T11:39:00Z</cp:lastPrinted>
  <dcterms:created xsi:type="dcterms:W3CDTF">2026-07-07T11:39:00Z</dcterms:created>
  <dcterms:modified xsi:type="dcterms:W3CDTF">2026-07-07T11:42:00Z</dcterms:modified>
</cp:coreProperties>
</file>