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BD49" w14:textId="344DB3E8" w:rsidR="000801B0" w:rsidRDefault="000801B0" w:rsidP="003035AA">
      <w:pPr>
        <w:pStyle w:val="Titolo"/>
        <w:rPr>
          <w:rStyle w:val="Riferimentointenso"/>
          <w:b w:val="0"/>
          <w:bCs w:val="0"/>
          <w:smallCaps w:val="0"/>
          <w:color w:val="000000" w:themeColor="text1"/>
          <w:spacing w:val="-10"/>
        </w:rPr>
      </w:pPr>
      <w:r w:rsidRPr="00BF3D19">
        <w:rPr>
          <w:rStyle w:val="Riferimentointenso"/>
          <w:b w:val="0"/>
          <w:bCs w:val="0"/>
          <w:smallCaps w:val="0"/>
          <w:color w:val="000000" w:themeColor="text1"/>
          <w:spacing w:val="-10"/>
        </w:rPr>
        <w:t>Valutazione ex-post del Programma di Sviluppo Rurale 2014</w:t>
      </w:r>
      <w:r w:rsidR="0046510D">
        <w:rPr>
          <w:rStyle w:val="Riferimentointenso"/>
          <w:b w:val="0"/>
          <w:bCs w:val="0"/>
          <w:smallCaps w:val="0"/>
          <w:color w:val="000000" w:themeColor="text1"/>
          <w:spacing w:val="-10"/>
        </w:rPr>
        <w:t>-</w:t>
      </w:r>
      <w:r w:rsidRPr="00BF3D19">
        <w:rPr>
          <w:rStyle w:val="Riferimentointenso"/>
          <w:b w:val="0"/>
          <w:bCs w:val="0"/>
          <w:smallCaps w:val="0"/>
          <w:color w:val="000000" w:themeColor="text1"/>
          <w:spacing w:val="-10"/>
        </w:rPr>
        <w:t>2022 della Regione Umbria</w:t>
      </w:r>
    </w:p>
    <w:p w14:paraId="4BE45AF2" w14:textId="77777777" w:rsidR="000801B0" w:rsidRPr="000801B0" w:rsidRDefault="000801B0" w:rsidP="002A5E7D">
      <w:pPr>
        <w:spacing w:line="360" w:lineRule="auto"/>
      </w:pPr>
    </w:p>
    <w:p w14:paraId="748F85F0" w14:textId="77777777" w:rsidR="000801B0" w:rsidRPr="00BF3D19" w:rsidRDefault="000801B0" w:rsidP="002A5E7D">
      <w:pPr>
        <w:pStyle w:val="Titolo1"/>
        <w:spacing w:line="360" w:lineRule="auto"/>
      </w:pPr>
      <w:r w:rsidRPr="00BF3D19">
        <w:t>Premessa</w:t>
      </w:r>
    </w:p>
    <w:p w14:paraId="41124219" w14:textId="72742962" w:rsidR="000801B0" w:rsidRPr="00BF3D19" w:rsidRDefault="000801B0" w:rsidP="00EA4031">
      <w:pPr>
        <w:pStyle w:val="Titolo2"/>
      </w:pPr>
      <w:r w:rsidRPr="00BF3D19">
        <w:t xml:space="preserve">Funzione della </w:t>
      </w:r>
      <w:r w:rsidR="00DE0A05">
        <w:t>Valutazione ex post</w:t>
      </w:r>
    </w:p>
    <w:p w14:paraId="747E80EF" w14:textId="77777777" w:rsidR="000801B0" w:rsidRPr="005D0FB9" w:rsidRDefault="000801B0" w:rsidP="002A5E7D">
      <w:pPr>
        <w:spacing w:before="100" w:after="100" w:line="360" w:lineRule="auto"/>
        <w:jc w:val="both"/>
      </w:pPr>
      <w:r w:rsidRPr="00343EA2">
        <w:t>Il Reg. (UE) n. 1305/2013 ha istituito, per il periodo di programmazione 2014-2020 - successivamente esteso al 2022 - un Sistema comune di monitoraggio e valutazione (SCMV - art. 67), avente i seguenti obiettivi generali (art. 68): dimostrare i progressi e le realizzazioni della politica di sviluppo rurale e</w:t>
      </w:r>
      <w:r w:rsidRPr="005D0FB9">
        <w:t xml:space="preserve"> valutare l'impatto, l'efficacia, l'efficienza e la pertinenza dei relativi interventi; contribuire a un sostegno più mirato dello sviluppo rurale; favorire un processo di apprendimento comune basato sull'attività di monitoraggio e valutazione.</w:t>
      </w:r>
    </w:p>
    <w:p w14:paraId="34255872" w14:textId="42BC81E7" w:rsidR="000801B0" w:rsidRPr="005D0FB9" w:rsidRDefault="000801B0" w:rsidP="002A5E7D">
      <w:pPr>
        <w:spacing w:before="100" w:after="100" w:line="360" w:lineRule="auto"/>
        <w:jc w:val="both"/>
      </w:pPr>
      <w:r w:rsidRPr="005D0FB9">
        <w:t xml:space="preserve">La </w:t>
      </w:r>
      <w:r w:rsidR="00DE0A05">
        <w:t>Valutazione ex post</w:t>
      </w:r>
      <w:r w:rsidRPr="005D0FB9">
        <w:t xml:space="preserve"> (prevista all'art. 78) rappresenta la fase finale di un processo di analisi che ha accompagnato e supportato</w:t>
      </w:r>
      <w:r>
        <w:t xml:space="preserve"> i Programmi di Sviluppo Rurale (PSR) </w:t>
      </w:r>
      <w:r w:rsidRPr="005D0FB9">
        <w:t xml:space="preserve">a partire dalla </w:t>
      </w:r>
      <w:r>
        <w:t>loro</w:t>
      </w:r>
      <w:r w:rsidRPr="005D0FB9">
        <w:t xml:space="preserve"> elaborazione </w:t>
      </w:r>
      <w:r w:rsidR="008C4655">
        <w:t xml:space="preserve">e </w:t>
      </w:r>
      <w:r w:rsidRPr="005D0FB9">
        <w:t>valutazione ex ante e nell'intera fase attuativa pluriennale (valutazioni annuali in itinere e intermedie), con il compito di realizzare un bilancio conclusivo del programma in funzione delle suddette finalità generali.</w:t>
      </w:r>
    </w:p>
    <w:p w14:paraId="17BEDE90" w14:textId="20ACB890" w:rsidR="000801B0" w:rsidRPr="005D0FB9" w:rsidRDefault="000801B0" w:rsidP="002A5E7D">
      <w:pPr>
        <w:spacing w:before="100" w:after="100" w:line="360" w:lineRule="auto"/>
        <w:jc w:val="both"/>
      </w:pPr>
      <w:r w:rsidRPr="005D0FB9">
        <w:t xml:space="preserve">In coerenza con tale quadro normativo, la </w:t>
      </w:r>
      <w:r w:rsidR="00DE0A05">
        <w:t>Valutazione ex post</w:t>
      </w:r>
      <w:r w:rsidRPr="005D0FB9">
        <w:t xml:space="preserve"> costituisce uno strumento di apprendimento istituzionale che svolge due funzioni principali tra loro collegate: valutare, in termini di efficacia, efficienza e pertinenza, i risultati e gli impatti raggiunti con il Programma; fornire, sulla base di tali elementi, indicazioni utilizzabili per migliorare</w:t>
      </w:r>
      <w:r>
        <w:t xml:space="preserve"> - </w:t>
      </w:r>
      <w:r w:rsidRPr="005D0FB9">
        <w:t>nei contenuti programmatici e nelle modalità di attuazione</w:t>
      </w:r>
      <w:r>
        <w:t xml:space="preserve"> - </w:t>
      </w:r>
      <w:r w:rsidRPr="005D0FB9">
        <w:t>le politiche di sviluppo rurale nel successivo periodo di programmazione.</w:t>
      </w:r>
    </w:p>
    <w:p w14:paraId="106D094A" w14:textId="62B2BEFB" w:rsidR="000801B0" w:rsidRDefault="000801B0" w:rsidP="002A5E7D">
      <w:pPr>
        <w:spacing w:before="100" w:after="100" w:line="360" w:lineRule="auto"/>
        <w:jc w:val="both"/>
      </w:pPr>
      <w:r w:rsidRPr="005D0FB9">
        <w:t>Lo sviluppo di questa duplice funzione</w:t>
      </w:r>
      <w:r>
        <w:t xml:space="preserve"> - </w:t>
      </w:r>
      <w:r w:rsidRPr="005D0FB9">
        <w:rPr>
          <w:i/>
          <w:iCs/>
        </w:rPr>
        <w:t>accountability e learning</w:t>
      </w:r>
      <w:r>
        <w:t xml:space="preserve"> - </w:t>
      </w:r>
      <w:r w:rsidRPr="005D0FB9">
        <w:t xml:space="preserve">presenta, nella sua concreta applicazione alla </w:t>
      </w:r>
      <w:r w:rsidR="00DE0A05">
        <w:t>Valutazione ex post</w:t>
      </w:r>
      <w:r w:rsidRPr="005D0FB9">
        <w:t xml:space="preserve"> dei PSR 2014-2022, alcuni elementi di oggettivo squilibrio temporale legati all'evoluzione dei cicli di programmazione, di cui è necessario tenere conto. La conclusione della </w:t>
      </w:r>
      <w:r w:rsidR="00DE0A05">
        <w:t>Valutazione ex post</w:t>
      </w:r>
      <w:r w:rsidRPr="005D0FB9">
        <w:t xml:space="preserve"> nell'anno 2026, se da un lato consente un'adeguata analisi dei risultati e degli impatti determinati dagli interventi PSR, dall'altro rende le indicazioni di miglioramento non più direttamente utilizzabili nella successiva programmazione dello sviluppo rurale a livello </w:t>
      </w:r>
      <w:r w:rsidRPr="00BA6DF3">
        <w:rPr>
          <w:color w:val="auto"/>
        </w:rPr>
        <w:t xml:space="preserve">regionale, essendo il </w:t>
      </w:r>
      <w:r w:rsidR="007C5211">
        <w:rPr>
          <w:color w:val="auto"/>
        </w:rPr>
        <w:t xml:space="preserve">Piano Strategico della </w:t>
      </w:r>
      <w:r w:rsidR="007C5211">
        <w:t>Politica Agricola Comune (</w:t>
      </w:r>
      <w:r w:rsidR="007C5211" w:rsidRPr="00BA6DF3">
        <w:rPr>
          <w:color w:val="auto"/>
        </w:rPr>
        <w:t>PAC</w:t>
      </w:r>
      <w:r w:rsidR="007C5211">
        <w:t>)</w:t>
      </w:r>
      <w:r w:rsidR="007C5211" w:rsidRPr="00BA6DF3">
        <w:rPr>
          <w:color w:val="auto"/>
        </w:rPr>
        <w:t xml:space="preserve"> </w:t>
      </w:r>
      <w:r w:rsidR="007C5211">
        <w:rPr>
          <w:color w:val="auto"/>
        </w:rPr>
        <w:t xml:space="preserve"> (PSP) </w:t>
      </w:r>
      <w:r w:rsidRPr="00BA6DF3">
        <w:rPr>
          <w:color w:val="auto"/>
        </w:rPr>
        <w:t>e i</w:t>
      </w:r>
      <w:r w:rsidR="004D5EAE">
        <w:rPr>
          <w:color w:val="auto"/>
        </w:rPr>
        <w:t xml:space="preserve">l </w:t>
      </w:r>
      <w:r>
        <w:t>Complement</w:t>
      </w:r>
      <w:r w:rsidR="004D5EAE">
        <w:t>o</w:t>
      </w:r>
      <w:r>
        <w:t xml:space="preserve"> di Sviluppo Rurale (</w:t>
      </w:r>
      <w:r w:rsidRPr="00BA6DF3">
        <w:rPr>
          <w:color w:val="auto"/>
        </w:rPr>
        <w:t>CSR</w:t>
      </w:r>
      <w:r>
        <w:t>)</w:t>
      </w:r>
      <w:r w:rsidRPr="00BA6DF3">
        <w:rPr>
          <w:color w:val="auto"/>
        </w:rPr>
        <w:t xml:space="preserve"> </w:t>
      </w:r>
      <w:r w:rsidR="004D5EAE" w:rsidRPr="00BA6DF3">
        <w:rPr>
          <w:color w:val="auto"/>
        </w:rPr>
        <w:t xml:space="preserve">2023-2027 </w:t>
      </w:r>
      <w:r w:rsidRPr="00BA6DF3">
        <w:rPr>
          <w:color w:val="auto"/>
        </w:rPr>
        <w:t xml:space="preserve">della </w:t>
      </w:r>
      <w:r w:rsidR="003540F4">
        <w:rPr>
          <w:color w:val="auto"/>
        </w:rPr>
        <w:t>R</w:t>
      </w:r>
      <w:r w:rsidR="004D5EAE">
        <w:rPr>
          <w:color w:val="auto"/>
        </w:rPr>
        <w:t xml:space="preserve">egione Umbria </w:t>
      </w:r>
      <w:r w:rsidRPr="00BA6DF3">
        <w:rPr>
          <w:color w:val="auto"/>
        </w:rPr>
        <w:t>già definiti nei contenuti e in larga parte in avanzata fase attuativa. Tale discrasia tra cicli temporali di programmazione e di valutazione - già verificatasi in periodi precedenti - potrà essere almeno in parte mitigata indirizza</w:t>
      </w:r>
      <w:r w:rsidRPr="005D0FB9">
        <w:t xml:space="preserve">ndo le funzioni di apprendimento della </w:t>
      </w:r>
      <w:r w:rsidR="00DE0A05">
        <w:t>Valutazione ex post</w:t>
      </w:r>
      <w:r w:rsidRPr="005D0FB9">
        <w:t xml:space="preserve"> all'individuazione di aree e proposte di miglioramento utilizzabili nel processo </w:t>
      </w:r>
      <w:r w:rsidRPr="00BA6DF3">
        <w:rPr>
          <w:color w:val="auto"/>
        </w:rPr>
        <w:t xml:space="preserve">programmatorio post-2027 della PAC e, </w:t>
      </w:r>
      <w:r w:rsidRPr="005D0FB9">
        <w:t xml:space="preserve">in particolare, della politica di sviluppo rurale. Tale processo, già avviato a livello comunitario, nazionale e regionale, conoscerà presumibilmente un'accelerazione nel corso del 2026, dal quale sarà possibile ricavare i fabbisogni conoscitivi </w:t>
      </w:r>
      <w:r w:rsidR="008C4655">
        <w:t xml:space="preserve">a </w:t>
      </w:r>
      <w:r w:rsidRPr="005D0FB9">
        <w:t xml:space="preserve">cui la </w:t>
      </w:r>
      <w:r w:rsidR="00DE0A05">
        <w:t>Valutazione ex post</w:t>
      </w:r>
      <w:r w:rsidRPr="005D0FB9">
        <w:t xml:space="preserve"> potrà contribuire a dare risposta.</w:t>
      </w:r>
    </w:p>
    <w:p w14:paraId="420A2098" w14:textId="77777777" w:rsidR="000801B0" w:rsidRPr="005D0FB9" w:rsidRDefault="000801B0" w:rsidP="002A5E7D">
      <w:pPr>
        <w:pStyle w:val="Titolo2"/>
        <w:spacing w:line="360" w:lineRule="auto"/>
      </w:pPr>
      <w:r w:rsidRPr="005D0FB9">
        <w:lastRenderedPageBreak/>
        <w:t xml:space="preserve">Fonti normative e metodologiche </w:t>
      </w:r>
    </w:p>
    <w:p w14:paraId="1991305A" w14:textId="346475EB" w:rsidR="000801B0" w:rsidRDefault="000801B0" w:rsidP="002A5E7D">
      <w:pPr>
        <w:spacing w:before="100" w:after="100" w:line="360" w:lineRule="auto"/>
        <w:jc w:val="both"/>
      </w:pPr>
      <w:r w:rsidRPr="00343EA2">
        <w:t xml:space="preserve">La </w:t>
      </w:r>
      <w:r w:rsidR="00DE0A05">
        <w:t>Valutazione ex post</w:t>
      </w:r>
      <w:r w:rsidRPr="00343EA2">
        <w:t xml:space="preserve"> del PSR Umbria 2014-2022 applicherà, in risposta alle esigenze valutative espresse dall'Autorità di Gestione e dal Comitato di Sorveglianza, gli indirizzi normativi e metodologici definiti a livello comunitario, le cui principali fonti di riferimento sono di seguito richiamate.</w:t>
      </w:r>
    </w:p>
    <w:p w14:paraId="71F8AAF5" w14:textId="77777777" w:rsidR="000801B0" w:rsidRDefault="000801B0" w:rsidP="002A5E7D">
      <w:pPr>
        <w:spacing w:before="100" w:after="100" w:line="360" w:lineRule="auto"/>
        <w:jc w:val="both"/>
      </w:pPr>
      <w:r w:rsidRPr="00343EA2">
        <w:t>Il Reg. di esecuzione (UE) n. 808/2014 che definisce gli el</w:t>
      </w:r>
      <w:r w:rsidRPr="005D0FB9">
        <w:t xml:space="preserve">ementi del </w:t>
      </w:r>
      <w:r>
        <w:t xml:space="preserve">SCMV </w:t>
      </w:r>
      <w:r w:rsidRPr="005D0FB9">
        <w:t>per i PSR, tra cui il sistema degli indicatori di contesto</w:t>
      </w:r>
      <w:r>
        <w:t xml:space="preserve"> - </w:t>
      </w:r>
      <w:r w:rsidRPr="005D0FB9">
        <w:t>comprensivi degli indicatori di impatto della PAC¹</w:t>
      </w:r>
      <w:r>
        <w:t xml:space="preserve"> - </w:t>
      </w:r>
      <w:r w:rsidRPr="005D0FB9">
        <w:t xml:space="preserve">di risultato (obiettivo e complementari) e di </w:t>
      </w:r>
      <w:r>
        <w:t>prodotto</w:t>
      </w:r>
      <w:r w:rsidRPr="005D0FB9">
        <w:t xml:space="preserve">, nonché il </w:t>
      </w:r>
      <w:r>
        <w:t>Questionario Valutativo Comune (QVC)</w:t>
      </w:r>
      <w:r w:rsidRPr="005D0FB9">
        <w:t xml:space="preserve">. </w:t>
      </w:r>
    </w:p>
    <w:p w14:paraId="77D6D72A" w14:textId="32751FC7" w:rsidR="00425225" w:rsidRDefault="000801B0" w:rsidP="002A5E7D">
      <w:pPr>
        <w:spacing w:before="100" w:after="100" w:line="360" w:lineRule="auto"/>
        <w:jc w:val="both"/>
      </w:pPr>
      <w:r w:rsidRPr="002C23EA">
        <w:t xml:space="preserve">Le </w:t>
      </w:r>
      <w:r w:rsidR="008C4655">
        <w:t>l</w:t>
      </w:r>
      <w:r w:rsidRPr="002C23EA">
        <w:t xml:space="preserve">inee guida prodotte </w:t>
      </w:r>
      <w:r w:rsidR="00A76413">
        <w:t xml:space="preserve">dai </w:t>
      </w:r>
      <w:r w:rsidR="008C4655">
        <w:t>S</w:t>
      </w:r>
      <w:r w:rsidR="00A76413">
        <w:t>ervizi</w:t>
      </w:r>
      <w:r w:rsidR="00A76413" w:rsidRPr="00A76413">
        <w:t xml:space="preserve"> della Commissione Europea </w:t>
      </w:r>
      <w:r w:rsidRPr="002C23EA">
        <w:t>per la valutazione dei risultati dei PSR attraverso il SCMV, utilizzate per le valutazioni intermedie condotte nel 2017</w:t>
      </w:r>
      <w:r>
        <w:rPr>
          <w:rStyle w:val="Rimandonotaapidipagina"/>
        </w:rPr>
        <w:footnoteReference w:id="1"/>
      </w:r>
      <w:r>
        <w:t xml:space="preserve"> </w:t>
      </w:r>
      <w:r w:rsidRPr="002C23EA">
        <w:t>e nel 2019</w:t>
      </w:r>
      <w:r>
        <w:rPr>
          <w:rStyle w:val="Rimandonotaapidipagina"/>
        </w:rPr>
        <w:footnoteReference w:id="2"/>
      </w:r>
      <w:r w:rsidRPr="002C23EA">
        <w:t xml:space="preserve">, i cui indirizzi metodologici rimangono validi e applicabili alla </w:t>
      </w:r>
      <w:r w:rsidR="00DE0A05">
        <w:t>Valutazione ex post</w:t>
      </w:r>
      <w:r w:rsidRPr="002C23EA">
        <w:t>.</w:t>
      </w:r>
    </w:p>
    <w:p w14:paraId="561085BD" w14:textId="3F03F7F2" w:rsidR="000801B0" w:rsidRPr="00A34B99" w:rsidRDefault="00425225" w:rsidP="002A5E7D">
      <w:pPr>
        <w:spacing w:before="100" w:after="100" w:line="360" w:lineRule="auto"/>
        <w:jc w:val="both"/>
      </w:pPr>
      <w:r w:rsidRPr="00A34B99">
        <w:t>Con specifico riferimento la Valutazione ex-post, il modello (“template”) tecnico comune, sviluppato nell’ambito dell’</w:t>
      </w:r>
      <w:proofErr w:type="spellStart"/>
      <w:r w:rsidRPr="00A34B99">
        <w:t>European</w:t>
      </w:r>
      <w:proofErr w:type="spellEnd"/>
      <w:r w:rsidRPr="00A34B99">
        <w:t xml:space="preserve"> Evaluation Helpdesk for the CAP</w:t>
      </w:r>
      <w:r w:rsidRPr="00A34B99">
        <w:rPr>
          <w:rStyle w:val="Rimandonotaapidipagina"/>
        </w:rPr>
        <w:footnoteReference w:id="3"/>
      </w:r>
      <w:r w:rsidRPr="00A34B99">
        <w:t>, al fine di facilitare il lavoro dei valutatori e delle Autorità di Gestione, non prescrittivo, ma che sarà utilizzato dalla DG AGRI come base per il formato elettronico di rendicontazione SFC.</w:t>
      </w:r>
    </w:p>
    <w:p w14:paraId="285B643E" w14:textId="77777777" w:rsidR="00A34B99" w:rsidRPr="005D0FB9" w:rsidRDefault="00A34B99" w:rsidP="002A5E7D">
      <w:pPr>
        <w:spacing w:before="100" w:after="100" w:line="360" w:lineRule="auto"/>
        <w:jc w:val="both"/>
      </w:pPr>
    </w:p>
    <w:p w14:paraId="3C61997A" w14:textId="0FC5AA89" w:rsidR="000801B0" w:rsidRDefault="000801B0" w:rsidP="002A5E7D">
      <w:pPr>
        <w:pStyle w:val="Titolo1"/>
        <w:spacing w:line="360" w:lineRule="auto"/>
        <w:jc w:val="both"/>
      </w:pPr>
      <w:r>
        <w:t xml:space="preserve">Struttura della </w:t>
      </w:r>
      <w:r w:rsidR="00DE0A05">
        <w:t>Valutazione ex post</w:t>
      </w:r>
      <w:r w:rsidR="00990F21">
        <w:t xml:space="preserve"> </w:t>
      </w:r>
    </w:p>
    <w:p w14:paraId="48F24A6B" w14:textId="2C320446" w:rsidR="0088147F" w:rsidRDefault="0088147F" w:rsidP="0088147F">
      <w:pPr>
        <w:spacing w:before="100" w:after="100" w:line="360" w:lineRule="auto"/>
        <w:jc w:val="both"/>
      </w:pPr>
      <w:r w:rsidRPr="0088147F">
        <w:t xml:space="preserve">La Valutazione ex-post del PSR Umbria 2014-2022 seguirà una struttura coerente con il </w:t>
      </w:r>
      <w:r>
        <w:t>“</w:t>
      </w:r>
      <w:r w:rsidRPr="0088147F">
        <w:t>template</w:t>
      </w:r>
      <w:r>
        <w:t>”</w:t>
      </w:r>
      <w:r w:rsidRPr="0088147F">
        <w:t xml:space="preserve"> di riferimento, integrata da specifici profili di analisi proposti dalla Regione. In questa fase preliminare, si prevede che il Rapporto finale si articolerà nelle componenti di seguito indicate.</w:t>
      </w:r>
    </w:p>
    <w:p w14:paraId="0E421B0E" w14:textId="77777777" w:rsidR="00A34B99" w:rsidRPr="0088147F" w:rsidRDefault="00A34B99" w:rsidP="0088147F">
      <w:pPr>
        <w:spacing w:before="100" w:after="100" w:line="360" w:lineRule="auto"/>
        <w:jc w:val="both"/>
      </w:pPr>
    </w:p>
    <w:p w14:paraId="6BB658EE" w14:textId="3754BD63" w:rsidR="00990F21" w:rsidRDefault="00990F21" w:rsidP="0088147F">
      <w:pPr>
        <w:pStyle w:val="Titolo2"/>
        <w:numPr>
          <w:ilvl w:val="0"/>
          <w:numId w:val="0"/>
        </w:numPr>
        <w:spacing w:line="360" w:lineRule="auto"/>
        <w:ind w:left="576" w:hanging="576"/>
      </w:pPr>
      <w:r>
        <w:t xml:space="preserve">2.1 Sommario o sintesi divulgativa </w:t>
      </w:r>
    </w:p>
    <w:p w14:paraId="3AE53BB3" w14:textId="7AA9112E" w:rsidR="00D21F2D" w:rsidRDefault="00D21F2D" w:rsidP="00990F21">
      <w:pPr>
        <w:spacing w:before="100" w:after="100" w:line="360" w:lineRule="auto"/>
        <w:jc w:val="both"/>
      </w:pPr>
      <w:r w:rsidRPr="00D21F2D">
        <w:t xml:space="preserve">Questa sezione raccoglie le informazioni chiave e una sintesi dei risultati complessivi della </w:t>
      </w:r>
      <w:r w:rsidR="00DE0A05">
        <w:t>Valutazione ex post</w:t>
      </w:r>
      <w:r w:rsidRPr="00D21F2D">
        <w:t>, presentati in un linguaggio accessibile a un pubblico ampio. I contenuti sono organizzati attorno ai tre obiettivi della PAC: promuovere la competitività del settore agricolo; garantire una gestione sostenibile delle risorse naturali e un'azione per il clima; realizzare uno sviluppo territoriale equilibrato delle economie e comunità rurali, incluse la creazione e il mantenimento dell'occupazione.</w:t>
      </w:r>
    </w:p>
    <w:p w14:paraId="07499F69" w14:textId="3106785D" w:rsidR="000801B0" w:rsidRPr="00B8430F" w:rsidRDefault="000801B0" w:rsidP="00B8430F">
      <w:pPr>
        <w:spacing w:line="360" w:lineRule="auto"/>
        <w:jc w:val="both"/>
        <w:rPr>
          <w:szCs w:val="20"/>
        </w:rPr>
      </w:pPr>
      <w:r w:rsidRPr="00B8430F">
        <w:rPr>
          <w:color w:val="auto"/>
          <w:szCs w:val="20"/>
        </w:rPr>
        <w:t xml:space="preserve">La </w:t>
      </w:r>
      <w:r w:rsidR="00DE0A05">
        <w:rPr>
          <w:color w:val="auto"/>
          <w:szCs w:val="20"/>
        </w:rPr>
        <w:t>Valutazione ex post</w:t>
      </w:r>
      <w:r w:rsidRPr="00B8430F">
        <w:rPr>
          <w:color w:val="auto"/>
          <w:szCs w:val="20"/>
        </w:rPr>
        <w:t xml:space="preserve"> del PSR Umbria 2014–2022 sarà finalizzata, come previsto dal SCMV, alla risposta </w:t>
      </w:r>
      <w:r w:rsidR="007D052D">
        <w:rPr>
          <w:color w:val="auto"/>
          <w:szCs w:val="20"/>
        </w:rPr>
        <w:t xml:space="preserve">delle Domande Valutative Comuni </w:t>
      </w:r>
      <w:r w:rsidR="00A34B99">
        <w:rPr>
          <w:color w:val="auto"/>
          <w:szCs w:val="20"/>
        </w:rPr>
        <w:t>(</w:t>
      </w:r>
      <w:r w:rsidR="007D052D">
        <w:rPr>
          <w:color w:val="auto"/>
          <w:szCs w:val="20"/>
        </w:rPr>
        <w:t>D</w:t>
      </w:r>
      <w:r w:rsidR="00A34B99">
        <w:rPr>
          <w:color w:val="auto"/>
          <w:szCs w:val="20"/>
        </w:rPr>
        <w:t>VC)</w:t>
      </w:r>
      <w:r w:rsidRPr="00B8430F">
        <w:rPr>
          <w:color w:val="auto"/>
          <w:szCs w:val="20"/>
        </w:rPr>
        <w:t xml:space="preserve"> definit</w:t>
      </w:r>
      <w:r w:rsidR="007D052D">
        <w:rPr>
          <w:color w:val="auto"/>
          <w:szCs w:val="20"/>
        </w:rPr>
        <w:t xml:space="preserve">e </w:t>
      </w:r>
      <w:r w:rsidRPr="00B8430F">
        <w:rPr>
          <w:color w:val="auto"/>
          <w:szCs w:val="20"/>
        </w:rPr>
        <w:t xml:space="preserve">dalla Commissione Europea e </w:t>
      </w:r>
      <w:r w:rsidR="007D052D">
        <w:rPr>
          <w:color w:val="auto"/>
          <w:szCs w:val="20"/>
        </w:rPr>
        <w:t>delle eventuali Domande Valutative Specifiche (D</w:t>
      </w:r>
      <w:r w:rsidRPr="00B8430F">
        <w:rPr>
          <w:color w:val="auto"/>
          <w:szCs w:val="20"/>
        </w:rPr>
        <w:t>VS) individuat</w:t>
      </w:r>
      <w:r w:rsidR="007D052D">
        <w:rPr>
          <w:color w:val="auto"/>
          <w:szCs w:val="20"/>
        </w:rPr>
        <w:t>e</w:t>
      </w:r>
      <w:r w:rsidRPr="00B8430F">
        <w:rPr>
          <w:color w:val="auto"/>
          <w:szCs w:val="20"/>
        </w:rPr>
        <w:t xml:space="preserve"> dalla Regione Umbria. </w:t>
      </w:r>
    </w:p>
    <w:p w14:paraId="2E753A90" w14:textId="65D1BE1E" w:rsidR="000801B0" w:rsidRDefault="00461DFF" w:rsidP="0088147F">
      <w:pPr>
        <w:pStyle w:val="Titolo2"/>
        <w:numPr>
          <w:ilvl w:val="0"/>
          <w:numId w:val="0"/>
        </w:numPr>
        <w:spacing w:line="360" w:lineRule="auto"/>
        <w:ind w:left="576" w:hanging="576"/>
      </w:pPr>
      <w:bookmarkStart w:id="0" w:name="_Hlk231655746"/>
      <w:r>
        <w:lastRenderedPageBreak/>
        <w:t xml:space="preserve">2.2 </w:t>
      </w:r>
      <w:r w:rsidR="000801B0">
        <w:t xml:space="preserve">Risposta </w:t>
      </w:r>
      <w:r w:rsidR="006E3F46">
        <w:t>alle Domande Valutative</w:t>
      </w:r>
      <w:r w:rsidR="007D052D">
        <w:t xml:space="preserve"> (DV)</w:t>
      </w:r>
    </w:p>
    <w:bookmarkEnd w:id="0"/>
    <w:p w14:paraId="625481B9" w14:textId="39CF6F65" w:rsidR="000801B0" w:rsidRDefault="000801B0" w:rsidP="002A5E7D">
      <w:pPr>
        <w:spacing w:before="60" w:after="60" w:line="360" w:lineRule="auto"/>
        <w:jc w:val="both"/>
      </w:pPr>
      <w:r w:rsidRPr="004413B9">
        <w:t xml:space="preserve">In applicazione degli indirizzi normativi e metodologici comuni sopra richiamati, </w:t>
      </w:r>
      <w:r>
        <w:t>la</w:t>
      </w:r>
      <w:r w:rsidRPr="004413B9">
        <w:t xml:space="preserve"> </w:t>
      </w:r>
      <w:r w:rsidR="00DE0A05">
        <w:t>Valutazione ex post</w:t>
      </w:r>
      <w:r w:rsidR="006E3F46" w:rsidRPr="006E3F46">
        <w:t xml:space="preserve"> del PSR </w:t>
      </w:r>
      <w:r w:rsidR="006E3F46" w:rsidRPr="00A34B99">
        <w:t xml:space="preserve">Umbria 2014–2022 </w:t>
      </w:r>
      <w:r w:rsidRPr="00A34B99">
        <w:t>strutturerà le analisi e la presentazione dei relativi esiti in forma coerente con l'articolazione del</w:t>
      </w:r>
      <w:r w:rsidR="00676C5B" w:rsidRPr="00A34B99">
        <w:t xml:space="preserve"> </w:t>
      </w:r>
      <w:r w:rsidR="00A34B99" w:rsidRPr="00A34B99">
        <w:t>QVC</w:t>
      </w:r>
      <w:r w:rsidR="00772D56" w:rsidRPr="00A34B99">
        <w:t xml:space="preserve"> </w:t>
      </w:r>
      <w:r w:rsidRPr="00A34B99">
        <w:t>di cui all’Alle</w:t>
      </w:r>
      <w:r>
        <w:t>gato V del</w:t>
      </w:r>
      <w:r w:rsidRPr="004413B9">
        <w:t xml:space="preserve"> Reg. (UE) n. 808/2014</w:t>
      </w:r>
      <w:r w:rsidR="00772D56">
        <w:t xml:space="preserve"> comprendente </w:t>
      </w:r>
      <w:r w:rsidR="00A34B99">
        <w:t>trenta</w:t>
      </w:r>
      <w:r w:rsidR="00772D56">
        <w:t xml:space="preserve"> </w:t>
      </w:r>
      <w:r w:rsidR="00D21F2D">
        <w:t xml:space="preserve">DVC </w:t>
      </w:r>
      <w:r w:rsidRPr="004413B9">
        <w:t xml:space="preserve">che </w:t>
      </w:r>
      <w:r w:rsidR="00772D56">
        <w:t xml:space="preserve">esprimono </w:t>
      </w:r>
      <w:r w:rsidRPr="004413B9">
        <w:t xml:space="preserve">in chiave valutativa il sistema </w:t>
      </w:r>
      <w:r>
        <w:t>degli</w:t>
      </w:r>
      <w:r w:rsidRPr="004413B9">
        <w:t xml:space="preserve"> obiettivi interni del Programma, il suo funzionamento e gli obiettivi generali dell'UE ai quali il Programma stesso concorre.</w:t>
      </w:r>
      <w:r w:rsidR="002B4612">
        <w:t xml:space="preserve"> </w:t>
      </w:r>
    </w:p>
    <w:p w14:paraId="2FADE982" w14:textId="77777777" w:rsidR="00D21F2D" w:rsidRDefault="00D21F2D" w:rsidP="002A5E7D">
      <w:pPr>
        <w:spacing w:before="60" w:after="60" w:line="360" w:lineRule="auto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9"/>
        <w:gridCol w:w="1022"/>
        <w:gridCol w:w="6224"/>
      </w:tblGrid>
      <w:tr w:rsidR="000801B0" w:rsidRPr="00091E6E" w14:paraId="32724A4A" w14:textId="77777777" w:rsidTr="00A34B99">
        <w:trPr>
          <w:trHeight w:val="230"/>
          <w:tblHeader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3D64"/>
            <w:noWrap/>
            <w:vAlign w:val="center"/>
            <w:hideMark/>
          </w:tcPr>
          <w:p w14:paraId="5F01871F" w14:textId="77777777" w:rsidR="000801B0" w:rsidRPr="00091E6E" w:rsidRDefault="000801B0" w:rsidP="00092904">
            <w:pPr>
              <w:spacing w:after="0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Tema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vAlign w:val="center"/>
            <w:hideMark/>
          </w:tcPr>
          <w:p w14:paraId="58A9A633" w14:textId="605D5CB4" w:rsidR="000801B0" w:rsidRPr="00091E6E" w:rsidRDefault="007D052D" w:rsidP="00092904">
            <w:pPr>
              <w:spacing w:after="0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DVC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vAlign w:val="center"/>
            <w:hideMark/>
          </w:tcPr>
          <w:p w14:paraId="7F59C89E" w14:textId="77777777" w:rsidR="000801B0" w:rsidRPr="00091E6E" w:rsidRDefault="000801B0" w:rsidP="00092904">
            <w:pPr>
              <w:spacing w:after="0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091E6E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Descrizione</w:t>
            </w:r>
          </w:p>
        </w:tc>
      </w:tr>
      <w:tr w:rsidR="000801B0" w:rsidRPr="00091E6E" w14:paraId="577E1EB4" w14:textId="77777777" w:rsidTr="00DE0A05">
        <w:trPr>
          <w:trHeight w:val="4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BA25" w14:textId="77777777" w:rsidR="000801B0" w:rsidRPr="00092904" w:rsidRDefault="000801B0" w:rsidP="00DE0A05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092904">
              <w:rPr>
                <w:rFonts w:eastAsia="Times New Roman"/>
                <w:b/>
                <w:bCs/>
                <w:sz w:val="18"/>
                <w:szCs w:val="18"/>
              </w:rPr>
              <w:t>Domande relative agli aspetti specifici del PSR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FF4D" w14:textId="536A8D69" w:rsidR="000801B0" w:rsidRPr="00091E6E" w:rsidRDefault="000801B0" w:rsidP="00DE0A05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091E6E">
              <w:rPr>
                <w:rFonts w:eastAsia="Times New Roman"/>
                <w:sz w:val="18"/>
                <w:szCs w:val="18"/>
              </w:rPr>
              <w:t>1-1</w:t>
            </w:r>
            <w:r w:rsidR="007C5211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E8FD" w14:textId="3550BDC0" w:rsidR="000801B0" w:rsidRPr="00091E6E" w:rsidRDefault="00025E20" w:rsidP="00DE0A05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025E20">
              <w:rPr>
                <w:rFonts w:eastAsia="Times New Roman"/>
                <w:sz w:val="18"/>
                <w:szCs w:val="18"/>
              </w:rPr>
              <w:t>Domande relative a ciascun aspetto specifico (Focus Area) del PSR, per le quali nelle relazioni annuali di valutazione sono state già fornite risposte, ancora non definitive.</w:t>
            </w:r>
          </w:p>
        </w:tc>
      </w:tr>
      <w:tr w:rsidR="000801B0" w:rsidRPr="00091E6E" w14:paraId="29EAFECE" w14:textId="77777777" w:rsidTr="00DE0A05">
        <w:trPr>
          <w:trHeight w:val="4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CD5B4" w14:textId="77777777" w:rsidR="000801B0" w:rsidRPr="00092904" w:rsidRDefault="000801B0" w:rsidP="00DE0A05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092904">
              <w:rPr>
                <w:rFonts w:eastAsia="Times New Roman"/>
                <w:b/>
                <w:bCs/>
                <w:sz w:val="18"/>
                <w:szCs w:val="18"/>
              </w:rPr>
              <w:t>Domande relative agli altri aspetti del PSR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2CF7" w14:textId="77777777" w:rsidR="000801B0" w:rsidRPr="00091E6E" w:rsidRDefault="000801B0" w:rsidP="00DE0A05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091E6E">
              <w:rPr>
                <w:rFonts w:eastAsia="Times New Roman"/>
                <w:sz w:val="18"/>
                <w:szCs w:val="18"/>
              </w:rPr>
              <w:t>19-21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B9A6" w14:textId="2562CA5A" w:rsidR="000801B0" w:rsidRPr="00091E6E" w:rsidRDefault="00025E20" w:rsidP="00DE0A05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025E20">
              <w:rPr>
                <w:rFonts w:eastAsia="Times New Roman"/>
                <w:sz w:val="18"/>
                <w:szCs w:val="18"/>
              </w:rPr>
              <w:t>Domande sull'efficienza attuativa del PSR, con riferimento alle sinergie tra misure, alle attività di assistenza tecnica, comunicazione e valutazione, e al ruolo della Rete Rurale Nazionale.</w:t>
            </w:r>
          </w:p>
        </w:tc>
      </w:tr>
      <w:tr w:rsidR="000801B0" w:rsidRPr="00091E6E" w14:paraId="5C3C5324" w14:textId="77777777" w:rsidTr="00DE0A05">
        <w:trPr>
          <w:trHeight w:val="476"/>
        </w:trPr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49B4" w14:textId="5CE9EC6A" w:rsidR="000801B0" w:rsidRPr="00092904" w:rsidRDefault="000801B0" w:rsidP="00DE0A05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092904">
              <w:rPr>
                <w:rFonts w:eastAsia="Times New Roman"/>
                <w:b/>
                <w:bCs/>
                <w:sz w:val="18"/>
                <w:szCs w:val="18"/>
              </w:rPr>
              <w:t>Domande relative agli obiettivi a livello dell'Unione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4307" w14:textId="77777777" w:rsidR="000801B0" w:rsidRPr="00091E6E" w:rsidRDefault="000801B0" w:rsidP="00DE0A05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091E6E">
              <w:rPr>
                <w:rFonts w:eastAsia="Times New Roman"/>
                <w:sz w:val="18"/>
                <w:szCs w:val="18"/>
              </w:rPr>
              <w:t>22-2</w:t>
            </w: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25B4" w14:textId="2507ECA0" w:rsidR="000801B0" w:rsidRPr="00091E6E" w:rsidRDefault="00025E20" w:rsidP="00DE0A05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025E20">
              <w:rPr>
                <w:rFonts w:eastAsia="Times New Roman"/>
                <w:sz w:val="18"/>
                <w:szCs w:val="18"/>
              </w:rPr>
              <w:t>Domande sul contributo del PSR agli obiettivi della strategia Europa 2020 in materia di occupazione, mitigazione e adattamento al cambiamento climatico, ricerca e innovazione, e riduzione della povertà.</w:t>
            </w:r>
          </w:p>
        </w:tc>
      </w:tr>
      <w:tr w:rsidR="007C5211" w:rsidRPr="00091E6E" w14:paraId="2A177B75" w14:textId="77777777" w:rsidTr="00DE0A05">
        <w:trPr>
          <w:trHeight w:val="476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6E1DE5" w14:textId="77777777" w:rsidR="007C5211" w:rsidRPr="00091E6E" w:rsidRDefault="007C5211" w:rsidP="00DE0A05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D9B27" w14:textId="1BCF1299" w:rsidR="007C5211" w:rsidRPr="00091E6E" w:rsidRDefault="007C5211" w:rsidP="00DE0A05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61383" w14:textId="7D60FA8F" w:rsidR="007C5211" w:rsidRPr="00091E6E" w:rsidRDefault="00025E20" w:rsidP="00DE0A05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025E20">
              <w:rPr>
                <w:rFonts w:eastAsia="Times New Roman"/>
                <w:sz w:val="18"/>
                <w:szCs w:val="18"/>
              </w:rPr>
              <w:t>Domanda sul contributo del PSR alla strategia dell'Unione europea per la biodiversit</w:t>
            </w:r>
            <w:r>
              <w:rPr>
                <w:rFonts w:eastAsia="Times New Roman"/>
                <w:sz w:val="18"/>
                <w:szCs w:val="18"/>
              </w:rPr>
              <w:t>à.</w:t>
            </w:r>
          </w:p>
        </w:tc>
      </w:tr>
      <w:tr w:rsidR="000801B0" w:rsidRPr="00091E6E" w14:paraId="00E32A4D" w14:textId="77777777" w:rsidTr="00DE0A05">
        <w:trPr>
          <w:trHeight w:val="476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635F" w14:textId="77777777" w:rsidR="000801B0" w:rsidRPr="00091E6E" w:rsidRDefault="000801B0" w:rsidP="00DE0A05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FE72" w14:textId="63EB39F3" w:rsidR="000801B0" w:rsidRPr="00091E6E" w:rsidRDefault="000801B0" w:rsidP="00DE0A05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091E6E">
              <w:rPr>
                <w:rFonts w:eastAsia="Times New Roman"/>
                <w:sz w:val="18"/>
                <w:szCs w:val="18"/>
              </w:rPr>
              <w:t>2</w:t>
            </w:r>
            <w:r w:rsidR="007C5211">
              <w:rPr>
                <w:rFonts w:eastAsia="Times New Roman"/>
                <w:sz w:val="18"/>
                <w:szCs w:val="18"/>
              </w:rPr>
              <w:t>7</w:t>
            </w:r>
            <w:r w:rsidRPr="00091E6E">
              <w:rPr>
                <w:rFonts w:eastAsia="Times New Roman"/>
                <w:sz w:val="18"/>
                <w:szCs w:val="18"/>
              </w:rPr>
              <w:t>-29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011A" w14:textId="0C266C9F" w:rsidR="00772D56" w:rsidRPr="00025E20" w:rsidRDefault="00025E20" w:rsidP="00DE0A05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025E20">
              <w:rPr>
                <w:rFonts w:eastAsia="Times New Roman"/>
                <w:sz w:val="18"/>
                <w:szCs w:val="18"/>
              </w:rPr>
              <w:t>Domande sul contributo del PSR ai tre obiettivi generali della PAC: promuovere la competitività del settore agricolo; garantire una gestione sostenibile delle risorse naturali e un'azione per il clima; realizzare uno sviluppo territoriale equilibrato delle economie e comunità rurali, incluse la creazione e il mantenimento dell'occupazione.</w:t>
            </w:r>
          </w:p>
        </w:tc>
      </w:tr>
      <w:tr w:rsidR="000801B0" w:rsidRPr="00091E6E" w14:paraId="18F6537D" w14:textId="77777777" w:rsidTr="00DE0A05">
        <w:trPr>
          <w:trHeight w:val="476"/>
        </w:trPr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A7602" w14:textId="77777777" w:rsidR="000801B0" w:rsidRPr="00091E6E" w:rsidRDefault="000801B0" w:rsidP="00DE0A05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00BF" w14:textId="77777777" w:rsidR="000801B0" w:rsidRPr="00091E6E" w:rsidRDefault="000801B0" w:rsidP="00DE0A05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091E6E">
              <w:rPr>
                <w:rFonts w:eastAsia="Times New Roman"/>
                <w:sz w:val="18"/>
                <w:szCs w:val="18"/>
              </w:rPr>
              <w:t>30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F7271" w14:textId="6B280851" w:rsidR="000801B0" w:rsidRPr="00091E6E" w:rsidRDefault="00025E20" w:rsidP="00DE0A05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025E20">
              <w:rPr>
                <w:rFonts w:eastAsia="Times New Roman"/>
                <w:sz w:val="18"/>
                <w:szCs w:val="18"/>
              </w:rPr>
              <w:t>Domanda sul contributo del PSR nel promuovere l'innovazione.</w:t>
            </w:r>
          </w:p>
        </w:tc>
      </w:tr>
    </w:tbl>
    <w:p w14:paraId="3CED8E65" w14:textId="77777777" w:rsidR="000801B0" w:rsidRDefault="000801B0" w:rsidP="002A5E7D">
      <w:pPr>
        <w:spacing w:before="60" w:after="60" w:line="360" w:lineRule="auto"/>
        <w:jc w:val="both"/>
      </w:pPr>
    </w:p>
    <w:p w14:paraId="62776787" w14:textId="72E9753F" w:rsidR="00D26BEB" w:rsidRDefault="00D26BEB" w:rsidP="002A5E7D">
      <w:pPr>
        <w:spacing w:before="60" w:after="60" w:line="360" w:lineRule="auto"/>
        <w:jc w:val="both"/>
      </w:pPr>
      <w:r w:rsidRPr="00A34B99">
        <w:t xml:space="preserve">Inoltre, la valutazione </w:t>
      </w:r>
      <w:r w:rsidR="00772D56" w:rsidRPr="00A34B99">
        <w:t xml:space="preserve">ex-post potrà includere la risposta ad ulteriori ed eventuali </w:t>
      </w:r>
      <w:r w:rsidR="00D21F2D">
        <w:t>DVS</w:t>
      </w:r>
      <w:r w:rsidR="00772D56" w:rsidRPr="00A34B99">
        <w:t xml:space="preserve"> in grado di differenziare e </w:t>
      </w:r>
      <w:r w:rsidRPr="00A34B99">
        <w:t>approfondire</w:t>
      </w:r>
      <w:r w:rsidR="009E1062" w:rsidRPr="00A34B99">
        <w:t xml:space="preserve"> questioni, </w:t>
      </w:r>
      <w:r w:rsidR="00772D56" w:rsidRPr="00A34B99">
        <w:t>tematiche</w:t>
      </w:r>
      <w:r w:rsidR="009E1062" w:rsidRPr="00A34B99">
        <w:t xml:space="preserve">, tipologie di risultati/impatti </w:t>
      </w:r>
      <w:r w:rsidR="00772D56" w:rsidRPr="00A34B99">
        <w:t xml:space="preserve">specifici del PSR Umbria e/o </w:t>
      </w:r>
      <w:r w:rsidRPr="00A34B99">
        <w:t>di interesse stra</w:t>
      </w:r>
      <w:r w:rsidRPr="00D26BEB">
        <w:t>tegico regionale non completamente</w:t>
      </w:r>
      <w:r w:rsidR="009E1062">
        <w:t xml:space="preserve"> affrontabili nella risposta a</w:t>
      </w:r>
      <w:r w:rsidR="006E3F46">
        <w:t>lle DVC</w:t>
      </w:r>
      <w:r w:rsidRPr="00D26BEB">
        <w:t xml:space="preserve">. </w:t>
      </w:r>
      <w:r w:rsidR="006E3F46">
        <w:t>Le</w:t>
      </w:r>
      <w:r w:rsidR="009E1062">
        <w:t xml:space="preserve"> </w:t>
      </w:r>
      <w:r w:rsidR="006E3F46">
        <w:t>D</w:t>
      </w:r>
      <w:r w:rsidRPr="00D26BEB">
        <w:t>VS permetter</w:t>
      </w:r>
      <w:r w:rsidR="009E1062">
        <w:t>ebbero</w:t>
      </w:r>
      <w:r w:rsidRPr="00D26BEB">
        <w:t xml:space="preserve"> </w:t>
      </w:r>
      <w:r w:rsidR="009E1062">
        <w:t xml:space="preserve">cioè </w:t>
      </w:r>
      <w:r w:rsidRPr="00D26BEB">
        <w:t xml:space="preserve">di fornire risposte mirate su temi rilevanti per le politiche regionali di sviluppo rurale. </w:t>
      </w:r>
      <w:r w:rsidR="009E1062">
        <w:t xml:space="preserve">In tale </w:t>
      </w:r>
      <w:r w:rsidR="006E3F46">
        <w:t xml:space="preserve">ottica le </w:t>
      </w:r>
      <w:r w:rsidR="009E1062">
        <w:t xml:space="preserve">eventuali </w:t>
      </w:r>
      <w:r w:rsidR="006E3F46">
        <w:t>D</w:t>
      </w:r>
      <w:r w:rsidR="009E1062">
        <w:t>VS saranno</w:t>
      </w:r>
      <w:r w:rsidRPr="00D26BEB">
        <w:t xml:space="preserve"> </w:t>
      </w:r>
      <w:r w:rsidR="009E1062">
        <w:t>tecnicamente definit</w:t>
      </w:r>
      <w:r w:rsidR="006E3F46">
        <w:t>e</w:t>
      </w:r>
      <w:r w:rsidR="009E1062">
        <w:t xml:space="preserve"> e strutturat</w:t>
      </w:r>
      <w:r w:rsidR="006E3F46">
        <w:t>e</w:t>
      </w:r>
      <w:r w:rsidR="009E1062">
        <w:t xml:space="preserve"> dal</w:t>
      </w:r>
      <w:r w:rsidRPr="00D26BEB">
        <w:t xml:space="preserve"> </w:t>
      </w:r>
      <w:r w:rsidR="009E1062">
        <w:t>V</w:t>
      </w:r>
      <w:r w:rsidRPr="00D26BEB">
        <w:t xml:space="preserve">alutatore </w:t>
      </w:r>
      <w:r w:rsidR="009E1062">
        <w:t xml:space="preserve">sulla base dei fabbisogni conoscitivi e valutativi espressi dalla </w:t>
      </w:r>
      <w:r w:rsidRPr="00D26BEB">
        <w:t xml:space="preserve">Autorità di Gestione nella fase di avvio della valutazione, tenendo </w:t>
      </w:r>
      <w:r w:rsidR="009E1062">
        <w:t>altresì co</w:t>
      </w:r>
      <w:r w:rsidRPr="00D26BEB">
        <w:t>nto degli indirizzi</w:t>
      </w:r>
      <w:r w:rsidR="009E1062">
        <w:t xml:space="preserve"> metodologici</w:t>
      </w:r>
      <w:r w:rsidRPr="00D26BEB">
        <w:t xml:space="preserve"> forniti dalle linee guida comunitarie</w:t>
      </w:r>
      <w:r w:rsidR="009E1062">
        <w:t xml:space="preserve">. </w:t>
      </w:r>
    </w:p>
    <w:p w14:paraId="49D9962E" w14:textId="77777777" w:rsidR="006C3AEE" w:rsidRDefault="006C3AEE" w:rsidP="002A5E7D">
      <w:pPr>
        <w:spacing w:before="100" w:after="100" w:line="360" w:lineRule="auto"/>
        <w:jc w:val="both"/>
      </w:pPr>
    </w:p>
    <w:p w14:paraId="43E3760A" w14:textId="7E20C2AE" w:rsidR="000801B0" w:rsidRDefault="000801B0" w:rsidP="002A5E7D">
      <w:pPr>
        <w:spacing w:before="100" w:after="100" w:line="360" w:lineRule="auto"/>
        <w:jc w:val="both"/>
      </w:pPr>
      <w:r>
        <w:t>La risposta a ciascun</w:t>
      </w:r>
      <w:r w:rsidR="006E3F46">
        <w:t>a</w:t>
      </w:r>
      <w:r>
        <w:t xml:space="preserve"> </w:t>
      </w:r>
      <w:r w:rsidR="006E3F46">
        <w:t>D</w:t>
      </w:r>
      <w:r w:rsidR="00D21F2D">
        <w:t xml:space="preserve">omanda </w:t>
      </w:r>
      <w:r w:rsidR="006E3F46">
        <w:t>V</w:t>
      </w:r>
      <w:r w:rsidR="00D21F2D">
        <w:t>alutativa (DV)</w:t>
      </w:r>
      <w:r>
        <w:t xml:space="preserve"> seguirà un approccio strutturato e replicabile, articolato in quattro fasi sequenziali, garantendo coerenza metodologica e confrontabilità tra i diversi quesiti.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1672"/>
        <w:gridCol w:w="7585"/>
      </w:tblGrid>
      <w:tr w:rsidR="000801B0" w:rsidRPr="00E519E9" w14:paraId="3FB8553D" w14:textId="77777777" w:rsidTr="009D0B9B">
        <w:trPr>
          <w:trHeight w:val="232"/>
          <w:tblHeader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3D64"/>
            <w:noWrap/>
            <w:vAlign w:val="center"/>
            <w:hideMark/>
          </w:tcPr>
          <w:p w14:paraId="08342CC3" w14:textId="77777777" w:rsidR="000801B0" w:rsidRPr="00E519E9" w:rsidRDefault="000801B0" w:rsidP="00092904">
            <w:pPr>
              <w:spacing w:after="0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E519E9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Fase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noWrap/>
            <w:vAlign w:val="center"/>
            <w:hideMark/>
          </w:tcPr>
          <w:p w14:paraId="54A5EC96" w14:textId="77777777" w:rsidR="000801B0" w:rsidRPr="00E519E9" w:rsidRDefault="000801B0" w:rsidP="00092904">
            <w:pPr>
              <w:spacing w:after="0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E519E9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Denominazione</w:t>
            </w:r>
          </w:p>
        </w:tc>
        <w:tc>
          <w:tcPr>
            <w:tcW w:w="3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noWrap/>
            <w:vAlign w:val="center"/>
            <w:hideMark/>
          </w:tcPr>
          <w:p w14:paraId="7C7215B9" w14:textId="77777777" w:rsidR="000801B0" w:rsidRPr="00E519E9" w:rsidRDefault="000801B0" w:rsidP="00092904">
            <w:pPr>
              <w:spacing w:after="0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E519E9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Descrizione</w:t>
            </w:r>
          </w:p>
        </w:tc>
      </w:tr>
      <w:tr w:rsidR="000801B0" w:rsidRPr="00E519E9" w14:paraId="6914F15D" w14:textId="77777777" w:rsidTr="009D0B9B">
        <w:trPr>
          <w:trHeight w:val="85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E8E4" w14:textId="77777777" w:rsidR="000801B0" w:rsidRPr="00E519E9" w:rsidRDefault="000801B0" w:rsidP="00092904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E519E9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439A" w14:textId="77777777" w:rsidR="000801B0" w:rsidRPr="00E519E9" w:rsidRDefault="000801B0" w:rsidP="00092904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E519E9">
              <w:rPr>
                <w:rFonts w:eastAsia="Times New Roman"/>
                <w:b/>
                <w:bCs/>
                <w:sz w:val="18"/>
                <w:szCs w:val="18"/>
              </w:rPr>
              <w:t>Quadro logico</w:t>
            </w:r>
          </w:p>
        </w:tc>
        <w:tc>
          <w:tcPr>
            <w:tcW w:w="3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3D72" w14:textId="3EADC74D" w:rsidR="000801B0" w:rsidRPr="00E519E9" w:rsidRDefault="00990EAB" w:rsidP="006E3F46">
            <w:pPr>
              <w:spacing w:after="0"/>
              <w:jc w:val="both"/>
              <w:rPr>
                <w:rFonts w:eastAsia="Times New Roman"/>
                <w:sz w:val="18"/>
                <w:szCs w:val="18"/>
              </w:rPr>
            </w:pPr>
            <w:r w:rsidRPr="00990EAB">
              <w:rPr>
                <w:rFonts w:eastAsia="Times New Roman"/>
                <w:sz w:val="18"/>
                <w:szCs w:val="18"/>
              </w:rPr>
              <w:t xml:space="preserve">Per ciascuna </w:t>
            </w:r>
            <w:r>
              <w:rPr>
                <w:rFonts w:eastAsia="Times New Roman"/>
                <w:sz w:val="18"/>
                <w:szCs w:val="18"/>
              </w:rPr>
              <w:t>DV</w:t>
            </w:r>
            <w:r w:rsidRPr="00990EAB">
              <w:rPr>
                <w:rFonts w:eastAsia="Times New Roman"/>
                <w:sz w:val="18"/>
                <w:szCs w:val="18"/>
              </w:rPr>
              <w:t xml:space="preserve"> sarà ricostruito, a partire dal PSR, il quadro logico che collega </w:t>
            </w:r>
            <w:r>
              <w:rPr>
                <w:rFonts w:eastAsia="Times New Roman"/>
                <w:sz w:val="18"/>
                <w:szCs w:val="18"/>
              </w:rPr>
              <w:t>M</w:t>
            </w:r>
            <w:r w:rsidRPr="00990EAB">
              <w:rPr>
                <w:rFonts w:eastAsia="Times New Roman"/>
                <w:sz w:val="18"/>
                <w:szCs w:val="18"/>
              </w:rPr>
              <w:t xml:space="preserve">isure e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S</w:t>
            </w:r>
            <w:r w:rsidRPr="00990EAB">
              <w:rPr>
                <w:rFonts w:eastAsia="Times New Roman"/>
                <w:sz w:val="18"/>
                <w:szCs w:val="18"/>
              </w:rPr>
              <w:t>ottomisure</w:t>
            </w:r>
            <w:proofErr w:type="spellEnd"/>
            <w:r w:rsidRPr="00990EAB">
              <w:rPr>
                <w:rFonts w:eastAsia="Times New Roman"/>
                <w:sz w:val="18"/>
                <w:szCs w:val="18"/>
              </w:rPr>
              <w:t xml:space="preserve"> alle </w:t>
            </w:r>
            <w:r>
              <w:rPr>
                <w:rFonts w:eastAsia="Times New Roman"/>
                <w:sz w:val="18"/>
                <w:szCs w:val="18"/>
              </w:rPr>
              <w:t>F</w:t>
            </w:r>
            <w:r w:rsidRPr="00990EAB">
              <w:rPr>
                <w:rFonts w:eastAsia="Times New Roman"/>
                <w:sz w:val="18"/>
                <w:szCs w:val="18"/>
              </w:rPr>
              <w:t xml:space="preserve">ocus </w:t>
            </w:r>
            <w:r>
              <w:rPr>
                <w:rFonts w:eastAsia="Times New Roman"/>
                <w:sz w:val="18"/>
                <w:szCs w:val="18"/>
              </w:rPr>
              <w:t>A</w:t>
            </w:r>
            <w:r w:rsidRPr="00990EAB">
              <w:rPr>
                <w:rFonts w:eastAsia="Times New Roman"/>
                <w:sz w:val="18"/>
                <w:szCs w:val="18"/>
              </w:rPr>
              <w:t xml:space="preserve">rea di riferimento, alle </w:t>
            </w:r>
            <w:r>
              <w:rPr>
                <w:rFonts w:eastAsia="Times New Roman"/>
                <w:sz w:val="18"/>
                <w:szCs w:val="18"/>
              </w:rPr>
              <w:t>P</w:t>
            </w:r>
            <w:r w:rsidRPr="00990EAB">
              <w:rPr>
                <w:rFonts w:eastAsia="Times New Roman"/>
                <w:sz w:val="18"/>
                <w:szCs w:val="18"/>
              </w:rPr>
              <w:t xml:space="preserve">riorità dello sviluppo rurale e agli obiettivi della PAC, distinguendo i contributi diretti da quelli indiretti rispetto all'obiettivo della </w:t>
            </w:r>
            <w:r>
              <w:rPr>
                <w:rFonts w:eastAsia="Times New Roman"/>
                <w:sz w:val="18"/>
                <w:szCs w:val="18"/>
              </w:rPr>
              <w:t>DV</w:t>
            </w:r>
            <w:r w:rsidRPr="00990EAB">
              <w:rPr>
                <w:rFonts w:eastAsia="Times New Roman"/>
                <w:sz w:val="18"/>
                <w:szCs w:val="18"/>
              </w:rPr>
              <w:t>.</w:t>
            </w:r>
          </w:p>
        </w:tc>
      </w:tr>
      <w:tr w:rsidR="000801B0" w:rsidRPr="00E519E9" w14:paraId="37DAA242" w14:textId="77777777" w:rsidTr="00DE0A05">
        <w:trPr>
          <w:trHeight w:val="85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6A67" w14:textId="77777777" w:rsidR="000801B0" w:rsidRPr="00E519E9" w:rsidRDefault="000801B0" w:rsidP="00DE0A05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E519E9">
              <w:rPr>
                <w:rFonts w:eastAsia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E7A8" w14:textId="77777777" w:rsidR="000801B0" w:rsidRPr="00E519E9" w:rsidRDefault="000801B0" w:rsidP="00DE0A05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E519E9">
              <w:rPr>
                <w:rFonts w:eastAsia="Times New Roman"/>
                <w:b/>
                <w:bCs/>
                <w:sz w:val="18"/>
                <w:szCs w:val="18"/>
              </w:rPr>
              <w:t>Indicatori di contesto</w:t>
            </w:r>
          </w:p>
        </w:tc>
        <w:tc>
          <w:tcPr>
            <w:tcW w:w="3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E3A2" w14:textId="5C6073C4" w:rsidR="000801B0" w:rsidRPr="00E519E9" w:rsidRDefault="00990EAB" w:rsidP="00DE0A05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990EAB">
              <w:rPr>
                <w:rFonts w:eastAsia="Times New Roman"/>
                <w:sz w:val="18"/>
                <w:szCs w:val="18"/>
              </w:rPr>
              <w:t xml:space="preserve">Gli indicatori di contesto pertinenti saranno aggiornati sulla base delle </w:t>
            </w:r>
            <w:r>
              <w:rPr>
                <w:rFonts w:eastAsia="Times New Roman"/>
                <w:sz w:val="18"/>
                <w:szCs w:val="18"/>
              </w:rPr>
              <w:t>fiches</w:t>
            </w:r>
            <w:r w:rsidRPr="00990EAB">
              <w:rPr>
                <w:rFonts w:eastAsia="Times New Roman"/>
                <w:sz w:val="18"/>
                <w:szCs w:val="18"/>
              </w:rPr>
              <w:t xml:space="preserve"> della Commissione europea, al fine di descrivere l'evoluzione del contesto territoriale e settoriale in cui il Programma ha operato e i relativi fabbisogni.</w:t>
            </w:r>
          </w:p>
        </w:tc>
      </w:tr>
      <w:tr w:rsidR="000801B0" w:rsidRPr="00E519E9" w14:paraId="3A08FC4E" w14:textId="77777777" w:rsidTr="00DE0A05">
        <w:trPr>
          <w:trHeight w:val="85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80BD" w14:textId="77777777" w:rsidR="000801B0" w:rsidRPr="00E519E9" w:rsidRDefault="000801B0" w:rsidP="00DE0A05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E519E9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A66D" w14:textId="77777777" w:rsidR="000801B0" w:rsidRPr="00E519E9" w:rsidRDefault="000801B0" w:rsidP="00DE0A05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E519E9">
              <w:rPr>
                <w:rFonts w:eastAsia="Times New Roman"/>
                <w:b/>
                <w:bCs/>
                <w:sz w:val="18"/>
                <w:szCs w:val="18"/>
              </w:rPr>
              <w:t>Criteri di giudizio</w:t>
            </w:r>
          </w:p>
        </w:tc>
        <w:tc>
          <w:tcPr>
            <w:tcW w:w="3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A6A5" w14:textId="793027BC" w:rsidR="000801B0" w:rsidRPr="00E519E9" w:rsidRDefault="00990EAB" w:rsidP="00DE0A05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990EAB">
              <w:rPr>
                <w:rFonts w:eastAsia="Times New Roman"/>
                <w:sz w:val="18"/>
                <w:szCs w:val="18"/>
              </w:rPr>
              <w:t>I criteri di giudizio</w:t>
            </w:r>
            <w:r>
              <w:rPr>
                <w:rFonts w:eastAsia="Times New Roman"/>
                <w:sz w:val="18"/>
                <w:szCs w:val="18"/>
              </w:rPr>
              <w:t xml:space="preserve"> - </w:t>
            </w:r>
            <w:r w:rsidRPr="00990EAB">
              <w:rPr>
                <w:rFonts w:eastAsia="Times New Roman"/>
                <w:sz w:val="18"/>
                <w:szCs w:val="18"/>
              </w:rPr>
              <w:t>ovvero le condizioni la cui soddisfazione consente di rispondere positivamente alle domande valutative</w:t>
            </w:r>
            <w:r>
              <w:rPr>
                <w:rFonts w:eastAsia="Times New Roman"/>
                <w:sz w:val="18"/>
                <w:szCs w:val="18"/>
              </w:rPr>
              <w:t xml:space="preserve"> - </w:t>
            </w:r>
            <w:r w:rsidRPr="00990EAB">
              <w:rPr>
                <w:rFonts w:eastAsia="Times New Roman"/>
                <w:sz w:val="18"/>
                <w:szCs w:val="18"/>
              </w:rPr>
              <w:t xml:space="preserve">saranno definiti a partire dalle proposte contenute nelle schede metodologiche dei </w:t>
            </w:r>
            <w:r>
              <w:rPr>
                <w:rFonts w:eastAsia="Times New Roman"/>
                <w:sz w:val="18"/>
                <w:szCs w:val="18"/>
              </w:rPr>
              <w:t>Se</w:t>
            </w:r>
            <w:r w:rsidRPr="00990EAB">
              <w:rPr>
                <w:rFonts w:eastAsia="Times New Roman"/>
                <w:sz w:val="18"/>
                <w:szCs w:val="18"/>
              </w:rPr>
              <w:t>rvizi</w:t>
            </w:r>
            <w:r w:rsidRPr="00990EAB">
              <w:rPr>
                <w:rFonts w:eastAsia="Times New Roman"/>
                <w:sz w:val="18"/>
                <w:szCs w:val="18"/>
              </w:rPr>
              <w:t xml:space="preserve"> della Commissione europea e integrati con elaborazioni proprie del valutatore.</w:t>
            </w:r>
          </w:p>
        </w:tc>
      </w:tr>
      <w:tr w:rsidR="000801B0" w:rsidRPr="00E519E9" w14:paraId="1BD5EB9B" w14:textId="77777777" w:rsidTr="00DE0A05">
        <w:trPr>
          <w:trHeight w:val="85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198D" w14:textId="77777777" w:rsidR="000801B0" w:rsidRPr="00E519E9" w:rsidRDefault="000801B0" w:rsidP="00DE0A05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E519E9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E833" w14:textId="2F9B4B3D" w:rsidR="000801B0" w:rsidRPr="00E519E9" w:rsidRDefault="000801B0" w:rsidP="00DE0A05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E519E9">
              <w:rPr>
                <w:rFonts w:eastAsia="Times New Roman"/>
                <w:b/>
                <w:bCs/>
                <w:sz w:val="18"/>
                <w:szCs w:val="18"/>
              </w:rPr>
              <w:t>Indicatori</w:t>
            </w:r>
            <w:r w:rsidR="00102D0E">
              <w:rPr>
                <w:rFonts w:eastAsia="Times New Roman"/>
                <w:b/>
                <w:bCs/>
                <w:sz w:val="18"/>
                <w:szCs w:val="18"/>
              </w:rPr>
              <w:t xml:space="preserve"> e altri elementi qualitativi</w:t>
            </w:r>
          </w:p>
        </w:tc>
        <w:tc>
          <w:tcPr>
            <w:tcW w:w="3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CC48" w14:textId="0A068D25" w:rsidR="000801B0" w:rsidRPr="009F2A8B" w:rsidRDefault="00BE4224" w:rsidP="00DE0A05">
            <w:pPr>
              <w:spacing w:after="0"/>
              <w:rPr>
                <w:rFonts w:eastAsia="Times New Roman"/>
                <w:color w:val="auto"/>
                <w:sz w:val="18"/>
                <w:szCs w:val="18"/>
              </w:rPr>
            </w:pPr>
            <w:r w:rsidRPr="00BE4224">
              <w:rPr>
                <w:rFonts w:eastAsia="Times New Roman"/>
                <w:color w:val="auto"/>
                <w:sz w:val="18"/>
                <w:szCs w:val="18"/>
              </w:rPr>
              <w:t>Per ciascun criterio di giudizio saranno individuati e calcolati gli indicatori di prodotto, di risultato</w:t>
            </w:r>
            <w:r>
              <w:rPr>
                <w:rFonts w:eastAsia="Times New Roman"/>
                <w:color w:val="auto"/>
                <w:sz w:val="18"/>
                <w:szCs w:val="18"/>
              </w:rPr>
              <w:t xml:space="preserve"> (</w:t>
            </w:r>
            <w:r w:rsidRPr="00BE4224">
              <w:rPr>
                <w:rFonts w:eastAsia="Times New Roman"/>
                <w:color w:val="auto"/>
                <w:sz w:val="18"/>
                <w:szCs w:val="18"/>
              </w:rPr>
              <w:t>di obiettivo e complementari</w:t>
            </w:r>
            <w:r>
              <w:rPr>
                <w:rFonts w:eastAsia="Times New Roman"/>
                <w:color w:val="auto"/>
                <w:sz w:val="18"/>
                <w:szCs w:val="18"/>
              </w:rPr>
              <w:t xml:space="preserve">) comuni </w:t>
            </w:r>
            <w:r w:rsidRPr="00BE4224">
              <w:rPr>
                <w:rFonts w:eastAsia="Times New Roman"/>
                <w:color w:val="auto"/>
                <w:sz w:val="18"/>
                <w:szCs w:val="18"/>
              </w:rPr>
              <w:t xml:space="preserve">e, </w:t>
            </w:r>
            <w:r>
              <w:rPr>
                <w:rFonts w:eastAsia="Times New Roman"/>
                <w:color w:val="auto"/>
                <w:sz w:val="18"/>
                <w:szCs w:val="18"/>
              </w:rPr>
              <w:t>dove</w:t>
            </w:r>
            <w:r w:rsidRPr="00BE4224">
              <w:rPr>
                <w:rFonts w:eastAsia="Times New Roman"/>
                <w:color w:val="auto"/>
                <w:sz w:val="18"/>
                <w:szCs w:val="18"/>
              </w:rPr>
              <w:t xml:space="preserve"> le informazioni disponibili lo consentano e la rilevanza statistica lo giustifichi, anche di impatto</w:t>
            </w:r>
            <w:r>
              <w:rPr>
                <w:rFonts w:eastAsia="Times New Roman"/>
                <w:color w:val="auto"/>
                <w:sz w:val="18"/>
                <w:szCs w:val="18"/>
              </w:rPr>
              <w:t xml:space="preserve"> - </w:t>
            </w:r>
            <w:r w:rsidRPr="00BE4224">
              <w:rPr>
                <w:rFonts w:eastAsia="Times New Roman"/>
                <w:color w:val="auto"/>
                <w:sz w:val="18"/>
                <w:szCs w:val="18"/>
              </w:rPr>
              <w:t xml:space="preserve">nonché eventuali indicatori aggiuntivi o "proxy" rispetto a quelli comuni. </w:t>
            </w:r>
            <w:r w:rsidR="00990EAB">
              <w:rPr>
                <w:rFonts w:eastAsia="Times New Roman"/>
                <w:color w:val="auto"/>
                <w:sz w:val="18"/>
                <w:szCs w:val="18"/>
              </w:rPr>
              <w:t xml:space="preserve">Questi verranno calcolati </w:t>
            </w:r>
            <w:r w:rsidR="00990EAB" w:rsidRPr="00990EAB">
              <w:rPr>
                <w:rFonts w:eastAsia="Times New Roman"/>
                <w:sz w:val="18"/>
                <w:szCs w:val="18"/>
              </w:rPr>
              <w:t xml:space="preserve">sulla base delle </w:t>
            </w:r>
            <w:r w:rsidR="00990EAB">
              <w:rPr>
                <w:rFonts w:eastAsia="Times New Roman"/>
                <w:sz w:val="18"/>
                <w:szCs w:val="18"/>
              </w:rPr>
              <w:t>fiches</w:t>
            </w:r>
            <w:r w:rsidR="00990EAB">
              <w:rPr>
                <w:rFonts w:eastAsia="Times New Roman"/>
                <w:sz w:val="18"/>
                <w:szCs w:val="18"/>
              </w:rPr>
              <w:t xml:space="preserve"> </w:t>
            </w:r>
            <w:r w:rsidR="00990EAB" w:rsidRPr="00990EAB">
              <w:rPr>
                <w:rFonts w:eastAsia="Times New Roman"/>
                <w:sz w:val="18"/>
                <w:szCs w:val="18"/>
              </w:rPr>
              <w:t>della Commissione europea</w:t>
            </w:r>
            <w:r w:rsidR="00990EAB">
              <w:rPr>
                <w:rFonts w:eastAsia="Times New Roman"/>
                <w:sz w:val="18"/>
                <w:szCs w:val="18"/>
              </w:rPr>
              <w:t xml:space="preserve">. </w:t>
            </w:r>
            <w:r w:rsidRPr="00BE4224">
              <w:rPr>
                <w:rFonts w:eastAsia="Times New Roman"/>
                <w:color w:val="auto"/>
                <w:sz w:val="18"/>
                <w:szCs w:val="18"/>
              </w:rPr>
              <w:t>L'analisi sarà integrata da elementi conoscitivi e valutativi di natura qualitativa, raccolti tramite interviste individuali e focus group con testimoni privilegiati ed esperti, con funzione interpretativa degli indicatori e per cogliere processi, dinamiche ed effetti non altrimenti misurabili.</w:t>
            </w:r>
          </w:p>
        </w:tc>
      </w:tr>
      <w:tr w:rsidR="009F2A8B" w:rsidRPr="00E519E9" w14:paraId="526AA769" w14:textId="77777777" w:rsidTr="00DE0A05">
        <w:trPr>
          <w:trHeight w:val="85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D40C" w14:textId="2937322D" w:rsidR="009F2A8B" w:rsidRPr="00E519E9" w:rsidRDefault="009D0B9B" w:rsidP="00DE0A05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9E36" w14:textId="43F97300" w:rsidR="009F2A8B" w:rsidRPr="00E519E9" w:rsidRDefault="009D0B9B" w:rsidP="00DE0A05">
            <w:pPr>
              <w:spacing w:after="0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Conclusioni e Raccomandazioni</w:t>
            </w:r>
          </w:p>
        </w:tc>
        <w:tc>
          <w:tcPr>
            <w:tcW w:w="3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84CE4" w14:textId="56662967" w:rsidR="009F2A8B" w:rsidRPr="000801B0" w:rsidRDefault="00BE4224" w:rsidP="00DE0A05">
            <w:pPr>
              <w:spacing w:after="0"/>
              <w:rPr>
                <w:rFonts w:eastAsia="Times New Roman"/>
                <w:color w:val="auto"/>
                <w:sz w:val="18"/>
                <w:szCs w:val="18"/>
              </w:rPr>
            </w:pPr>
            <w:r w:rsidRPr="00BE4224">
              <w:rPr>
                <w:rFonts w:eastAsia="Times New Roman"/>
                <w:color w:val="auto"/>
                <w:sz w:val="18"/>
                <w:szCs w:val="18"/>
              </w:rPr>
              <w:t xml:space="preserve">Per ciascuna </w:t>
            </w:r>
            <w:r>
              <w:rPr>
                <w:rFonts w:eastAsia="Times New Roman"/>
                <w:color w:val="auto"/>
                <w:sz w:val="18"/>
                <w:szCs w:val="18"/>
              </w:rPr>
              <w:t>DV</w:t>
            </w:r>
            <w:r w:rsidRPr="00BE4224">
              <w:rPr>
                <w:rFonts w:eastAsia="Times New Roman"/>
                <w:color w:val="auto"/>
                <w:sz w:val="18"/>
                <w:szCs w:val="18"/>
              </w:rPr>
              <w:t xml:space="preserve"> sarà fornita una risposta che sintetizza le analisi svolte e, </w:t>
            </w:r>
            <w:r>
              <w:rPr>
                <w:rFonts w:eastAsia="Times New Roman"/>
                <w:color w:val="auto"/>
                <w:sz w:val="18"/>
                <w:szCs w:val="18"/>
              </w:rPr>
              <w:t>dove</w:t>
            </w:r>
            <w:r w:rsidRPr="00BE4224">
              <w:rPr>
                <w:rFonts w:eastAsia="Times New Roman"/>
                <w:color w:val="auto"/>
                <w:sz w:val="18"/>
                <w:szCs w:val="18"/>
              </w:rPr>
              <w:t xml:space="preserve"> opportuno, le relative raccomandazioni.</w:t>
            </w:r>
          </w:p>
        </w:tc>
      </w:tr>
    </w:tbl>
    <w:p w14:paraId="65B20240" w14:textId="77777777" w:rsidR="000801B0" w:rsidRDefault="000801B0" w:rsidP="002A5E7D">
      <w:pPr>
        <w:spacing w:line="360" w:lineRule="auto"/>
      </w:pPr>
    </w:p>
    <w:p w14:paraId="2E577CD7" w14:textId="4D8E7EBE" w:rsidR="00461DFF" w:rsidRDefault="00461DFF" w:rsidP="0088147F">
      <w:pPr>
        <w:pStyle w:val="Titolo2"/>
        <w:numPr>
          <w:ilvl w:val="0"/>
          <w:numId w:val="0"/>
        </w:numPr>
        <w:spacing w:line="360" w:lineRule="auto"/>
        <w:ind w:left="576" w:hanging="576"/>
      </w:pPr>
      <w:bookmarkStart w:id="1" w:name="_Hlk231655779"/>
      <w:r>
        <w:t>2.3 Fonti informative per lo svolgimento delle analisi</w:t>
      </w:r>
    </w:p>
    <w:bookmarkEnd w:id="1"/>
    <w:p w14:paraId="1953B304" w14:textId="6BD4D213" w:rsidR="00025E20" w:rsidRPr="00025E20" w:rsidRDefault="00025E20" w:rsidP="00025E20">
      <w:pPr>
        <w:spacing w:line="360" w:lineRule="auto"/>
      </w:pPr>
      <w:r w:rsidRPr="00025E20">
        <w:t>La valutazione ex-post ha il compito di tracciare un bilancio conclusivo del processo valutativo pluriennale che ha accompagnato il PSR fin dal suo avvio, aggregando e in parte reinterpretando gli esiti delle valutazioni precedenti. Ciò alla luce dell'effettivo livello di attuazione raggiunto dal Programma, delle caratteristiche degli interventi realizzati e delle più recenti dinamiche sociali, economiche e ambientali del contesto in cui esso ha operato</w:t>
      </w:r>
      <w:r w:rsidRPr="00025E20">
        <w:t xml:space="preserve">, </w:t>
      </w:r>
      <w:r w:rsidRPr="00025E20">
        <w:t>elementi tutti in evoluzione rispetto alle ipotesi iniziali.</w:t>
      </w:r>
    </w:p>
    <w:p w14:paraId="3B075667" w14:textId="77777777" w:rsidR="00025E20" w:rsidRPr="00025E20" w:rsidRDefault="00025E20" w:rsidP="00025E20">
      <w:pPr>
        <w:spacing w:line="360" w:lineRule="auto"/>
      </w:pPr>
      <w:r w:rsidRPr="00025E20">
        <w:t>In questa prospettiva, e in coerenza con le precedenti relazioni annuali, la principale fonte informativa è il sistema di monitoraggio del Programma, che fornisce dati elementari di natura finanziaria e fisica, inclusi il numero e le caratteristiche dei beneficiari e delle operazioni concluse. In questo ambito rientrano i dati acquisiti dall'OPDB di AGEA e i dati DDS TEST, anch'essi di AGEA, utilizzati principalmente per la quantificazione degli indicatori ambientali. Sempre tra le fonti amministrative, con riferimento all'attuazione di LEADER, si utilizzano i dati procedurali e finanziari aggregati e per singola SSL dei GAL.</w:t>
      </w:r>
    </w:p>
    <w:p w14:paraId="238A7EDE" w14:textId="77777777" w:rsidR="00025E20" w:rsidRPr="00025E20" w:rsidRDefault="00025E20" w:rsidP="00025E20">
      <w:pPr>
        <w:spacing w:line="360" w:lineRule="auto"/>
      </w:pPr>
      <w:r w:rsidRPr="00025E20">
        <w:t>Per l'analisi delle dinamiche di contesto si farà ricorso a fonti statistiche ufficiali e a istituti di ricerca in grado di fornire dati e indicatori disaggregati almeno a livello regionale: ISTAT, EUROSTAT, CREA-RICA, ISMEA, ISPRA e fonti regionali specifiche.</w:t>
      </w:r>
    </w:p>
    <w:p w14:paraId="1331CF23" w14:textId="3B163A3A" w:rsidR="00025E20" w:rsidRPr="00025E20" w:rsidRDefault="00025E20" w:rsidP="00025E20">
      <w:pPr>
        <w:spacing w:line="360" w:lineRule="auto"/>
      </w:pPr>
      <w:r w:rsidRPr="00025E20">
        <w:t>La raccolta di informazioni quantitative e di giudizio di origine primaria si baserà principalmente su tecniche partecipative</w:t>
      </w:r>
      <w:r w:rsidRPr="00025E20">
        <w:t xml:space="preserve"> - </w:t>
      </w:r>
      <w:r w:rsidRPr="00025E20">
        <w:t>interviste individuali e focus group con testimoni privilegiati ed esperti, interni ed esterni al Programma</w:t>
      </w:r>
      <w:r w:rsidRPr="00025E20">
        <w:t xml:space="preserve"> - </w:t>
      </w:r>
      <w:r w:rsidRPr="00025E20">
        <w:t>finalizzate a migliorare l'interpretazione e ampliare i risultati delle elaborazioni già condotte nelle valutazioni annuali, basate sui dati di monitoraggio e su quelli primari acquisiti tramite indagini dirette, come nel caso del calcolo dell'indicatore R2.</w:t>
      </w:r>
    </w:p>
    <w:p w14:paraId="32EA3F16" w14:textId="74D727C9" w:rsidR="00461DFF" w:rsidRPr="00662346" w:rsidRDefault="00461DFF" w:rsidP="0088147F">
      <w:pPr>
        <w:pStyle w:val="Titolo2"/>
        <w:numPr>
          <w:ilvl w:val="0"/>
          <w:numId w:val="0"/>
        </w:numPr>
        <w:spacing w:line="360" w:lineRule="auto"/>
        <w:ind w:left="576" w:hanging="576"/>
      </w:pPr>
      <w:r w:rsidRPr="00662346">
        <w:lastRenderedPageBreak/>
        <w:t>2.4 Conclusioni e raccomandazioni generali</w:t>
      </w:r>
    </w:p>
    <w:p w14:paraId="76DD2B18" w14:textId="77777777" w:rsidR="00025E20" w:rsidRPr="00025E20" w:rsidRDefault="00025E20" w:rsidP="00025E20">
      <w:pPr>
        <w:spacing w:line="360" w:lineRule="auto"/>
        <w:jc w:val="both"/>
      </w:pPr>
      <w:r w:rsidRPr="00025E20">
        <w:t>In questa sezione conclusiva saranno riepilogati i principali esiti delle analisi condotte per domande valutative, evidenziando gli aspetti interni al PSR e i contributi agli obiettivi generali dell'UE per i quali si sono registrati i risultati e gli impatti più significativi.</w:t>
      </w:r>
    </w:p>
    <w:p w14:paraId="1DCB2EC8" w14:textId="47E19513" w:rsidR="00025E20" w:rsidRPr="00025E20" w:rsidRDefault="00025E20" w:rsidP="00025E20">
      <w:pPr>
        <w:spacing w:line="360" w:lineRule="auto"/>
        <w:jc w:val="both"/>
      </w:pPr>
      <w:r w:rsidRPr="00025E20">
        <w:t>Le raccomandazioni, come anticipato in premessa, sono finalizzate a fornire alla Regione elementi utili per l'impostazione della programmazione post-2027 a livello regionale. Comprenderanno la segnalazione di eventuali criticità rilevate</w:t>
      </w:r>
      <w:r w:rsidR="006C3AEE">
        <w:t xml:space="preserve"> - </w:t>
      </w:r>
      <w:r w:rsidRPr="00025E20">
        <w:t>nell'utilità, nell'efficacia o nelle modalità di attuazione degli interventi</w:t>
      </w:r>
      <w:r w:rsidR="006C3AEE">
        <w:t xml:space="preserve"> - </w:t>
      </w:r>
      <w:r w:rsidRPr="00025E20">
        <w:t>sulle quali intervenire, la valorizzazione di esperienze e buone pratiche meritevoli di continuità, nonché le nuove opportunità di intervento e di gestione offerte dal quadro normativo e programmatico in via di definizione.</w:t>
      </w:r>
    </w:p>
    <w:sectPr w:rsidR="00025E20" w:rsidRPr="00025E20" w:rsidSect="000524D7">
      <w:headerReference w:type="default" r:id="rId8"/>
      <w:headerReference w:type="first" r:id="rId9"/>
      <w:footerReference w:type="first" r:id="rId10"/>
      <w:pgSz w:w="11900" w:h="16840"/>
      <w:pgMar w:top="1134" w:right="851" w:bottom="1134" w:left="1134" w:header="2268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C8893" w14:textId="77777777" w:rsidR="00A15415" w:rsidRDefault="00A15415" w:rsidP="000A71FF">
      <w:r>
        <w:separator/>
      </w:r>
    </w:p>
  </w:endnote>
  <w:endnote w:type="continuationSeparator" w:id="0">
    <w:p w14:paraId="67FDDC39" w14:textId="77777777" w:rsidR="00A15415" w:rsidRDefault="00A15415" w:rsidP="000A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28D6" w14:textId="77777777" w:rsidR="00D26C72" w:rsidRDefault="000524D7" w:rsidP="00D26C72">
    <w:pPr>
      <w:pStyle w:val="Pidipagina"/>
      <w:ind w:left="-28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2ED4803" wp14:editId="33F052E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30266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0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CC11" w14:textId="77777777" w:rsidR="00A15415" w:rsidRDefault="00A15415" w:rsidP="000A71FF">
      <w:r>
        <w:separator/>
      </w:r>
    </w:p>
  </w:footnote>
  <w:footnote w:type="continuationSeparator" w:id="0">
    <w:p w14:paraId="519D24AA" w14:textId="77777777" w:rsidR="00A15415" w:rsidRDefault="00A15415" w:rsidP="000A71FF">
      <w:r>
        <w:continuationSeparator/>
      </w:r>
    </w:p>
  </w:footnote>
  <w:footnote w:id="1">
    <w:p w14:paraId="053BFA32" w14:textId="77777777" w:rsidR="000801B0" w:rsidRPr="007462E3" w:rsidRDefault="000801B0" w:rsidP="000801B0">
      <w:pPr>
        <w:pStyle w:val="Testonotaapidipagina"/>
        <w:rPr>
          <w:sz w:val="18"/>
          <w:szCs w:val="18"/>
        </w:rPr>
      </w:pPr>
      <w:r w:rsidRPr="007462E3">
        <w:rPr>
          <w:rStyle w:val="Rimandonotaapidipagina"/>
          <w:sz w:val="18"/>
          <w:szCs w:val="18"/>
        </w:rPr>
        <w:footnoteRef/>
      </w:r>
      <w:r w:rsidRPr="007462E3">
        <w:rPr>
          <w:sz w:val="18"/>
          <w:szCs w:val="18"/>
        </w:rPr>
        <w:t xml:space="preserve"> </w:t>
      </w:r>
      <w:hyperlink r:id="rId1" w:history="1">
        <w:r w:rsidRPr="007462E3">
          <w:rPr>
            <w:rStyle w:val="Collegamentoipertestuale"/>
            <w:sz w:val="18"/>
            <w:szCs w:val="18"/>
          </w:rPr>
          <w:t>https://eu-cap-network.ec.europa.eu/publications/assessment-rdp-results-how-prepare-reporting-evaluation-2017_en</w:t>
        </w:r>
      </w:hyperlink>
      <w:r w:rsidRPr="007462E3">
        <w:rPr>
          <w:sz w:val="18"/>
          <w:szCs w:val="18"/>
        </w:rPr>
        <w:t xml:space="preserve"> </w:t>
      </w:r>
    </w:p>
  </w:footnote>
  <w:footnote w:id="2">
    <w:p w14:paraId="68FA019D" w14:textId="77777777" w:rsidR="000801B0" w:rsidRPr="007462E3" w:rsidRDefault="000801B0" w:rsidP="000801B0">
      <w:pPr>
        <w:pStyle w:val="Testonotaapidipagina"/>
        <w:rPr>
          <w:sz w:val="18"/>
          <w:szCs w:val="18"/>
        </w:rPr>
      </w:pPr>
      <w:r w:rsidRPr="007462E3">
        <w:rPr>
          <w:rStyle w:val="Rimandonotaapidipagina"/>
          <w:sz w:val="18"/>
          <w:szCs w:val="18"/>
        </w:rPr>
        <w:footnoteRef/>
      </w:r>
      <w:r w:rsidRPr="007462E3">
        <w:rPr>
          <w:sz w:val="18"/>
          <w:szCs w:val="18"/>
        </w:rPr>
        <w:t xml:space="preserve"> </w:t>
      </w:r>
      <w:hyperlink r:id="rId2" w:history="1">
        <w:r w:rsidRPr="007462E3">
          <w:rPr>
            <w:rStyle w:val="Collegamentoipertestuale"/>
            <w:sz w:val="18"/>
            <w:szCs w:val="18"/>
          </w:rPr>
          <w:t>https://eu-cap-network.ec.europa.eu/publications/assessing-rdp-achievements-and-impacts-2019_en</w:t>
        </w:r>
      </w:hyperlink>
      <w:r w:rsidRPr="007462E3">
        <w:rPr>
          <w:sz w:val="18"/>
          <w:szCs w:val="18"/>
        </w:rPr>
        <w:t xml:space="preserve"> </w:t>
      </w:r>
    </w:p>
  </w:footnote>
  <w:footnote w:id="3">
    <w:p w14:paraId="151C8EFA" w14:textId="77777777" w:rsidR="00425225" w:rsidRPr="007462E3" w:rsidRDefault="00425225" w:rsidP="00425225">
      <w:pPr>
        <w:pStyle w:val="Testonotaapidipagina"/>
        <w:rPr>
          <w:sz w:val="18"/>
          <w:szCs w:val="18"/>
        </w:rPr>
      </w:pPr>
      <w:r w:rsidRPr="007462E3">
        <w:rPr>
          <w:rStyle w:val="Rimandonotaapidipagina"/>
          <w:sz w:val="18"/>
          <w:szCs w:val="18"/>
        </w:rPr>
        <w:footnoteRef/>
      </w:r>
      <w:r w:rsidRPr="007462E3">
        <w:rPr>
          <w:sz w:val="18"/>
          <w:szCs w:val="18"/>
        </w:rPr>
        <w:t xml:space="preserve"> </w:t>
      </w:r>
      <w:hyperlink r:id="rId3" w:history="1">
        <w:r w:rsidRPr="007462E3">
          <w:rPr>
            <w:rStyle w:val="Collegamentoipertestuale"/>
            <w:sz w:val="18"/>
            <w:szCs w:val="18"/>
          </w:rPr>
          <w:t>https://eu-cap-network.ec.europa.eu/sites/default/files/2024-02/eu-cap-network-reporting-template-for-the-rdp-2014-2022-ex-post-sfc.pdf</w:t>
        </w:r>
      </w:hyperlink>
      <w:r w:rsidRPr="007462E3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32667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1D48B0" w14:textId="77777777" w:rsidR="00E92245" w:rsidRDefault="00E92245" w:rsidP="000524D7">
        <w:pPr>
          <w:pStyle w:val="Intestazio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54E5" w14:textId="77777777" w:rsidR="00E92245" w:rsidRDefault="001241E3" w:rsidP="001241E3">
    <w:pPr>
      <w:pStyle w:val="Intestazione"/>
      <w:spacing w:after="0"/>
      <w:ind w:left="-284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4661E8C" wp14:editId="3CAEC72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293518"/>
          <wp:effectExtent l="0" t="0" r="3175" b="1905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_newkib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3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0CA0"/>
    <w:multiLevelType w:val="hybridMultilevel"/>
    <w:tmpl w:val="1EA61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F37F2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 w16cid:durableId="1558395078">
    <w:abstractNumId w:val="1"/>
  </w:num>
  <w:num w:numId="2" w16cid:durableId="1827281456">
    <w:abstractNumId w:val="1"/>
  </w:num>
  <w:num w:numId="3" w16cid:durableId="1131753549">
    <w:abstractNumId w:val="1"/>
  </w:num>
  <w:num w:numId="4" w16cid:durableId="1487433931">
    <w:abstractNumId w:val="1"/>
  </w:num>
  <w:num w:numId="5" w16cid:durableId="1132597808">
    <w:abstractNumId w:val="0"/>
  </w:num>
  <w:num w:numId="6" w16cid:durableId="2143307971">
    <w:abstractNumId w:val="1"/>
  </w:num>
  <w:num w:numId="7" w16cid:durableId="1883133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B0"/>
    <w:rsid w:val="0001113F"/>
    <w:rsid w:val="00017693"/>
    <w:rsid w:val="00021B98"/>
    <w:rsid w:val="00025E20"/>
    <w:rsid w:val="00035A28"/>
    <w:rsid w:val="000524D7"/>
    <w:rsid w:val="00060DA8"/>
    <w:rsid w:val="00066EFA"/>
    <w:rsid w:val="00071A19"/>
    <w:rsid w:val="000772F7"/>
    <w:rsid w:val="000779C4"/>
    <w:rsid w:val="000801B0"/>
    <w:rsid w:val="00092904"/>
    <w:rsid w:val="000A71FF"/>
    <w:rsid w:val="000B6158"/>
    <w:rsid w:val="000C2AAF"/>
    <w:rsid w:val="000D55DD"/>
    <w:rsid w:val="000E0E3D"/>
    <w:rsid w:val="000F2CB7"/>
    <w:rsid w:val="00102D0E"/>
    <w:rsid w:val="001049C1"/>
    <w:rsid w:val="00106A13"/>
    <w:rsid w:val="00110C9D"/>
    <w:rsid w:val="001241E3"/>
    <w:rsid w:val="00126E0C"/>
    <w:rsid w:val="001311BC"/>
    <w:rsid w:val="00147375"/>
    <w:rsid w:val="00150CA9"/>
    <w:rsid w:val="00152683"/>
    <w:rsid w:val="00176DD5"/>
    <w:rsid w:val="001807A4"/>
    <w:rsid w:val="001B0E3D"/>
    <w:rsid w:val="001B3CC3"/>
    <w:rsid w:val="001C4B30"/>
    <w:rsid w:val="001C6613"/>
    <w:rsid w:val="001D0873"/>
    <w:rsid w:val="001F2A6C"/>
    <w:rsid w:val="00206CB2"/>
    <w:rsid w:val="00222371"/>
    <w:rsid w:val="002336D4"/>
    <w:rsid w:val="00243ABC"/>
    <w:rsid w:val="002600FF"/>
    <w:rsid w:val="002714AA"/>
    <w:rsid w:val="00287AEB"/>
    <w:rsid w:val="002961D8"/>
    <w:rsid w:val="002A5E7D"/>
    <w:rsid w:val="002B4612"/>
    <w:rsid w:val="002E3BEF"/>
    <w:rsid w:val="002E6B3E"/>
    <w:rsid w:val="002E7B25"/>
    <w:rsid w:val="002F1DEB"/>
    <w:rsid w:val="0030175B"/>
    <w:rsid w:val="003035AA"/>
    <w:rsid w:val="0031783C"/>
    <w:rsid w:val="00330AB8"/>
    <w:rsid w:val="00334795"/>
    <w:rsid w:val="00342490"/>
    <w:rsid w:val="003540F4"/>
    <w:rsid w:val="00372A89"/>
    <w:rsid w:val="003C03A5"/>
    <w:rsid w:val="003C52F5"/>
    <w:rsid w:val="003C5FEA"/>
    <w:rsid w:val="003E2328"/>
    <w:rsid w:val="003E64BA"/>
    <w:rsid w:val="003F6D0C"/>
    <w:rsid w:val="003F7D59"/>
    <w:rsid w:val="00402168"/>
    <w:rsid w:val="0040276A"/>
    <w:rsid w:val="00425225"/>
    <w:rsid w:val="004368B5"/>
    <w:rsid w:val="00440EF5"/>
    <w:rsid w:val="00443128"/>
    <w:rsid w:val="00453FF5"/>
    <w:rsid w:val="00457A83"/>
    <w:rsid w:val="00457D37"/>
    <w:rsid w:val="00461DFF"/>
    <w:rsid w:val="004639D0"/>
    <w:rsid w:val="0046510D"/>
    <w:rsid w:val="00472F3E"/>
    <w:rsid w:val="00473BAF"/>
    <w:rsid w:val="00491D63"/>
    <w:rsid w:val="004928C3"/>
    <w:rsid w:val="004A7365"/>
    <w:rsid w:val="004D5EAE"/>
    <w:rsid w:val="004F0EB8"/>
    <w:rsid w:val="004F32B7"/>
    <w:rsid w:val="004F75D7"/>
    <w:rsid w:val="00504541"/>
    <w:rsid w:val="005130BD"/>
    <w:rsid w:val="0053343E"/>
    <w:rsid w:val="00544221"/>
    <w:rsid w:val="005457D2"/>
    <w:rsid w:val="00561EBB"/>
    <w:rsid w:val="005705D9"/>
    <w:rsid w:val="005B2BBA"/>
    <w:rsid w:val="005F4707"/>
    <w:rsid w:val="006070B6"/>
    <w:rsid w:val="00611633"/>
    <w:rsid w:val="00620FB6"/>
    <w:rsid w:val="0063053E"/>
    <w:rsid w:val="00634D6E"/>
    <w:rsid w:val="00662346"/>
    <w:rsid w:val="00670A9C"/>
    <w:rsid w:val="006728F4"/>
    <w:rsid w:val="00676C5B"/>
    <w:rsid w:val="00695A59"/>
    <w:rsid w:val="00695CBE"/>
    <w:rsid w:val="00697B82"/>
    <w:rsid w:val="006C3AEE"/>
    <w:rsid w:val="006C68BC"/>
    <w:rsid w:val="006D2C57"/>
    <w:rsid w:val="006E3F46"/>
    <w:rsid w:val="006F484A"/>
    <w:rsid w:val="007155AC"/>
    <w:rsid w:val="00715BF5"/>
    <w:rsid w:val="00733C76"/>
    <w:rsid w:val="007354EB"/>
    <w:rsid w:val="007462E3"/>
    <w:rsid w:val="00752147"/>
    <w:rsid w:val="00772D56"/>
    <w:rsid w:val="00784FCB"/>
    <w:rsid w:val="007A007E"/>
    <w:rsid w:val="007A57E0"/>
    <w:rsid w:val="007A5B24"/>
    <w:rsid w:val="007C5211"/>
    <w:rsid w:val="007D052D"/>
    <w:rsid w:val="007D4191"/>
    <w:rsid w:val="007E380F"/>
    <w:rsid w:val="007F7A44"/>
    <w:rsid w:val="00827F13"/>
    <w:rsid w:val="0083427F"/>
    <w:rsid w:val="0083704D"/>
    <w:rsid w:val="00857781"/>
    <w:rsid w:val="008732CA"/>
    <w:rsid w:val="0088147F"/>
    <w:rsid w:val="008A0112"/>
    <w:rsid w:val="008B38F9"/>
    <w:rsid w:val="008C077C"/>
    <w:rsid w:val="008C4655"/>
    <w:rsid w:val="008C7EDE"/>
    <w:rsid w:val="008C7F52"/>
    <w:rsid w:val="008E5FC2"/>
    <w:rsid w:val="008F7134"/>
    <w:rsid w:val="00906AC6"/>
    <w:rsid w:val="00910D88"/>
    <w:rsid w:val="009225E2"/>
    <w:rsid w:val="00932B60"/>
    <w:rsid w:val="00955BB5"/>
    <w:rsid w:val="00963513"/>
    <w:rsid w:val="0096518B"/>
    <w:rsid w:val="009831B8"/>
    <w:rsid w:val="009862DE"/>
    <w:rsid w:val="00990EAB"/>
    <w:rsid w:val="00990F21"/>
    <w:rsid w:val="0099772E"/>
    <w:rsid w:val="009A4629"/>
    <w:rsid w:val="009B60B8"/>
    <w:rsid w:val="009D0B9B"/>
    <w:rsid w:val="009E1062"/>
    <w:rsid w:val="009F2A8B"/>
    <w:rsid w:val="00A113B4"/>
    <w:rsid w:val="00A15415"/>
    <w:rsid w:val="00A34B99"/>
    <w:rsid w:val="00A373F1"/>
    <w:rsid w:val="00A455CF"/>
    <w:rsid w:val="00A47B45"/>
    <w:rsid w:val="00A75C70"/>
    <w:rsid w:val="00A76413"/>
    <w:rsid w:val="00A77AC7"/>
    <w:rsid w:val="00A90939"/>
    <w:rsid w:val="00AE2459"/>
    <w:rsid w:val="00AF268D"/>
    <w:rsid w:val="00B05190"/>
    <w:rsid w:val="00B073C3"/>
    <w:rsid w:val="00B219B8"/>
    <w:rsid w:val="00B222B0"/>
    <w:rsid w:val="00B30A65"/>
    <w:rsid w:val="00B653E7"/>
    <w:rsid w:val="00B7011B"/>
    <w:rsid w:val="00B8430F"/>
    <w:rsid w:val="00BB6882"/>
    <w:rsid w:val="00BC34A4"/>
    <w:rsid w:val="00BE37CB"/>
    <w:rsid w:val="00BE4224"/>
    <w:rsid w:val="00BE6E07"/>
    <w:rsid w:val="00C10D3F"/>
    <w:rsid w:val="00C248C2"/>
    <w:rsid w:val="00C32572"/>
    <w:rsid w:val="00C44DFF"/>
    <w:rsid w:val="00C85172"/>
    <w:rsid w:val="00C85F38"/>
    <w:rsid w:val="00C936EC"/>
    <w:rsid w:val="00CF15FD"/>
    <w:rsid w:val="00CF5AC2"/>
    <w:rsid w:val="00D06830"/>
    <w:rsid w:val="00D21F2D"/>
    <w:rsid w:val="00D26BEB"/>
    <w:rsid w:val="00D26C72"/>
    <w:rsid w:val="00D741A7"/>
    <w:rsid w:val="00D74BCD"/>
    <w:rsid w:val="00DA0269"/>
    <w:rsid w:val="00DE0A05"/>
    <w:rsid w:val="00E212CC"/>
    <w:rsid w:val="00E33E2F"/>
    <w:rsid w:val="00E7260F"/>
    <w:rsid w:val="00E92245"/>
    <w:rsid w:val="00EA4031"/>
    <w:rsid w:val="00EA5BEF"/>
    <w:rsid w:val="00F17269"/>
    <w:rsid w:val="00F22021"/>
    <w:rsid w:val="00F24B15"/>
    <w:rsid w:val="00F37DD7"/>
    <w:rsid w:val="00F47456"/>
    <w:rsid w:val="00F47A73"/>
    <w:rsid w:val="00F879C7"/>
    <w:rsid w:val="00F92B9E"/>
    <w:rsid w:val="00F92F18"/>
    <w:rsid w:val="00FA14BE"/>
    <w:rsid w:val="00FC653A"/>
    <w:rsid w:val="00FE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64760"/>
  <w15:chartTrackingRefBased/>
  <w15:docId w15:val="{5905E60A-8D43-4D9C-B804-34E962EE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01B0"/>
    <w:pPr>
      <w:spacing w:after="120" w:line="276" w:lineRule="auto"/>
    </w:pPr>
    <w:rPr>
      <w:rFonts w:ascii="Arial" w:hAnsi="Arial"/>
      <w:color w:val="000000" w:themeColor="text1"/>
      <w:sz w:val="20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4639D0"/>
    <w:pPr>
      <w:keepNext/>
      <w:keepLines/>
      <w:numPr>
        <w:numId w:val="1"/>
      </w:numPr>
      <w:spacing w:line="240" w:lineRule="auto"/>
      <w:outlineLvl w:val="0"/>
    </w:pPr>
    <w:rPr>
      <w:rFonts w:eastAsiaTheme="majorEastAsia" w:cstheme="majorBidi"/>
      <w:sz w:val="28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4639D0"/>
    <w:pPr>
      <w:keepNext/>
      <w:keepLines/>
      <w:numPr>
        <w:ilvl w:val="1"/>
        <w:numId w:val="1"/>
      </w:numPr>
      <w:spacing w:line="240" w:lineRule="auto"/>
      <w:outlineLvl w:val="1"/>
    </w:pPr>
    <w:rPr>
      <w:rFonts w:eastAsiaTheme="majorEastAsia" w:cstheme="majorBidi"/>
      <w:b/>
      <w:color w:val="auto"/>
      <w:sz w:val="24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4639D0"/>
    <w:pPr>
      <w:keepNext/>
      <w:keepLines/>
      <w:numPr>
        <w:ilvl w:val="2"/>
        <w:numId w:val="1"/>
      </w:numPr>
      <w:spacing w:line="240" w:lineRule="auto"/>
      <w:outlineLvl w:val="2"/>
    </w:pPr>
    <w:rPr>
      <w:rFonts w:eastAsiaTheme="majorEastAsia" w:cstheme="majorBidi"/>
      <w:b/>
      <w:smallCaps/>
      <w:color w:val="auto"/>
    </w:rPr>
  </w:style>
  <w:style w:type="paragraph" w:styleId="Titolo4">
    <w:name w:val="heading 4"/>
    <w:basedOn w:val="Normale"/>
    <w:next w:val="Normale"/>
    <w:link w:val="Titolo4Carattere"/>
    <w:uiPriority w:val="9"/>
    <w:unhideWhenUsed/>
    <w:rsid w:val="00F92F18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i/>
      <w:iCs/>
      <w:color w:val="auto"/>
    </w:rPr>
  </w:style>
  <w:style w:type="paragraph" w:styleId="Titolo5">
    <w:name w:val="heading 5"/>
    <w:basedOn w:val="Normale"/>
    <w:next w:val="Normale"/>
    <w:link w:val="Titolo5Carattere"/>
    <w:uiPriority w:val="9"/>
    <w:unhideWhenUsed/>
    <w:rsid w:val="00F92F18"/>
    <w:pPr>
      <w:keepNext/>
      <w:keepLines/>
      <w:numPr>
        <w:ilvl w:val="4"/>
        <w:numId w:val="1"/>
      </w:numPr>
      <w:spacing w:before="120"/>
      <w:outlineLvl w:val="4"/>
    </w:pPr>
    <w:rPr>
      <w:rFonts w:eastAsiaTheme="majorEastAsia" w:cstheme="majorBidi"/>
      <w:color w:val="auto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F92F18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color w:val="auto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F92F18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i/>
      <w:iCs/>
      <w:color w:val="auto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F92F18"/>
    <w:pPr>
      <w:keepNext/>
      <w:keepLines/>
      <w:numPr>
        <w:ilvl w:val="7"/>
        <w:numId w:val="1"/>
      </w:numPr>
      <w:spacing w:before="40"/>
      <w:outlineLvl w:val="7"/>
    </w:pPr>
    <w:rPr>
      <w:rFonts w:eastAsiaTheme="majorEastAsia" w:cstheme="majorBidi"/>
      <w:color w:val="404040" w:themeColor="text1" w:themeTint="BF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F92F18"/>
    <w:pPr>
      <w:keepNext/>
      <w:keepLines/>
      <w:numPr>
        <w:ilvl w:val="8"/>
        <w:numId w:val="1"/>
      </w:numPr>
      <w:spacing w:before="40"/>
      <w:outlineLvl w:val="8"/>
    </w:pPr>
    <w:rPr>
      <w:rFonts w:eastAsiaTheme="majorEastAsia" w:cstheme="majorBidi"/>
      <w:i/>
      <w:iCs/>
      <w:color w:val="595959" w:themeColor="text1" w:themeTint="A6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71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71FF"/>
  </w:style>
  <w:style w:type="paragraph" w:styleId="Pidipagina">
    <w:name w:val="footer"/>
    <w:basedOn w:val="Normale"/>
    <w:link w:val="PidipaginaCarattere"/>
    <w:uiPriority w:val="99"/>
    <w:unhideWhenUsed/>
    <w:rsid w:val="000A71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71FF"/>
  </w:style>
  <w:style w:type="character" w:styleId="Collegamentoipertestuale">
    <w:name w:val="Hyperlink"/>
    <w:basedOn w:val="Carpredefinitoparagrafo"/>
    <w:uiPriority w:val="99"/>
    <w:unhideWhenUsed/>
    <w:rsid w:val="001B3CC3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rsid w:val="001B3CC3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639D0"/>
    <w:pPr>
      <w:spacing w:line="276" w:lineRule="auto"/>
    </w:pPr>
    <w:rPr>
      <w:rFonts w:ascii="Arial" w:hAnsi="Arial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39D0"/>
    <w:rPr>
      <w:rFonts w:ascii="Arial" w:eastAsiaTheme="majorEastAsia" w:hAnsi="Arial" w:cstheme="majorBidi"/>
      <w:color w:val="000000" w:themeColor="tex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639D0"/>
    <w:rPr>
      <w:rFonts w:ascii="Arial" w:eastAsiaTheme="majorEastAsia" w:hAnsi="Arial" w:cstheme="majorBidi"/>
      <w:b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639D0"/>
    <w:rPr>
      <w:rFonts w:ascii="Arial" w:eastAsiaTheme="majorEastAsia" w:hAnsi="Arial" w:cstheme="majorBidi"/>
      <w:b/>
      <w:smallCaps/>
      <w:sz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92F18"/>
    <w:rPr>
      <w:rFonts w:ascii="Arial" w:eastAsiaTheme="majorEastAsia" w:hAnsi="Arial" w:cstheme="majorBidi"/>
      <w:i/>
      <w:iCs/>
      <w:sz w:val="2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92F18"/>
    <w:rPr>
      <w:rFonts w:ascii="Arial" w:eastAsiaTheme="majorEastAsia" w:hAnsi="Arial" w:cstheme="majorBidi"/>
      <w:sz w:val="2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92F18"/>
    <w:rPr>
      <w:rFonts w:ascii="Arial" w:eastAsiaTheme="majorEastAsia" w:hAnsi="Arial" w:cstheme="majorBidi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F92F18"/>
    <w:rPr>
      <w:rFonts w:ascii="Arial" w:eastAsiaTheme="majorEastAsia" w:hAnsi="Arial" w:cstheme="majorBidi"/>
      <w:i/>
      <w:iCs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F92F18"/>
    <w:rPr>
      <w:rFonts w:ascii="Arial" w:eastAsiaTheme="majorEastAsia" w:hAnsi="Arial" w:cstheme="majorBidi"/>
      <w:color w:val="404040" w:themeColor="text1" w:themeTint="BF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92F18"/>
    <w:rPr>
      <w:rFonts w:ascii="Arial" w:eastAsiaTheme="majorEastAsia" w:hAnsi="Arial" w:cstheme="majorBidi"/>
      <w:i/>
      <w:iCs/>
      <w:color w:val="595959" w:themeColor="text1" w:themeTint="A6"/>
      <w:sz w:val="21"/>
      <w:szCs w:val="21"/>
    </w:r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3035AA"/>
    <w:pPr>
      <w:spacing w:line="360" w:lineRule="auto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35AA"/>
    <w:rPr>
      <w:rFonts w:ascii="Arial" w:eastAsiaTheme="majorEastAsia" w:hAnsi="Arial" w:cstheme="majorBidi"/>
      <w:color w:val="000000" w:themeColor="text1"/>
      <w:spacing w:val="-10"/>
      <w:kern w:val="28"/>
      <w:sz w:val="32"/>
      <w:szCs w:val="56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qFormat/>
    <w:rsid w:val="001807A4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07A4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Enfasidelicata">
    <w:name w:val="Subtle Emphasis"/>
    <w:basedOn w:val="Carpredefinitoparagrafo"/>
    <w:uiPriority w:val="19"/>
    <w:qFormat/>
    <w:rsid w:val="00F92F18"/>
    <w:rPr>
      <w:rFonts w:ascii="Arial" w:hAnsi="Arial"/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F92F18"/>
    <w:rPr>
      <w:rFonts w:ascii="Arial" w:hAnsi="Arial"/>
      <w:b w:val="0"/>
      <w:i/>
      <w:iCs/>
      <w:sz w:val="20"/>
    </w:rPr>
  </w:style>
  <w:style w:type="character" w:styleId="Enfasiintensa">
    <w:name w:val="Intense Emphasis"/>
    <w:basedOn w:val="Carpredefinitoparagrafo"/>
    <w:uiPriority w:val="21"/>
    <w:qFormat/>
    <w:rsid w:val="00F92F18"/>
    <w:rPr>
      <w:rFonts w:ascii="Arial" w:hAnsi="Arial"/>
      <w:b w:val="0"/>
      <w:i/>
      <w:iCs/>
      <w:color w:val="auto"/>
      <w:sz w:val="20"/>
    </w:rPr>
  </w:style>
  <w:style w:type="character" w:styleId="Enfasigrassetto">
    <w:name w:val="Strong"/>
    <w:basedOn w:val="Carpredefinitoparagrafo"/>
    <w:uiPriority w:val="22"/>
    <w:qFormat/>
    <w:rsid w:val="00F92F18"/>
    <w:rPr>
      <w:rFonts w:ascii="Arial" w:hAnsi="Arial"/>
      <w:b/>
      <w:bCs/>
      <w:i w:val="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2F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2F18"/>
    <w:rPr>
      <w:rFonts w:ascii="Arial" w:hAnsi="Arial"/>
      <w:i/>
      <w:iCs/>
      <w:color w:val="404040" w:themeColor="text1" w:themeTint="BF"/>
      <w:sz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F92F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2F18"/>
    <w:rPr>
      <w:rFonts w:ascii="Arial" w:hAnsi="Arial"/>
      <w:i/>
      <w:iCs/>
      <w:sz w:val="20"/>
    </w:rPr>
  </w:style>
  <w:style w:type="character" w:styleId="Riferimentodelicato">
    <w:name w:val="Subtle Reference"/>
    <w:basedOn w:val="Carpredefinitoparagrafo"/>
    <w:uiPriority w:val="31"/>
    <w:qFormat/>
    <w:rsid w:val="00F92F18"/>
    <w:rPr>
      <w:rFonts w:ascii="Arial" w:hAnsi="Arial"/>
      <w:caps w:val="0"/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F92F18"/>
    <w:rPr>
      <w:rFonts w:ascii="Arial" w:hAnsi="Arial"/>
      <w:b/>
      <w:bCs/>
      <w:i w:val="0"/>
      <w:caps w:val="0"/>
      <w:smallCaps/>
      <w:color w:val="auto"/>
      <w:spacing w:val="5"/>
    </w:rPr>
  </w:style>
  <w:style w:type="character" w:styleId="Titolodellibro">
    <w:name w:val="Book Title"/>
    <w:basedOn w:val="Carpredefinitoparagrafo"/>
    <w:uiPriority w:val="33"/>
    <w:qFormat/>
    <w:rsid w:val="00F92F18"/>
    <w:rPr>
      <w:rFonts w:ascii="Arial" w:hAnsi="Arial"/>
      <w:b/>
      <w:bCs/>
      <w:i/>
      <w:iCs/>
      <w:spacing w:val="5"/>
    </w:rPr>
  </w:style>
  <w:style w:type="paragraph" w:styleId="Paragrafoelenco">
    <w:name w:val="List Paragraph"/>
    <w:basedOn w:val="Normale"/>
    <w:uiPriority w:val="34"/>
    <w:qFormat/>
    <w:rsid w:val="00F92F1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F268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it-IT"/>
    </w:rPr>
  </w:style>
  <w:style w:type="character" w:styleId="Rimandonotaapidipagina">
    <w:name w:val="footnote reference"/>
    <w:uiPriority w:val="99"/>
    <w:semiHidden/>
    <w:unhideWhenUsed/>
    <w:rsid w:val="000801B0"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sid w:val="000801B0"/>
    <w:rPr>
      <w:rFonts w:ascii="Arial" w:eastAsia="Arial" w:hAnsi="Arial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01B0"/>
    <w:rPr>
      <w:rFonts w:ascii="Arial" w:eastAsia="Arial" w:hAnsi="Arial" w:cs="Arial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801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801B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801B0"/>
    <w:rPr>
      <w:rFonts w:ascii="Arial" w:hAnsi="Arial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01B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01B0"/>
    <w:rPr>
      <w:rFonts w:ascii="Arial" w:hAnsi="Arial"/>
      <w:b/>
      <w:bCs/>
      <w:color w:val="000000" w:themeColor="text1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64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-cap-network.ec.europa.eu/sites/default/files/2024-02/eu-cap-network-reporting-template-for-the-rdp-2014-2022-ex-post-sfc.pdf" TargetMode="External"/><Relationship Id="rId2" Type="http://schemas.openxmlformats.org/officeDocument/2006/relationships/hyperlink" Target="https://eu-cap-network.ec.europa.eu/publications/assessing-rdp-achievements-and-impacts-2019_en" TargetMode="External"/><Relationship Id="rId1" Type="http://schemas.openxmlformats.org/officeDocument/2006/relationships/hyperlink" Target="https://eu-cap-network.ec.europa.eu/publications/assessment-rdp-results-how-prepare-reporting-evaluation-2017_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rta\Desktop\Nuova%20cartella\Monitoring_IT_singlepa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1EE296-5354-4C70-8D67-DBB601F7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Monitoring_IT_singlepage</Template>
  <TotalTime>0</TotalTime>
  <Pages>5</Pages>
  <Words>1924</Words>
  <Characters>10972</Characters>
  <Application>Microsoft Office Word</Application>
  <DocSecurity>0</DocSecurity>
  <Lines>91</Lines>
  <Paragraphs>25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Titolo</vt:lpstr>
    </vt:vector>
  </TitlesOfParts>
  <Company/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Porta - LATTANZIO KIBS</dc:creator>
  <cp:keywords/>
  <dc:description/>
  <cp:lastModifiedBy>Giulia Porta - LATTANZIO KIBS</cp:lastModifiedBy>
  <cp:revision>34</cp:revision>
  <cp:lastPrinted>2019-07-29T14:35:00Z</cp:lastPrinted>
  <dcterms:created xsi:type="dcterms:W3CDTF">2026-06-06T08:39:00Z</dcterms:created>
  <dcterms:modified xsi:type="dcterms:W3CDTF">2026-06-08T13:41:00Z</dcterms:modified>
</cp:coreProperties>
</file>