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A640" w14:textId="4E79EF59" w:rsidR="00C6183A" w:rsidRPr="00C6183A" w:rsidRDefault="00C6183A" w:rsidP="00C6183A">
      <w:pPr>
        <w:spacing w:after="0" w:line="240" w:lineRule="auto"/>
        <w:jc w:val="both"/>
        <w:rPr>
          <w:b/>
          <w:bCs/>
          <w:sz w:val="20"/>
          <w:szCs w:val="20"/>
        </w:rPr>
      </w:pPr>
      <w:r w:rsidRPr="00C6183A">
        <w:rPr>
          <w:b/>
          <w:bCs/>
          <w:sz w:val="20"/>
          <w:szCs w:val="20"/>
        </w:rPr>
        <w:t xml:space="preserve">Avviso di avvio </w:t>
      </w:r>
      <w:r w:rsidR="007E4ECD">
        <w:rPr>
          <w:b/>
          <w:bCs/>
          <w:sz w:val="20"/>
          <w:szCs w:val="20"/>
        </w:rPr>
        <w:t>di c</w:t>
      </w:r>
      <w:r w:rsidRPr="00C6183A">
        <w:rPr>
          <w:b/>
          <w:bCs/>
          <w:sz w:val="20"/>
          <w:szCs w:val="20"/>
        </w:rPr>
        <w:t xml:space="preserve">onsultazione ai sensi dell’art. 50, comma 2-bis, del </w:t>
      </w:r>
      <w:proofErr w:type="spellStart"/>
      <w:r w:rsidRPr="00C6183A">
        <w:rPr>
          <w:b/>
          <w:bCs/>
          <w:sz w:val="20"/>
          <w:szCs w:val="20"/>
        </w:rPr>
        <w:t>D.Lgs.</w:t>
      </w:r>
      <w:proofErr w:type="spellEnd"/>
      <w:r w:rsidRPr="00C6183A">
        <w:rPr>
          <w:b/>
          <w:bCs/>
          <w:sz w:val="20"/>
          <w:szCs w:val="20"/>
        </w:rPr>
        <w:t xml:space="preserve"> n. 36/2023 e </w:t>
      </w:r>
      <w:proofErr w:type="spellStart"/>
      <w:r w:rsidRPr="00C6183A">
        <w:rPr>
          <w:b/>
          <w:bCs/>
          <w:sz w:val="20"/>
          <w:szCs w:val="20"/>
        </w:rPr>
        <w:t>s.m.i.</w:t>
      </w:r>
      <w:proofErr w:type="spellEnd"/>
      <w:r w:rsidRPr="00C6183A">
        <w:rPr>
          <w:b/>
          <w:bCs/>
          <w:sz w:val="20"/>
          <w:szCs w:val="20"/>
        </w:rPr>
        <w:t xml:space="preserve"> della procedura negoziata senza bando, da espletarsi ai sensi dell’art. 50, comma 1, lett. e) del </w:t>
      </w:r>
      <w:proofErr w:type="spellStart"/>
      <w:r w:rsidRPr="00C6183A">
        <w:rPr>
          <w:b/>
          <w:bCs/>
          <w:sz w:val="20"/>
          <w:szCs w:val="20"/>
        </w:rPr>
        <w:t>D.Lgs.</w:t>
      </w:r>
      <w:proofErr w:type="spellEnd"/>
      <w:r w:rsidRPr="00C6183A">
        <w:rPr>
          <w:b/>
          <w:bCs/>
          <w:sz w:val="20"/>
          <w:szCs w:val="20"/>
        </w:rPr>
        <w:t xml:space="preserve"> n. 36/</w:t>
      </w:r>
      <w:proofErr w:type="gramStart"/>
      <w:r w:rsidRPr="00C6183A">
        <w:rPr>
          <w:b/>
          <w:bCs/>
          <w:sz w:val="20"/>
          <w:szCs w:val="20"/>
        </w:rPr>
        <w:t xml:space="preserve">2023 </w:t>
      </w:r>
      <w:r w:rsidR="007E4ECD">
        <w:rPr>
          <w:b/>
          <w:bCs/>
          <w:sz w:val="20"/>
          <w:szCs w:val="20"/>
        </w:rPr>
        <w:t xml:space="preserve"> e</w:t>
      </w:r>
      <w:proofErr w:type="gramEnd"/>
      <w:r w:rsidR="007E4ECD">
        <w:rPr>
          <w:b/>
          <w:bCs/>
          <w:sz w:val="20"/>
          <w:szCs w:val="20"/>
        </w:rPr>
        <w:t xml:space="preserve"> s.m. e i. </w:t>
      </w:r>
      <w:r w:rsidRPr="00C6183A">
        <w:rPr>
          <w:b/>
          <w:bCs/>
          <w:sz w:val="20"/>
          <w:szCs w:val="20"/>
        </w:rPr>
        <w:t xml:space="preserve">per l’affidamento del </w:t>
      </w:r>
      <w:r w:rsidRPr="00C6183A">
        <w:rPr>
          <w:b/>
          <w:bCs/>
          <w:i/>
          <w:iCs/>
          <w:sz w:val="20"/>
          <w:szCs w:val="20"/>
        </w:rPr>
        <w:t xml:space="preserve">Servizio di </w:t>
      </w:r>
      <w:r w:rsidR="001F2A26">
        <w:rPr>
          <w:b/>
          <w:bCs/>
          <w:i/>
          <w:iCs/>
          <w:sz w:val="20"/>
          <w:szCs w:val="20"/>
        </w:rPr>
        <w:t xml:space="preserve">recupero delle anguille dalla vasca di carico della Soc. Acciai Speciali Terni (A.S.T.) in </w:t>
      </w:r>
      <w:proofErr w:type="spellStart"/>
      <w:r w:rsidR="001F2A26">
        <w:rPr>
          <w:b/>
          <w:bCs/>
          <w:i/>
          <w:iCs/>
          <w:sz w:val="20"/>
          <w:szCs w:val="20"/>
        </w:rPr>
        <w:t>Loc</w:t>
      </w:r>
      <w:proofErr w:type="spellEnd"/>
      <w:r w:rsidR="001F2A26">
        <w:rPr>
          <w:b/>
          <w:bCs/>
          <w:i/>
          <w:iCs/>
          <w:sz w:val="20"/>
          <w:szCs w:val="20"/>
        </w:rPr>
        <w:t>. Marmore (</w:t>
      </w:r>
      <w:proofErr w:type="spellStart"/>
      <w:r w:rsidR="001F2A26">
        <w:rPr>
          <w:b/>
          <w:bCs/>
          <w:i/>
          <w:iCs/>
          <w:sz w:val="20"/>
          <w:szCs w:val="20"/>
        </w:rPr>
        <w:t>Tr</w:t>
      </w:r>
      <w:proofErr w:type="spellEnd"/>
      <w:r w:rsidR="001F2A26">
        <w:rPr>
          <w:b/>
          <w:bCs/>
          <w:i/>
          <w:iCs/>
          <w:sz w:val="20"/>
          <w:szCs w:val="20"/>
        </w:rPr>
        <w:t>)</w:t>
      </w:r>
      <w:r w:rsidR="00395C20">
        <w:rPr>
          <w:b/>
          <w:bCs/>
          <w:i/>
          <w:iCs/>
          <w:sz w:val="20"/>
          <w:szCs w:val="20"/>
        </w:rPr>
        <w:t>.</w:t>
      </w:r>
    </w:p>
    <w:p w14:paraId="5ED7E629" w14:textId="77777777" w:rsidR="00C6183A" w:rsidRPr="00C6183A" w:rsidRDefault="00C6183A" w:rsidP="00C6183A">
      <w:pPr>
        <w:spacing w:after="0" w:line="240" w:lineRule="auto"/>
        <w:rPr>
          <w:sz w:val="20"/>
          <w:szCs w:val="20"/>
        </w:rPr>
      </w:pPr>
    </w:p>
    <w:p w14:paraId="38993F88" w14:textId="77777777" w:rsidR="00C6183A" w:rsidRPr="00C6183A" w:rsidRDefault="00C6183A" w:rsidP="00C6183A">
      <w:pPr>
        <w:spacing w:after="0" w:line="240" w:lineRule="auto"/>
        <w:rPr>
          <w:sz w:val="20"/>
          <w:szCs w:val="20"/>
        </w:rPr>
      </w:pPr>
    </w:p>
    <w:p w14:paraId="7A92FCA0" w14:textId="21134840" w:rsidR="00C6183A" w:rsidRPr="00C6183A" w:rsidRDefault="00C6183A" w:rsidP="000B41CA">
      <w:pPr>
        <w:spacing w:after="0" w:line="240" w:lineRule="auto"/>
        <w:jc w:val="both"/>
        <w:rPr>
          <w:b/>
          <w:bCs/>
          <w:sz w:val="20"/>
          <w:szCs w:val="20"/>
        </w:rPr>
      </w:pPr>
      <w:r w:rsidRPr="00C6183A">
        <w:rPr>
          <w:sz w:val="20"/>
          <w:szCs w:val="20"/>
        </w:rPr>
        <w:t xml:space="preserve">La Regione Umbria - Giunta Regionale, Servizio Provveditorato, gare e contratti - </w:t>
      </w:r>
      <w:r w:rsidRPr="00C6183A">
        <w:rPr>
          <w:b/>
          <w:bCs/>
          <w:sz w:val="20"/>
          <w:szCs w:val="20"/>
        </w:rPr>
        <w:t>rende noto</w:t>
      </w:r>
      <w:r w:rsidRPr="00C6183A">
        <w:rPr>
          <w:sz w:val="20"/>
          <w:szCs w:val="20"/>
        </w:rPr>
        <w:t xml:space="preserve">, ai sensi di quanto previsto dall’art. 50, comma 2-bis, del </w:t>
      </w:r>
      <w:proofErr w:type="spellStart"/>
      <w:r w:rsidRPr="00C6183A">
        <w:rPr>
          <w:sz w:val="20"/>
          <w:szCs w:val="20"/>
        </w:rPr>
        <w:t>D.Lgs.</w:t>
      </w:r>
      <w:proofErr w:type="spellEnd"/>
      <w:r w:rsidRPr="00C6183A">
        <w:rPr>
          <w:sz w:val="20"/>
          <w:szCs w:val="20"/>
        </w:rPr>
        <w:t xml:space="preserve"> n. 36/2023 e </w:t>
      </w:r>
      <w:proofErr w:type="spellStart"/>
      <w:r w:rsidRPr="00C6183A">
        <w:rPr>
          <w:sz w:val="20"/>
          <w:szCs w:val="20"/>
        </w:rPr>
        <w:t>s.m.i.</w:t>
      </w:r>
      <w:proofErr w:type="spellEnd"/>
      <w:r w:rsidRPr="00C6183A">
        <w:rPr>
          <w:sz w:val="20"/>
          <w:szCs w:val="20"/>
        </w:rPr>
        <w:t xml:space="preserve">, che intende avviare una procedura negoziata senza bando ex art. 50, comma 1, lett. e) del </w:t>
      </w:r>
      <w:proofErr w:type="spellStart"/>
      <w:r w:rsidRPr="00C6183A">
        <w:rPr>
          <w:sz w:val="20"/>
          <w:szCs w:val="20"/>
        </w:rPr>
        <w:t>D.Lgs.</w:t>
      </w:r>
      <w:proofErr w:type="spellEnd"/>
      <w:r w:rsidRPr="00C6183A">
        <w:rPr>
          <w:sz w:val="20"/>
          <w:szCs w:val="20"/>
        </w:rPr>
        <w:t xml:space="preserve"> n. 26/2023 e </w:t>
      </w:r>
      <w:proofErr w:type="spellStart"/>
      <w:r w:rsidRPr="00C6183A">
        <w:rPr>
          <w:sz w:val="20"/>
          <w:szCs w:val="20"/>
        </w:rPr>
        <w:t>s.m.i.</w:t>
      </w:r>
      <w:proofErr w:type="spellEnd"/>
      <w:r w:rsidRPr="00C6183A">
        <w:rPr>
          <w:sz w:val="20"/>
          <w:szCs w:val="20"/>
        </w:rPr>
        <w:t xml:space="preserve">, mediante </w:t>
      </w:r>
      <w:proofErr w:type="spellStart"/>
      <w:r w:rsidRPr="00C6183A">
        <w:rPr>
          <w:sz w:val="20"/>
          <w:szCs w:val="20"/>
        </w:rPr>
        <w:t>RdO</w:t>
      </w:r>
      <w:proofErr w:type="spellEnd"/>
      <w:r w:rsidRPr="00C6183A">
        <w:rPr>
          <w:sz w:val="20"/>
          <w:szCs w:val="20"/>
        </w:rPr>
        <w:t xml:space="preserve"> “APERTA” con invito a tutti gli operatori economici iscritti alla pertinente categoria merceologi</w:t>
      </w:r>
      <w:r w:rsidR="007E4ECD">
        <w:rPr>
          <w:sz w:val="20"/>
          <w:szCs w:val="20"/>
        </w:rPr>
        <w:t>c</w:t>
      </w:r>
      <w:r w:rsidRPr="00C6183A">
        <w:rPr>
          <w:sz w:val="20"/>
          <w:szCs w:val="20"/>
        </w:rPr>
        <w:t xml:space="preserve">a </w:t>
      </w:r>
      <w:r w:rsidRPr="006F7837">
        <w:rPr>
          <w:sz w:val="20"/>
          <w:szCs w:val="20"/>
        </w:rPr>
        <w:t xml:space="preserve">MEPA </w:t>
      </w:r>
      <w:r w:rsidR="007E4ECD">
        <w:rPr>
          <w:sz w:val="20"/>
          <w:szCs w:val="20"/>
        </w:rPr>
        <w:t>“</w:t>
      </w:r>
      <w:r w:rsidR="006F7837" w:rsidRPr="006F7837">
        <w:rPr>
          <w:sz w:val="20"/>
          <w:szCs w:val="20"/>
        </w:rPr>
        <w:t xml:space="preserve">Servizi </w:t>
      </w:r>
      <w:r w:rsidR="001F2A26">
        <w:rPr>
          <w:sz w:val="20"/>
          <w:szCs w:val="20"/>
        </w:rPr>
        <w:t>connessi alla pesca</w:t>
      </w:r>
      <w:r w:rsidR="007E4ECD">
        <w:rPr>
          <w:sz w:val="20"/>
          <w:szCs w:val="20"/>
        </w:rPr>
        <w:t xml:space="preserve">” avente ad oggetto </w:t>
      </w:r>
      <w:r w:rsidRPr="00C6183A">
        <w:rPr>
          <w:sz w:val="20"/>
          <w:szCs w:val="20"/>
        </w:rPr>
        <w:t xml:space="preserve">l’affidamento di un servizio </w:t>
      </w:r>
      <w:r w:rsidR="001F2A26" w:rsidRPr="001F2A26">
        <w:rPr>
          <w:sz w:val="20"/>
          <w:szCs w:val="20"/>
        </w:rPr>
        <w:t xml:space="preserve">di recupero delle anguille dalla vasca di carico della Soc. Acciai Speciali Terni (A.S.T.) in </w:t>
      </w:r>
      <w:proofErr w:type="spellStart"/>
      <w:r w:rsidR="001F2A26" w:rsidRPr="001F2A26">
        <w:rPr>
          <w:sz w:val="20"/>
          <w:szCs w:val="20"/>
        </w:rPr>
        <w:t>Loc</w:t>
      </w:r>
      <w:proofErr w:type="spellEnd"/>
      <w:r w:rsidR="001F2A26" w:rsidRPr="001F2A26">
        <w:rPr>
          <w:sz w:val="20"/>
          <w:szCs w:val="20"/>
        </w:rPr>
        <w:t>. Marmore (</w:t>
      </w:r>
      <w:proofErr w:type="spellStart"/>
      <w:r w:rsidR="001F2A26" w:rsidRPr="001F2A26">
        <w:rPr>
          <w:sz w:val="20"/>
          <w:szCs w:val="20"/>
        </w:rPr>
        <w:t>Tr</w:t>
      </w:r>
      <w:proofErr w:type="spellEnd"/>
      <w:r w:rsidR="001F2A26" w:rsidRPr="001F2A26">
        <w:rPr>
          <w:sz w:val="20"/>
          <w:szCs w:val="20"/>
        </w:rPr>
        <w:t>)</w:t>
      </w:r>
      <w:r w:rsidR="00830F13">
        <w:rPr>
          <w:sz w:val="20"/>
          <w:szCs w:val="20"/>
        </w:rPr>
        <w:t>.</w:t>
      </w:r>
    </w:p>
    <w:p w14:paraId="7C1CC09D" w14:textId="5A94987D" w:rsidR="0086075F" w:rsidRPr="0086075F" w:rsidRDefault="00C6183A" w:rsidP="0086075F">
      <w:pPr>
        <w:pStyle w:val="Corpotesto"/>
        <w:rPr>
          <w:b/>
          <w:bCs/>
          <w:sz w:val="20"/>
          <w:szCs w:val="20"/>
        </w:rPr>
      </w:pPr>
      <w:r w:rsidRPr="007E4ECD">
        <w:rPr>
          <w:b/>
          <w:bCs/>
          <w:sz w:val="20"/>
          <w:szCs w:val="20"/>
        </w:rPr>
        <w:t xml:space="preserve">Stante quanto sopra, si invitano tutti gli operatori, in quanto interessati a ricevere la richiesta di offerta, ad iscriversi alla pertinente categoria merceologia MEPA </w:t>
      </w:r>
      <w:r w:rsidR="006F7837" w:rsidRPr="004740EF">
        <w:rPr>
          <w:b/>
          <w:bCs/>
          <w:sz w:val="20"/>
          <w:szCs w:val="20"/>
        </w:rPr>
        <w:t xml:space="preserve">Servizi </w:t>
      </w:r>
      <w:r w:rsidR="004740EF" w:rsidRPr="004740EF">
        <w:rPr>
          <w:b/>
          <w:bCs/>
          <w:sz w:val="20"/>
          <w:szCs w:val="20"/>
        </w:rPr>
        <w:t>connessi alla pesca</w:t>
      </w:r>
      <w:r w:rsidRPr="004740EF">
        <w:rPr>
          <w:b/>
          <w:bCs/>
          <w:sz w:val="20"/>
          <w:szCs w:val="20"/>
        </w:rPr>
        <w:t xml:space="preserve">. </w:t>
      </w:r>
      <w:r w:rsidR="0086075F" w:rsidRPr="007E4ECD">
        <w:rPr>
          <w:b/>
          <w:bCs/>
          <w:sz w:val="20"/>
          <w:szCs w:val="20"/>
        </w:rPr>
        <w:t xml:space="preserve">CPV corrispondente </w:t>
      </w:r>
      <w:r w:rsidR="00C630BF">
        <w:rPr>
          <w:b/>
          <w:bCs/>
          <w:sz w:val="20"/>
          <w:szCs w:val="20"/>
        </w:rPr>
        <w:t>77700000-</w:t>
      </w:r>
      <w:r w:rsidR="004740EF">
        <w:rPr>
          <w:b/>
          <w:bCs/>
          <w:sz w:val="20"/>
          <w:szCs w:val="20"/>
        </w:rPr>
        <w:t>7.</w:t>
      </w:r>
    </w:p>
    <w:p w14:paraId="3FFA9DA9" w14:textId="76163268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</w:p>
    <w:p w14:paraId="06171B92" w14:textId="1CA275E0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sz w:val="20"/>
          <w:szCs w:val="20"/>
        </w:rPr>
        <w:t xml:space="preserve">La suddetta procedura verrà esperita all’interno della piattaforma telematica di approvvigionamento digitale certificata Mercato Elettronico della Pubblica Amministrazione (MEPA) di Consip S.p.A. </w:t>
      </w:r>
      <w:r w:rsidR="008D465F">
        <w:rPr>
          <w:sz w:val="20"/>
          <w:szCs w:val="20"/>
        </w:rPr>
        <w:t>e saranno inviatati a formulare offerta tutti gli operatori iscritti all</w:t>
      </w:r>
      <w:r w:rsidR="007E4ECD">
        <w:rPr>
          <w:sz w:val="20"/>
          <w:szCs w:val="20"/>
        </w:rPr>
        <w:t>a predetta Categoria Merceologica.</w:t>
      </w:r>
    </w:p>
    <w:p w14:paraId="384C2AF5" w14:textId="77777777" w:rsidR="00C6183A" w:rsidRPr="00C6183A" w:rsidRDefault="00C6183A" w:rsidP="000B41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F8957E7" w14:textId="73F27A56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b/>
          <w:bCs/>
          <w:sz w:val="20"/>
          <w:szCs w:val="20"/>
        </w:rPr>
        <w:t xml:space="preserve">Oggetto e durata dell’appalto </w:t>
      </w:r>
    </w:p>
    <w:p w14:paraId="302CBF30" w14:textId="7472A351" w:rsidR="00C630BF" w:rsidRPr="00C6183A" w:rsidRDefault="00C6183A" w:rsidP="00C630BF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sz w:val="20"/>
          <w:szCs w:val="20"/>
        </w:rPr>
        <w:t xml:space="preserve">Servizio </w:t>
      </w:r>
      <w:r w:rsidR="00C630BF" w:rsidRPr="001F2A26">
        <w:rPr>
          <w:sz w:val="20"/>
          <w:szCs w:val="20"/>
        </w:rPr>
        <w:t xml:space="preserve">di recupero delle anguille dalla vasca di carico della Soc. Acciai Speciali Terni (A.S.T.) in </w:t>
      </w:r>
      <w:proofErr w:type="spellStart"/>
      <w:r w:rsidR="00C630BF" w:rsidRPr="001F2A26">
        <w:rPr>
          <w:sz w:val="20"/>
          <w:szCs w:val="20"/>
        </w:rPr>
        <w:t>Loc</w:t>
      </w:r>
      <w:proofErr w:type="spellEnd"/>
      <w:r w:rsidR="00C630BF" w:rsidRPr="001F2A26">
        <w:rPr>
          <w:sz w:val="20"/>
          <w:szCs w:val="20"/>
        </w:rPr>
        <w:t>. Marmore (</w:t>
      </w:r>
      <w:proofErr w:type="spellStart"/>
      <w:r w:rsidR="00C630BF" w:rsidRPr="001F2A26">
        <w:rPr>
          <w:sz w:val="20"/>
          <w:szCs w:val="20"/>
        </w:rPr>
        <w:t>Tr</w:t>
      </w:r>
      <w:proofErr w:type="spellEnd"/>
      <w:r w:rsidR="00C630BF" w:rsidRPr="001F2A26">
        <w:rPr>
          <w:sz w:val="20"/>
          <w:szCs w:val="20"/>
        </w:rPr>
        <w:t>)</w:t>
      </w:r>
      <w:r w:rsidR="00830F13">
        <w:rPr>
          <w:sz w:val="20"/>
          <w:szCs w:val="20"/>
        </w:rPr>
        <w:t>.</w:t>
      </w:r>
    </w:p>
    <w:p w14:paraId="7EB5FF19" w14:textId="3FAF5C25" w:rsidR="00C6183A" w:rsidRPr="0073080E" w:rsidRDefault="00C6183A" w:rsidP="000B41CA">
      <w:pPr>
        <w:spacing w:after="0" w:line="240" w:lineRule="auto"/>
        <w:jc w:val="both"/>
        <w:rPr>
          <w:sz w:val="20"/>
          <w:szCs w:val="20"/>
        </w:rPr>
      </w:pPr>
    </w:p>
    <w:p w14:paraId="36060676" w14:textId="27B0BDA5" w:rsid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73080E">
        <w:rPr>
          <w:sz w:val="20"/>
          <w:szCs w:val="20"/>
        </w:rPr>
        <w:t xml:space="preserve">Durata del contratto: </w:t>
      </w:r>
      <w:r w:rsidR="00395C20">
        <w:rPr>
          <w:sz w:val="20"/>
          <w:szCs w:val="20"/>
        </w:rPr>
        <w:t>36</w:t>
      </w:r>
      <w:r w:rsidRPr="0073080E">
        <w:rPr>
          <w:sz w:val="20"/>
          <w:szCs w:val="20"/>
        </w:rPr>
        <w:t xml:space="preserve"> mesi a decorrere dalla stipula</w:t>
      </w:r>
    </w:p>
    <w:p w14:paraId="75A869A7" w14:textId="77777777" w:rsidR="00395C20" w:rsidRPr="00C6183A" w:rsidRDefault="00395C20" w:rsidP="000B41CA">
      <w:pPr>
        <w:spacing w:after="0" w:line="240" w:lineRule="auto"/>
        <w:jc w:val="both"/>
        <w:rPr>
          <w:sz w:val="20"/>
          <w:szCs w:val="20"/>
        </w:rPr>
      </w:pPr>
    </w:p>
    <w:p w14:paraId="18AEA490" w14:textId="77777777" w:rsidR="00C6183A" w:rsidRPr="00C6183A" w:rsidRDefault="00C6183A" w:rsidP="000B41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032BDC0" w14:textId="5D18BA44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b/>
          <w:bCs/>
          <w:sz w:val="20"/>
          <w:szCs w:val="20"/>
        </w:rPr>
        <w:t xml:space="preserve">CPV </w:t>
      </w:r>
    </w:p>
    <w:p w14:paraId="3AA35750" w14:textId="2405DE72" w:rsidR="00C6183A" w:rsidRPr="0073080E" w:rsidRDefault="00395C20" w:rsidP="000B41CA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77700000-7 Servizi connessi alla pesca.</w:t>
      </w:r>
    </w:p>
    <w:p w14:paraId="7FA291D5" w14:textId="77777777" w:rsidR="0073080E" w:rsidRDefault="0073080E" w:rsidP="000B41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66F83B5" w14:textId="1E3558F6" w:rsidR="00C6183A" w:rsidRPr="0073080E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73080E">
        <w:rPr>
          <w:b/>
          <w:bCs/>
          <w:sz w:val="20"/>
          <w:szCs w:val="20"/>
        </w:rPr>
        <w:t xml:space="preserve">Importo dell’appalto </w:t>
      </w:r>
    </w:p>
    <w:p w14:paraId="5F1CA832" w14:textId="010E662A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73080E">
        <w:rPr>
          <w:sz w:val="20"/>
          <w:szCs w:val="20"/>
        </w:rPr>
        <w:t xml:space="preserve">Importo </w:t>
      </w:r>
      <w:r w:rsidR="0073080E" w:rsidRPr="0073080E">
        <w:rPr>
          <w:sz w:val="20"/>
          <w:szCs w:val="20"/>
        </w:rPr>
        <w:t>a base d’asta</w:t>
      </w:r>
      <w:r w:rsidRPr="0073080E">
        <w:rPr>
          <w:sz w:val="20"/>
          <w:szCs w:val="20"/>
        </w:rPr>
        <w:t xml:space="preserve">: euro </w:t>
      </w:r>
      <w:r w:rsidR="00395C20">
        <w:rPr>
          <w:sz w:val="20"/>
          <w:szCs w:val="20"/>
        </w:rPr>
        <w:t>8.000,00</w:t>
      </w:r>
      <w:r w:rsidRPr="0073080E">
        <w:rPr>
          <w:sz w:val="20"/>
          <w:szCs w:val="20"/>
        </w:rPr>
        <w:t xml:space="preserve"> iva esclusa </w:t>
      </w:r>
      <w:r w:rsidR="007E4ECD">
        <w:rPr>
          <w:sz w:val="20"/>
          <w:szCs w:val="20"/>
        </w:rPr>
        <w:t>(</w:t>
      </w:r>
      <w:r w:rsidR="00395C20">
        <w:rPr>
          <w:sz w:val="20"/>
          <w:szCs w:val="20"/>
        </w:rPr>
        <w:t>36</w:t>
      </w:r>
      <w:r w:rsidR="007E4ECD">
        <w:rPr>
          <w:sz w:val="20"/>
          <w:szCs w:val="20"/>
        </w:rPr>
        <w:t xml:space="preserve"> mesi) </w:t>
      </w:r>
    </w:p>
    <w:p w14:paraId="2BF80DAA" w14:textId="77777777" w:rsidR="00C6183A" w:rsidRPr="00C6183A" w:rsidRDefault="00C6183A" w:rsidP="000B41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96D6027" w14:textId="27596803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b/>
          <w:bCs/>
          <w:sz w:val="20"/>
          <w:szCs w:val="20"/>
        </w:rPr>
        <w:t xml:space="preserve">Criterio di aggiudicazione </w:t>
      </w:r>
    </w:p>
    <w:p w14:paraId="240E97C7" w14:textId="68A70853" w:rsidR="00C6183A" w:rsidRPr="00C6183A" w:rsidRDefault="0073080E" w:rsidP="000B41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C6183A" w:rsidRPr="00C6183A">
        <w:rPr>
          <w:sz w:val="20"/>
          <w:szCs w:val="20"/>
        </w:rPr>
        <w:t>a procedura sarà aggiudicata con il criterio del</w:t>
      </w:r>
      <w:r>
        <w:rPr>
          <w:sz w:val="20"/>
          <w:szCs w:val="20"/>
        </w:rPr>
        <w:t>l’offerta economicamente più vantaggiosa.</w:t>
      </w:r>
    </w:p>
    <w:p w14:paraId="7DF49258" w14:textId="77777777" w:rsidR="00C6183A" w:rsidRPr="00C6183A" w:rsidRDefault="00C6183A" w:rsidP="000B41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EE17E70" w14:textId="6630ECAD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b/>
          <w:bCs/>
          <w:sz w:val="20"/>
          <w:szCs w:val="20"/>
        </w:rPr>
        <w:t xml:space="preserve">Luogo di esecuzione </w:t>
      </w:r>
    </w:p>
    <w:p w14:paraId="0BBC8407" w14:textId="77777777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sz w:val="20"/>
          <w:szCs w:val="20"/>
        </w:rPr>
        <w:t xml:space="preserve">Regione Umbria </w:t>
      </w:r>
    </w:p>
    <w:p w14:paraId="38178C49" w14:textId="77777777" w:rsidR="00C6183A" w:rsidRPr="00C6183A" w:rsidRDefault="00C6183A" w:rsidP="000B41C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A21C540" w14:textId="2A9F3095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b/>
          <w:bCs/>
          <w:sz w:val="20"/>
          <w:szCs w:val="20"/>
        </w:rPr>
        <w:t xml:space="preserve">R.U.P. </w:t>
      </w:r>
    </w:p>
    <w:p w14:paraId="5C9917BE" w14:textId="0F541BEF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sz w:val="20"/>
          <w:szCs w:val="20"/>
        </w:rPr>
        <w:t xml:space="preserve">Il Responsabile Unico del Progetto è </w:t>
      </w:r>
      <w:r w:rsidR="00395C20">
        <w:rPr>
          <w:sz w:val="20"/>
          <w:szCs w:val="20"/>
        </w:rPr>
        <w:t>il Dott. For. Francesco Grohmann</w:t>
      </w:r>
      <w:r w:rsidRPr="00C6183A">
        <w:rPr>
          <w:sz w:val="20"/>
          <w:szCs w:val="20"/>
        </w:rPr>
        <w:t>, Dirigente</w:t>
      </w:r>
      <w:r w:rsidR="00395C20">
        <w:rPr>
          <w:sz w:val="20"/>
          <w:szCs w:val="20"/>
        </w:rPr>
        <w:t xml:space="preserve"> ad interim</w:t>
      </w:r>
      <w:r w:rsidRPr="00C6183A">
        <w:rPr>
          <w:sz w:val="20"/>
          <w:szCs w:val="20"/>
        </w:rPr>
        <w:t xml:space="preserve"> del Servizio </w:t>
      </w:r>
      <w:r w:rsidR="00395C20">
        <w:rPr>
          <w:sz w:val="20"/>
          <w:szCs w:val="20"/>
        </w:rPr>
        <w:t>Programmazione e gestione faunistica, servizio fitosanitario e difesa delle produzioni.</w:t>
      </w:r>
    </w:p>
    <w:p w14:paraId="7830B8A6" w14:textId="77777777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b/>
          <w:bCs/>
          <w:sz w:val="20"/>
          <w:szCs w:val="20"/>
        </w:rPr>
        <w:t xml:space="preserve">Pubblicazione </w:t>
      </w:r>
    </w:p>
    <w:p w14:paraId="50880D79" w14:textId="57606F9C" w:rsidR="00C6183A" w:rsidRPr="00C6183A" w:rsidRDefault="00C6183A" w:rsidP="000B41CA">
      <w:pPr>
        <w:spacing w:after="0" w:line="240" w:lineRule="auto"/>
        <w:jc w:val="both"/>
        <w:rPr>
          <w:sz w:val="20"/>
          <w:szCs w:val="20"/>
        </w:rPr>
      </w:pPr>
      <w:r w:rsidRPr="00C6183A">
        <w:rPr>
          <w:sz w:val="20"/>
          <w:szCs w:val="20"/>
        </w:rPr>
        <w:t xml:space="preserve">Ai sensi dell’art. 50, comma 2-bis, del </w:t>
      </w:r>
      <w:proofErr w:type="spellStart"/>
      <w:r w:rsidRPr="00C6183A">
        <w:rPr>
          <w:sz w:val="20"/>
          <w:szCs w:val="20"/>
        </w:rPr>
        <w:t>D.Lgs.</w:t>
      </w:r>
      <w:proofErr w:type="spellEnd"/>
      <w:r w:rsidRPr="00C6183A">
        <w:rPr>
          <w:sz w:val="20"/>
          <w:szCs w:val="20"/>
        </w:rPr>
        <w:t xml:space="preserve"> n. 36/2023 e </w:t>
      </w:r>
      <w:proofErr w:type="spellStart"/>
      <w:r w:rsidRPr="00C6183A">
        <w:rPr>
          <w:sz w:val="20"/>
          <w:szCs w:val="20"/>
        </w:rPr>
        <w:t>s.m.i.</w:t>
      </w:r>
      <w:proofErr w:type="spellEnd"/>
      <w:r w:rsidRPr="00C6183A">
        <w:rPr>
          <w:sz w:val="20"/>
          <w:szCs w:val="20"/>
        </w:rPr>
        <w:t xml:space="preserve">, il presente AVVISO viene pubblicato sul sito internet della stazione appaltante, nella sezione “Amministrazione trasparente” – “Bandi di gara e contratti” – “Profilo del committente”, raggiungibile all’indirizzo: </w:t>
      </w:r>
      <w:hyperlink r:id="rId4" w:history="1">
        <w:r w:rsidRPr="00C6183A">
          <w:rPr>
            <w:rStyle w:val="Collegamentoipertestuale"/>
            <w:sz w:val="20"/>
            <w:szCs w:val="20"/>
          </w:rPr>
          <w:t>https://www.regione.umbria.it/avvisi-bandi-di-gara-e-documentazione-complementare</w:t>
        </w:r>
      </w:hyperlink>
      <w:r w:rsidRPr="00C6183A">
        <w:rPr>
          <w:sz w:val="20"/>
          <w:szCs w:val="20"/>
        </w:rPr>
        <w:t>, al fine di dare evidenza della procedura negoziata descritta in oggetto.</w:t>
      </w:r>
    </w:p>
    <w:sectPr w:rsidR="00C6183A" w:rsidRPr="00C61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3A"/>
    <w:rsid w:val="000A6847"/>
    <w:rsid w:val="000B41CA"/>
    <w:rsid w:val="001F2A26"/>
    <w:rsid w:val="00322053"/>
    <w:rsid w:val="00354801"/>
    <w:rsid w:val="00391162"/>
    <w:rsid w:val="00395C20"/>
    <w:rsid w:val="003D582A"/>
    <w:rsid w:val="00415575"/>
    <w:rsid w:val="004740EF"/>
    <w:rsid w:val="006551B1"/>
    <w:rsid w:val="006D40C8"/>
    <w:rsid w:val="006F7837"/>
    <w:rsid w:val="0073080E"/>
    <w:rsid w:val="007E4ECD"/>
    <w:rsid w:val="00830F13"/>
    <w:rsid w:val="0086075F"/>
    <w:rsid w:val="008C6A05"/>
    <w:rsid w:val="008D465F"/>
    <w:rsid w:val="009B4C81"/>
    <w:rsid w:val="00AA4623"/>
    <w:rsid w:val="00BC0AE9"/>
    <w:rsid w:val="00C13636"/>
    <w:rsid w:val="00C6183A"/>
    <w:rsid w:val="00C630BF"/>
    <w:rsid w:val="00D073A1"/>
    <w:rsid w:val="00D620EA"/>
    <w:rsid w:val="00EA0B87"/>
    <w:rsid w:val="00E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AD5B"/>
  <w15:chartTrackingRefBased/>
  <w15:docId w15:val="{D8DFDD7E-E1B5-4708-B73F-39664F0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1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1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1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1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1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18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18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18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18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18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18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18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18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18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1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18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183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18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183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autoRedefine/>
    <w:uiPriority w:val="1"/>
    <w:qFormat/>
    <w:rsid w:val="0086075F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kern w:val="0"/>
      <w:sz w:val="22"/>
      <w:szCs w:val="22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075F"/>
    <w:rPr>
      <w:rFonts w:ascii="Arial" w:eastAsia="Arial" w:hAnsi="Arial" w:cs="Arial"/>
      <w:kern w:val="0"/>
      <w:sz w:val="22"/>
      <w:szCs w:val="22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ione.umbria.it/avvisi-bandi-di-gara-e-documentazione-complementa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Cenci</dc:creator>
  <cp:keywords/>
  <dc:description/>
  <cp:lastModifiedBy>Silvia Massai</cp:lastModifiedBy>
  <cp:revision>2</cp:revision>
  <dcterms:created xsi:type="dcterms:W3CDTF">2026-04-10T09:51:00Z</dcterms:created>
  <dcterms:modified xsi:type="dcterms:W3CDTF">2026-04-10T09:51:00Z</dcterms:modified>
</cp:coreProperties>
</file>