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la porzione degli investimenti immobiliari:</w:t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Caricare computi metrici preventivi desunti dal prezzario regionale in vigore alla data di rilascio della domanda di sostegno SIAR (</w:t>
      </w:r>
      <w:r w:rsidDel="00000000" w:rsidR="00000000" w:rsidRPr="00000000">
        <w:rPr>
          <w:b w:val="1"/>
          <w:rtl w:val="0"/>
        </w:rPr>
        <w:t xml:space="preserve">per gli investimenti già realizzati</w:t>
      </w:r>
      <w:r w:rsidDel="00000000" w:rsidR="00000000" w:rsidRPr="00000000">
        <w:rPr>
          <w:rtl w:val="0"/>
        </w:rPr>
        <w:t xml:space="preserve">);</w:t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Caricare computi metrici preventivi desunti dal prezzario regionale per le opere edili 2022 (</w:t>
      </w:r>
      <w:r w:rsidDel="00000000" w:rsidR="00000000" w:rsidRPr="00000000">
        <w:rPr>
          <w:b w:val="1"/>
          <w:rtl w:val="0"/>
        </w:rPr>
        <w:t xml:space="preserve">per la quota di investimenti ancora non realizzati</w:t>
      </w:r>
      <w:r w:rsidDel="00000000" w:rsidR="00000000" w:rsidRPr="00000000">
        <w:rPr>
          <w:rtl w:val="0"/>
        </w:rPr>
        <w:t xml:space="preserve">);</w:t>
      </w:r>
    </w:p>
    <w:p w:rsidR="00000000" w:rsidDel="00000000" w:rsidP="00000000" w:rsidRDefault="00000000" w:rsidRPr="00000000" w14:paraId="00000004">
      <w:pPr>
        <w:widowControl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left="0" w:firstLine="0"/>
        <w:rPr/>
      </w:pPr>
      <w:r w:rsidDel="00000000" w:rsidR="00000000" w:rsidRPr="00000000">
        <w:rPr>
          <w:rtl w:val="0"/>
        </w:rPr>
        <w:t xml:space="preserve">La spesa computata deve tener conto: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PER GLI INVESTIMENTI GIA’ REALIZZATI, dei limiti massimi previsti per gli immobili all'Allegato A2, Bando 4.1.1 (DD n. 11417 del 03/11/2017, S.O. n. 4 al BUR n. 48 del 8 novembre 2017);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PER GLI INVESTIMENTI DA REALIZZARE, dei limiti previsti dalla DD n. 4245 del 20/04/2023.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Per la porzione degli investimenti in macchine/attrezzature/impianti:</w:t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  <w:t xml:space="preserve">Per gli investimenti già realizzati: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Caricare la scheda tecnica dei macchinari/delle attrezzature/degli impianti previsti  nel caso di applicazione dei costi di riferimento di cui alle TABELLE STANDARD DEI COSTI UNITARI PER MACCHINE E ATTREZZATURE AGRICOLE RIPORTATE nell’ Allegato A2 del Bando 4.1.1 - 2017  (testo coordinato di cui alla DD n. 8113  del 15/9/2020, pubblicato sul BUR n. 74 del 23/9/2020). Nel caso in cui i macchinari non siano ricompresi nelle suddette tabelle caricare  tre preventivi ricevuti  via PEC da 3 fornitori indipendenti.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Per gli investimenti da realizzare: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3 preventivi ricevuti via PEC da fornitori indipendenti;</w:t>
      </w:r>
    </w:p>
    <w:p w:rsidR="00000000" w:rsidDel="00000000" w:rsidP="00000000" w:rsidRDefault="00000000" w:rsidRPr="00000000" w14:paraId="0000000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l’unico preventivo ricevuto via PEC nel caso di privativa industriale.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INV. MOB</w:t>
      </w:r>
      <w:r w:rsidDel="00000000" w:rsidR="00000000" w:rsidRPr="00000000">
        <w:rPr>
          <w:rtl w:val="0"/>
        </w:rPr>
        <w:t xml:space="preserve">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Fissi per destinazione.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