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Caricare la documentazione attestante la spesa sostenuta (rif. Art. 14 del Bando):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giustificativi di spesa (es. fatture);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documenti attestanti il pagamento (bonifici e relativi estratti del Conto Corrente, F24 ecc.);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Relazione di congruità della spesa rispetto al DM n. 140/2012.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Denominazione file: EC68131_Doc. spesa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