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693" w:rsidRDefault="008C094F" w:rsidP="00392582">
      <w:pPr>
        <w:spacing w:after="120"/>
        <w:ind w:left="-142" w:right="-142"/>
        <w:jc w:val="center"/>
        <w:rPr>
          <w:b/>
          <w:i/>
          <w:sz w:val="28"/>
          <w:szCs w:val="28"/>
        </w:rPr>
      </w:pPr>
      <w:r>
        <w:rPr>
          <w:b/>
          <w:i/>
          <w:sz w:val="28"/>
          <w:szCs w:val="28"/>
        </w:rPr>
        <w:t>Regione Umbria</w:t>
      </w:r>
    </w:p>
    <w:p w:rsidR="00684CEB" w:rsidRDefault="00684CEB" w:rsidP="00392582">
      <w:pPr>
        <w:spacing w:after="120"/>
        <w:ind w:left="-142" w:right="-142"/>
        <w:jc w:val="center"/>
        <w:rPr>
          <w:b/>
          <w:i/>
          <w:sz w:val="28"/>
          <w:szCs w:val="28"/>
        </w:rPr>
      </w:pPr>
    </w:p>
    <w:p w:rsidR="00684CEB" w:rsidRDefault="00684CEB" w:rsidP="00392582">
      <w:pPr>
        <w:spacing w:after="120"/>
        <w:ind w:left="-142" w:right="-142"/>
        <w:jc w:val="center"/>
        <w:rPr>
          <w:b/>
          <w:i/>
          <w:sz w:val="28"/>
          <w:szCs w:val="28"/>
        </w:rPr>
      </w:pPr>
    </w:p>
    <w:p w:rsidR="00684CEB" w:rsidRDefault="00684CEB" w:rsidP="00392582">
      <w:pPr>
        <w:spacing w:after="120"/>
        <w:ind w:left="-142" w:right="-142"/>
        <w:jc w:val="center"/>
        <w:rPr>
          <w:b/>
          <w:i/>
          <w:sz w:val="28"/>
          <w:szCs w:val="28"/>
        </w:rPr>
      </w:pPr>
    </w:p>
    <w:p w:rsidR="00684CEB" w:rsidRDefault="00684CEB" w:rsidP="00392582">
      <w:pPr>
        <w:spacing w:after="120"/>
        <w:ind w:left="-142" w:right="-142"/>
        <w:jc w:val="center"/>
        <w:rPr>
          <w:b/>
          <w:i/>
          <w:sz w:val="28"/>
          <w:szCs w:val="28"/>
        </w:rPr>
      </w:pPr>
    </w:p>
    <w:p w:rsidR="00684CEB" w:rsidRDefault="00684CEB" w:rsidP="00392582">
      <w:pPr>
        <w:spacing w:after="120"/>
        <w:ind w:left="-142" w:right="-142"/>
        <w:jc w:val="center"/>
        <w:rPr>
          <w:b/>
          <w:i/>
          <w:sz w:val="28"/>
          <w:szCs w:val="28"/>
        </w:rPr>
      </w:pPr>
    </w:p>
    <w:p w:rsidR="00A00638" w:rsidRDefault="00A00638" w:rsidP="00392582">
      <w:pPr>
        <w:spacing w:after="120"/>
        <w:ind w:left="-142" w:right="-142"/>
        <w:jc w:val="center"/>
        <w:rPr>
          <w:b/>
          <w:i/>
          <w:sz w:val="40"/>
          <w:szCs w:val="28"/>
        </w:rPr>
      </w:pPr>
      <w:r w:rsidRPr="00684CEB">
        <w:rPr>
          <w:b/>
          <w:i/>
          <w:sz w:val="40"/>
          <w:szCs w:val="28"/>
        </w:rPr>
        <w:t xml:space="preserve">Programmazione </w:t>
      </w:r>
      <w:r w:rsidR="00684CEB" w:rsidRPr="00684CEB">
        <w:rPr>
          <w:b/>
          <w:i/>
          <w:sz w:val="40"/>
          <w:szCs w:val="28"/>
        </w:rPr>
        <w:t xml:space="preserve">della politica di coesione </w:t>
      </w:r>
      <w:r w:rsidRPr="00684CEB">
        <w:rPr>
          <w:b/>
          <w:i/>
          <w:sz w:val="40"/>
          <w:szCs w:val="28"/>
        </w:rPr>
        <w:t>2021</w:t>
      </w:r>
      <w:r w:rsidR="008750A6" w:rsidRPr="00684CEB">
        <w:rPr>
          <w:b/>
          <w:i/>
          <w:sz w:val="40"/>
          <w:szCs w:val="28"/>
        </w:rPr>
        <w:t>-2027</w:t>
      </w:r>
    </w:p>
    <w:p w:rsidR="00684CEB" w:rsidRPr="00684CEB" w:rsidRDefault="00684CEB" w:rsidP="00392582">
      <w:pPr>
        <w:spacing w:after="120"/>
        <w:ind w:left="-142" w:right="-142"/>
        <w:jc w:val="center"/>
        <w:rPr>
          <w:b/>
          <w:i/>
          <w:sz w:val="40"/>
          <w:szCs w:val="28"/>
        </w:rPr>
      </w:pPr>
    </w:p>
    <w:p w:rsidR="00D86693" w:rsidRPr="00684CEB" w:rsidRDefault="00392582" w:rsidP="00392582">
      <w:pPr>
        <w:spacing w:after="120"/>
        <w:ind w:left="-142" w:right="-142"/>
        <w:jc w:val="center"/>
        <w:rPr>
          <w:b/>
          <w:i/>
          <w:sz w:val="40"/>
          <w:szCs w:val="28"/>
        </w:rPr>
      </w:pPr>
      <w:r w:rsidRPr="00684CEB">
        <w:rPr>
          <w:b/>
          <w:i/>
          <w:sz w:val="40"/>
          <w:szCs w:val="28"/>
        </w:rPr>
        <w:t>Scheda</w:t>
      </w:r>
      <w:r w:rsidR="002B57A6" w:rsidRPr="00684CEB">
        <w:rPr>
          <w:b/>
          <w:i/>
          <w:sz w:val="40"/>
          <w:szCs w:val="28"/>
        </w:rPr>
        <w:t xml:space="preserve"> per la </w:t>
      </w:r>
      <w:r w:rsidR="00ED2BFD" w:rsidRPr="00684CEB">
        <w:rPr>
          <w:b/>
          <w:i/>
          <w:sz w:val="40"/>
          <w:szCs w:val="28"/>
        </w:rPr>
        <w:t>r</w:t>
      </w:r>
      <w:r w:rsidR="00A4263D" w:rsidRPr="00684CEB">
        <w:rPr>
          <w:b/>
          <w:i/>
          <w:sz w:val="40"/>
          <w:szCs w:val="28"/>
        </w:rPr>
        <w:t xml:space="preserve">accolta </w:t>
      </w:r>
      <w:r w:rsidR="002B57A6" w:rsidRPr="00684CEB">
        <w:rPr>
          <w:b/>
          <w:i/>
          <w:sz w:val="40"/>
          <w:szCs w:val="28"/>
        </w:rPr>
        <w:t xml:space="preserve">dei </w:t>
      </w:r>
      <w:r w:rsidR="00A4263D" w:rsidRPr="00684CEB">
        <w:rPr>
          <w:b/>
          <w:i/>
          <w:sz w:val="40"/>
          <w:szCs w:val="28"/>
        </w:rPr>
        <w:t>contributi</w:t>
      </w:r>
    </w:p>
    <w:p w:rsidR="0091793F" w:rsidRPr="00684CEB" w:rsidRDefault="00A4263D" w:rsidP="00FE78CC">
      <w:pPr>
        <w:ind w:left="-142" w:right="-143"/>
        <w:jc w:val="center"/>
        <w:rPr>
          <w:b/>
          <w:i/>
          <w:sz w:val="40"/>
          <w:szCs w:val="28"/>
        </w:rPr>
      </w:pPr>
      <w:r w:rsidRPr="00684CEB">
        <w:rPr>
          <w:b/>
          <w:i/>
          <w:sz w:val="40"/>
          <w:szCs w:val="28"/>
        </w:rPr>
        <w:t>d</w:t>
      </w:r>
      <w:r w:rsidR="00FE78CC" w:rsidRPr="00684CEB">
        <w:rPr>
          <w:b/>
          <w:i/>
          <w:sz w:val="40"/>
          <w:szCs w:val="28"/>
        </w:rPr>
        <w:t>e</w:t>
      </w:r>
      <w:r w:rsidRPr="00684CEB">
        <w:rPr>
          <w:b/>
          <w:i/>
          <w:sz w:val="40"/>
          <w:szCs w:val="28"/>
        </w:rPr>
        <w:t>i Partecipanti</w:t>
      </w:r>
      <w:r w:rsidR="00D86693" w:rsidRPr="00684CEB">
        <w:rPr>
          <w:b/>
          <w:i/>
          <w:sz w:val="40"/>
          <w:szCs w:val="28"/>
        </w:rPr>
        <w:t xml:space="preserve"> a</w:t>
      </w:r>
      <w:r w:rsidR="002B57A6" w:rsidRPr="00684CEB">
        <w:rPr>
          <w:b/>
          <w:i/>
          <w:sz w:val="40"/>
          <w:szCs w:val="28"/>
        </w:rPr>
        <w:t>i</w:t>
      </w:r>
      <w:r w:rsidRPr="00684CEB">
        <w:rPr>
          <w:b/>
          <w:i/>
          <w:sz w:val="40"/>
          <w:szCs w:val="28"/>
        </w:rPr>
        <w:t xml:space="preserve"> Tavol</w:t>
      </w:r>
      <w:r w:rsidR="002B57A6" w:rsidRPr="00684CEB">
        <w:rPr>
          <w:b/>
          <w:i/>
          <w:sz w:val="40"/>
          <w:szCs w:val="28"/>
        </w:rPr>
        <w:t>i</w:t>
      </w:r>
      <w:r w:rsidRPr="00684CEB">
        <w:rPr>
          <w:b/>
          <w:i/>
          <w:sz w:val="40"/>
          <w:szCs w:val="28"/>
        </w:rPr>
        <w:t xml:space="preserve"> di confronto partenariale</w:t>
      </w:r>
    </w:p>
    <w:p w:rsidR="006C4D1D" w:rsidRDefault="006C4D1D" w:rsidP="006C4D1D">
      <w:pPr>
        <w:spacing w:after="60" w:line="288" w:lineRule="auto"/>
        <w:jc w:val="both"/>
        <w:rPr>
          <w:sz w:val="24"/>
          <w:szCs w:val="24"/>
        </w:rPr>
      </w:pPr>
    </w:p>
    <w:p w:rsidR="006C4D1D" w:rsidRDefault="006C4D1D" w:rsidP="006C4D1D">
      <w:pPr>
        <w:spacing w:after="60" w:line="288" w:lineRule="auto"/>
        <w:jc w:val="both"/>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rPr>
          <w:sz w:val="24"/>
          <w:szCs w:val="24"/>
        </w:rPr>
      </w:pPr>
    </w:p>
    <w:p w:rsidR="006C4D1D" w:rsidRPr="006C4D1D" w:rsidRDefault="006C4D1D" w:rsidP="006C4D1D">
      <w:pPr>
        <w:jc w:val="right"/>
        <w:rPr>
          <w:sz w:val="24"/>
          <w:szCs w:val="24"/>
        </w:rPr>
      </w:pPr>
    </w:p>
    <w:p w:rsidR="006C4D1D" w:rsidRDefault="006C4D1D" w:rsidP="006C4D1D">
      <w:pPr>
        <w:rPr>
          <w:sz w:val="24"/>
          <w:szCs w:val="24"/>
        </w:rPr>
      </w:pPr>
    </w:p>
    <w:p w:rsidR="006C4D1D" w:rsidRPr="006C4D1D" w:rsidRDefault="006C4D1D" w:rsidP="006C4D1D">
      <w:pPr>
        <w:rPr>
          <w:sz w:val="24"/>
          <w:szCs w:val="24"/>
        </w:rPr>
        <w:sectPr w:rsidR="006C4D1D" w:rsidRPr="006C4D1D" w:rsidSect="006961ED">
          <w:footerReference w:type="default" r:id="rId9"/>
          <w:pgSz w:w="11906" w:h="16838"/>
          <w:pgMar w:top="1276" w:right="991" w:bottom="720" w:left="993" w:header="907" w:footer="720" w:gutter="0"/>
          <w:cols w:space="720"/>
          <w:docGrid w:linePitch="299"/>
        </w:sectPr>
      </w:pPr>
    </w:p>
    <w:p w:rsidR="0091226A" w:rsidRPr="005A3799" w:rsidRDefault="0091226A" w:rsidP="0091226A">
      <w:pPr>
        <w:spacing w:after="60" w:line="288" w:lineRule="auto"/>
        <w:jc w:val="both"/>
        <w:rPr>
          <w:sz w:val="24"/>
          <w:szCs w:val="24"/>
        </w:rPr>
      </w:pPr>
      <w:r w:rsidRPr="005A3799">
        <w:rPr>
          <w:sz w:val="24"/>
          <w:szCs w:val="24"/>
        </w:rPr>
        <w:lastRenderedPageBreak/>
        <w:t xml:space="preserve">Nei due incontri di partenariato per la programmazione UE 2021-2027 si sono illustrate le modalità </w:t>
      </w:r>
    </w:p>
    <w:p w:rsidR="0091226A" w:rsidRPr="005A3799" w:rsidRDefault="0091226A" w:rsidP="0091226A">
      <w:pPr>
        <w:spacing w:after="60" w:line="288" w:lineRule="auto"/>
        <w:jc w:val="both"/>
        <w:rPr>
          <w:sz w:val="24"/>
          <w:szCs w:val="24"/>
        </w:rPr>
      </w:pPr>
      <w:r w:rsidRPr="005A3799">
        <w:rPr>
          <w:sz w:val="24"/>
          <w:szCs w:val="24"/>
        </w:rPr>
        <w:t>di coinvolgimento del partenariato che la Regione sta attuando, in funzione anche della road map che è stata presentata a livello italiano. Al fine di pervenire a dei contributi strutturati a supporto della definizione della futura programmazione regionale si chiede di focalizzare l’attenzione sulla scelta di:</w:t>
      </w:r>
      <w:r w:rsidRPr="005A3799">
        <w:rPr>
          <w:sz w:val="24"/>
          <w:szCs w:val="24"/>
        </w:rPr>
        <w:tab/>
        <w:t>Quali obiettivi specifici sono prioritari per l’Umbria</w:t>
      </w:r>
    </w:p>
    <w:p w:rsidR="0091226A" w:rsidRPr="005A3799" w:rsidRDefault="0091226A" w:rsidP="0091226A">
      <w:pPr>
        <w:spacing w:after="60" w:line="288" w:lineRule="auto"/>
        <w:jc w:val="both"/>
        <w:rPr>
          <w:sz w:val="24"/>
          <w:szCs w:val="24"/>
        </w:rPr>
      </w:pPr>
      <w:r w:rsidRPr="005A3799">
        <w:rPr>
          <w:sz w:val="24"/>
          <w:szCs w:val="24"/>
        </w:rPr>
        <w:tab/>
        <w:t>Quali risultati attesi, azioni e progetti strategici è necessario prevedere</w:t>
      </w:r>
    </w:p>
    <w:p w:rsidR="0091226A" w:rsidRPr="005A3799" w:rsidRDefault="0091226A" w:rsidP="0091226A">
      <w:pPr>
        <w:spacing w:after="60" w:line="288" w:lineRule="auto"/>
        <w:jc w:val="both"/>
        <w:rPr>
          <w:sz w:val="24"/>
          <w:szCs w:val="24"/>
        </w:rPr>
      </w:pPr>
      <w:r w:rsidRPr="005A3799">
        <w:rPr>
          <w:sz w:val="24"/>
          <w:szCs w:val="24"/>
        </w:rPr>
        <w:tab/>
        <w:t>Quali impegni si assume il partenariato</w:t>
      </w:r>
    </w:p>
    <w:p w:rsidR="00FE78CC" w:rsidRDefault="00BE4993" w:rsidP="008613F1">
      <w:pPr>
        <w:spacing w:after="60" w:line="288" w:lineRule="auto"/>
        <w:jc w:val="both"/>
        <w:rPr>
          <w:sz w:val="24"/>
          <w:szCs w:val="24"/>
        </w:rPr>
      </w:pPr>
      <w:r w:rsidRPr="005A3799">
        <w:rPr>
          <w:sz w:val="24"/>
          <w:szCs w:val="24"/>
        </w:rPr>
        <w:t>La scheda che segue</w:t>
      </w:r>
      <w:r w:rsidR="00ED2BFD" w:rsidRPr="005A3799">
        <w:rPr>
          <w:sz w:val="24"/>
          <w:szCs w:val="24"/>
        </w:rPr>
        <w:t xml:space="preserve"> </w:t>
      </w:r>
      <w:r w:rsidR="0030600D" w:rsidRPr="005A3799">
        <w:rPr>
          <w:sz w:val="24"/>
          <w:szCs w:val="24"/>
        </w:rPr>
        <w:t>risponde all’esigenza di raccogliere in maniera sistematica, da parte dei partecipanti a</w:t>
      </w:r>
      <w:r w:rsidR="002B57A6" w:rsidRPr="005A3799">
        <w:rPr>
          <w:sz w:val="24"/>
          <w:szCs w:val="24"/>
        </w:rPr>
        <w:t>i T</w:t>
      </w:r>
      <w:r w:rsidR="0030600D" w:rsidRPr="005A3799">
        <w:rPr>
          <w:sz w:val="24"/>
          <w:szCs w:val="24"/>
        </w:rPr>
        <w:t>avol</w:t>
      </w:r>
      <w:r w:rsidR="002B57A6" w:rsidRPr="005A3799">
        <w:rPr>
          <w:sz w:val="24"/>
          <w:szCs w:val="24"/>
        </w:rPr>
        <w:t>i</w:t>
      </w:r>
      <w:r w:rsidR="0030600D" w:rsidRPr="005A3799">
        <w:rPr>
          <w:sz w:val="24"/>
          <w:szCs w:val="24"/>
        </w:rPr>
        <w:t xml:space="preserve"> di confronto partenariale</w:t>
      </w:r>
      <w:r w:rsidR="006A7339" w:rsidRPr="005A3799">
        <w:rPr>
          <w:sz w:val="24"/>
          <w:szCs w:val="24"/>
        </w:rPr>
        <w:t>,</w:t>
      </w:r>
      <w:r w:rsidR="0030600D" w:rsidRPr="005A3799">
        <w:rPr>
          <w:sz w:val="24"/>
          <w:szCs w:val="24"/>
        </w:rPr>
        <w:t xml:space="preserve"> </w:t>
      </w:r>
      <w:r w:rsidR="009D436E" w:rsidRPr="005A3799">
        <w:rPr>
          <w:b/>
          <w:sz w:val="24"/>
          <w:szCs w:val="24"/>
        </w:rPr>
        <w:t>ESPERIENZE</w:t>
      </w:r>
      <w:r w:rsidR="002B57A6" w:rsidRPr="005A3799">
        <w:rPr>
          <w:b/>
          <w:sz w:val="24"/>
          <w:szCs w:val="24"/>
        </w:rPr>
        <w:t xml:space="preserve"> </w:t>
      </w:r>
      <w:r w:rsidR="002872EA" w:rsidRPr="005A3799">
        <w:rPr>
          <w:b/>
          <w:sz w:val="24"/>
          <w:szCs w:val="24"/>
        </w:rPr>
        <w:t>E</w:t>
      </w:r>
      <w:r w:rsidR="002B57A6" w:rsidRPr="005A3799">
        <w:rPr>
          <w:b/>
          <w:sz w:val="24"/>
          <w:szCs w:val="24"/>
        </w:rPr>
        <w:t xml:space="preserve"> PROPOSTE</w:t>
      </w:r>
      <w:r w:rsidR="002B57A6" w:rsidRPr="005A3799">
        <w:rPr>
          <w:sz w:val="24"/>
          <w:szCs w:val="24"/>
        </w:rPr>
        <w:t xml:space="preserve"> per </w:t>
      </w:r>
      <w:r w:rsidR="0030600D" w:rsidRPr="005A3799">
        <w:rPr>
          <w:sz w:val="24"/>
          <w:szCs w:val="24"/>
        </w:rPr>
        <w:t>l’impostazione della programmazione 2021-2027</w:t>
      </w:r>
      <w:r w:rsidR="0091226A" w:rsidRPr="005A3799">
        <w:rPr>
          <w:sz w:val="24"/>
          <w:szCs w:val="24"/>
        </w:rPr>
        <w:t xml:space="preserve"> per ciascuno degli obiettivi </w:t>
      </w:r>
      <w:r w:rsidR="005E2AC7" w:rsidRPr="005A3799">
        <w:rPr>
          <w:sz w:val="24"/>
          <w:szCs w:val="24"/>
        </w:rPr>
        <w:t>specifici che si ritengono prioritari per l’Umbria</w:t>
      </w:r>
      <w:r w:rsidR="0030600D" w:rsidRPr="005A3799">
        <w:rPr>
          <w:sz w:val="24"/>
          <w:szCs w:val="24"/>
        </w:rPr>
        <w:t>.</w:t>
      </w:r>
    </w:p>
    <w:p w:rsidR="0097225B" w:rsidRDefault="00F85DE3" w:rsidP="00B31870">
      <w:pPr>
        <w:spacing w:after="60" w:line="288" w:lineRule="auto"/>
        <w:jc w:val="both"/>
        <w:rPr>
          <w:sz w:val="24"/>
          <w:szCs w:val="24"/>
        </w:rPr>
      </w:pPr>
      <w:r w:rsidRPr="00F85DE3">
        <w:rPr>
          <w:sz w:val="24"/>
          <w:szCs w:val="24"/>
        </w:rPr>
        <w:t>In relazione a</w:t>
      </w:r>
      <w:r w:rsidR="00123287">
        <w:rPr>
          <w:sz w:val="24"/>
          <w:szCs w:val="24"/>
        </w:rPr>
        <w:t>lle</w:t>
      </w:r>
      <w:r w:rsidRPr="00F85DE3">
        <w:rPr>
          <w:sz w:val="24"/>
          <w:szCs w:val="24"/>
        </w:rPr>
        <w:t xml:space="preserve"> tematiche incluse negli </w:t>
      </w:r>
      <w:r w:rsidR="004877D8">
        <w:rPr>
          <w:sz w:val="24"/>
          <w:szCs w:val="24"/>
        </w:rPr>
        <w:t>O</w:t>
      </w:r>
      <w:r w:rsidRPr="00F85DE3">
        <w:rPr>
          <w:sz w:val="24"/>
          <w:szCs w:val="24"/>
        </w:rPr>
        <w:t xml:space="preserve">biettivi </w:t>
      </w:r>
      <w:r w:rsidR="004877D8">
        <w:rPr>
          <w:sz w:val="24"/>
          <w:szCs w:val="24"/>
        </w:rPr>
        <w:t>S</w:t>
      </w:r>
      <w:r w:rsidRPr="00F85DE3">
        <w:rPr>
          <w:sz w:val="24"/>
          <w:szCs w:val="24"/>
        </w:rPr>
        <w:t>pecifici di ciascun</w:t>
      </w:r>
      <w:r w:rsidR="00B56041">
        <w:rPr>
          <w:sz w:val="24"/>
          <w:szCs w:val="24"/>
        </w:rPr>
        <w:t>o dei cinque</w:t>
      </w:r>
      <w:r w:rsidRPr="00F85DE3">
        <w:rPr>
          <w:sz w:val="24"/>
          <w:szCs w:val="24"/>
        </w:rPr>
        <w:t xml:space="preserve"> </w:t>
      </w:r>
      <w:r w:rsidR="004877D8">
        <w:rPr>
          <w:sz w:val="24"/>
          <w:szCs w:val="24"/>
        </w:rPr>
        <w:t>O</w:t>
      </w:r>
      <w:r w:rsidR="00B56041">
        <w:rPr>
          <w:sz w:val="24"/>
          <w:szCs w:val="24"/>
        </w:rPr>
        <w:t>biettivi</w:t>
      </w:r>
      <w:r w:rsidR="004877D8" w:rsidRPr="00F85DE3">
        <w:rPr>
          <w:sz w:val="24"/>
          <w:szCs w:val="24"/>
        </w:rPr>
        <w:t xml:space="preserve"> </w:t>
      </w:r>
      <w:r w:rsidR="004E4485">
        <w:rPr>
          <w:sz w:val="24"/>
          <w:szCs w:val="24"/>
        </w:rPr>
        <w:t xml:space="preserve">di </w:t>
      </w:r>
      <w:r w:rsidR="004877D8">
        <w:rPr>
          <w:sz w:val="24"/>
          <w:szCs w:val="24"/>
        </w:rPr>
        <w:t>P</w:t>
      </w:r>
      <w:r w:rsidR="004E4485">
        <w:rPr>
          <w:sz w:val="24"/>
          <w:szCs w:val="24"/>
        </w:rPr>
        <w:t>olicy</w:t>
      </w:r>
      <w:r w:rsidR="00597752">
        <w:rPr>
          <w:rStyle w:val="Rimandonotaapidipagina"/>
          <w:sz w:val="24"/>
          <w:szCs w:val="24"/>
        </w:rPr>
        <w:footnoteReference w:id="1"/>
      </w:r>
      <w:r w:rsidR="00597752" w:rsidRPr="00ED2BFD">
        <w:rPr>
          <w:sz w:val="24"/>
          <w:szCs w:val="24"/>
        </w:rPr>
        <w:t xml:space="preserve"> </w:t>
      </w:r>
      <w:r w:rsidR="0096662E">
        <w:rPr>
          <w:sz w:val="24"/>
          <w:szCs w:val="24"/>
        </w:rPr>
        <w:t>(</w:t>
      </w:r>
      <w:r w:rsidR="00B62DA4">
        <w:rPr>
          <w:sz w:val="24"/>
          <w:szCs w:val="24"/>
        </w:rPr>
        <w:t xml:space="preserve">in </w:t>
      </w:r>
      <w:r w:rsidRPr="00F85DE3">
        <w:rPr>
          <w:sz w:val="24"/>
          <w:szCs w:val="24"/>
        </w:rPr>
        <w:t xml:space="preserve">allegato </w:t>
      </w:r>
      <w:r w:rsidR="00B62DA4">
        <w:rPr>
          <w:sz w:val="24"/>
          <w:szCs w:val="24"/>
        </w:rPr>
        <w:t xml:space="preserve">1 </w:t>
      </w:r>
      <w:r w:rsidRPr="00F85DE3">
        <w:rPr>
          <w:sz w:val="24"/>
          <w:szCs w:val="24"/>
        </w:rPr>
        <w:t>la lista completa</w:t>
      </w:r>
      <w:r w:rsidR="00597752">
        <w:rPr>
          <w:sz w:val="24"/>
          <w:szCs w:val="24"/>
        </w:rPr>
        <w:t>)</w:t>
      </w:r>
      <w:r w:rsidR="0096662E">
        <w:rPr>
          <w:sz w:val="24"/>
          <w:szCs w:val="24"/>
        </w:rPr>
        <w:t>,</w:t>
      </w:r>
      <w:r w:rsidRPr="00F85DE3">
        <w:rPr>
          <w:sz w:val="24"/>
          <w:szCs w:val="24"/>
        </w:rPr>
        <w:t xml:space="preserve"> </w:t>
      </w:r>
      <w:r w:rsidR="00555435">
        <w:rPr>
          <w:sz w:val="24"/>
          <w:szCs w:val="24"/>
        </w:rPr>
        <w:t xml:space="preserve">in questa fase </w:t>
      </w:r>
      <w:r w:rsidR="0096662E">
        <w:rPr>
          <w:sz w:val="24"/>
          <w:szCs w:val="24"/>
        </w:rPr>
        <w:t>si invitano i partner a segnalare</w:t>
      </w:r>
      <w:r w:rsidRPr="00F85DE3">
        <w:rPr>
          <w:sz w:val="24"/>
          <w:szCs w:val="24"/>
        </w:rPr>
        <w:t xml:space="preserve"> </w:t>
      </w:r>
      <w:r w:rsidRPr="00F85DE3">
        <w:rPr>
          <w:b/>
          <w:sz w:val="24"/>
          <w:szCs w:val="24"/>
        </w:rPr>
        <w:t>esperienze e proposte</w:t>
      </w:r>
      <w:r w:rsidRPr="00F85DE3">
        <w:rPr>
          <w:sz w:val="24"/>
          <w:szCs w:val="24"/>
        </w:rPr>
        <w:t xml:space="preserve"> </w:t>
      </w:r>
      <w:r w:rsidR="005E2AC7">
        <w:rPr>
          <w:sz w:val="24"/>
          <w:szCs w:val="24"/>
        </w:rPr>
        <w:t xml:space="preserve">coerenti </w:t>
      </w:r>
      <w:r w:rsidRPr="00F85DE3">
        <w:rPr>
          <w:sz w:val="24"/>
          <w:szCs w:val="24"/>
        </w:rPr>
        <w:t>per l’impostazione della p</w:t>
      </w:r>
      <w:r w:rsidR="008613F1">
        <w:rPr>
          <w:sz w:val="24"/>
          <w:szCs w:val="24"/>
        </w:rPr>
        <w:t>olitica di coesione 2021-2027</w:t>
      </w:r>
      <w:r w:rsidR="004877D8">
        <w:rPr>
          <w:sz w:val="24"/>
          <w:szCs w:val="24"/>
        </w:rPr>
        <w:t>.</w:t>
      </w:r>
      <w:r w:rsidR="00B56041">
        <w:rPr>
          <w:sz w:val="24"/>
          <w:szCs w:val="24"/>
        </w:rPr>
        <w:t xml:space="preserve"> </w:t>
      </w:r>
    </w:p>
    <w:p w:rsidR="00B31870" w:rsidRPr="00B31870" w:rsidRDefault="00B31870" w:rsidP="00B31870">
      <w:pPr>
        <w:spacing w:after="60" w:line="288" w:lineRule="auto"/>
        <w:jc w:val="both"/>
        <w:rPr>
          <w:sz w:val="24"/>
          <w:szCs w:val="24"/>
        </w:rPr>
      </w:pPr>
      <w:r w:rsidRPr="00B31870">
        <w:rPr>
          <w:sz w:val="24"/>
          <w:szCs w:val="24"/>
        </w:rPr>
        <w:t xml:space="preserve">La natura integrata e multi-settoriale </w:t>
      </w:r>
      <w:r>
        <w:rPr>
          <w:sz w:val="24"/>
          <w:szCs w:val="24"/>
        </w:rPr>
        <w:t>dell’Obiettivo di Policy 5 “Un’Europa più vicina ai cittadini”</w:t>
      </w:r>
      <w:r w:rsidR="004877D8">
        <w:rPr>
          <w:sz w:val="24"/>
          <w:szCs w:val="24"/>
        </w:rPr>
        <w:t xml:space="preserve"> - che trova realizzazione attraverso strategie territoriali -</w:t>
      </w:r>
      <w:r>
        <w:rPr>
          <w:sz w:val="24"/>
          <w:szCs w:val="24"/>
        </w:rPr>
        <w:t xml:space="preserve"> </w:t>
      </w:r>
      <w:r w:rsidRPr="00B31870">
        <w:rPr>
          <w:sz w:val="24"/>
          <w:szCs w:val="24"/>
        </w:rPr>
        <w:t>segnala l</w:t>
      </w:r>
      <w:r w:rsidR="00B56041">
        <w:rPr>
          <w:sz w:val="24"/>
          <w:szCs w:val="24"/>
        </w:rPr>
        <w:t>’opportunità</w:t>
      </w:r>
      <w:r w:rsidRPr="00B31870">
        <w:rPr>
          <w:sz w:val="24"/>
          <w:szCs w:val="24"/>
        </w:rPr>
        <w:t xml:space="preserve"> di considerare </w:t>
      </w:r>
      <w:r w:rsidR="004877D8">
        <w:rPr>
          <w:sz w:val="24"/>
          <w:szCs w:val="24"/>
        </w:rPr>
        <w:t xml:space="preserve">nell’ottica dello sviluppo locale </w:t>
      </w:r>
      <w:r w:rsidR="0097375B">
        <w:rPr>
          <w:sz w:val="24"/>
          <w:szCs w:val="24"/>
        </w:rPr>
        <w:t xml:space="preserve">integrato </w:t>
      </w:r>
      <w:r w:rsidR="00675311">
        <w:rPr>
          <w:sz w:val="24"/>
          <w:szCs w:val="24"/>
        </w:rPr>
        <w:t>sia i temi propri dell’Obiettivo di Policy (</w:t>
      </w:r>
      <w:r w:rsidR="004877D8">
        <w:rPr>
          <w:sz w:val="24"/>
          <w:szCs w:val="24"/>
        </w:rPr>
        <w:t>patrimonio culturale</w:t>
      </w:r>
      <w:r w:rsidR="00675311">
        <w:rPr>
          <w:sz w:val="24"/>
          <w:szCs w:val="24"/>
        </w:rPr>
        <w:t xml:space="preserve">, turismo, sicurezza) sia </w:t>
      </w:r>
      <w:r w:rsidR="00D47947">
        <w:rPr>
          <w:sz w:val="24"/>
          <w:szCs w:val="24"/>
        </w:rPr>
        <w:t>le tematiche  considerate</w:t>
      </w:r>
      <w:r w:rsidR="004877D8">
        <w:rPr>
          <w:sz w:val="24"/>
          <w:szCs w:val="24"/>
        </w:rPr>
        <w:t xml:space="preserve"> negl</w:t>
      </w:r>
      <w:r w:rsidRPr="00B31870">
        <w:rPr>
          <w:sz w:val="24"/>
          <w:szCs w:val="24"/>
        </w:rPr>
        <w:t>i O</w:t>
      </w:r>
      <w:r>
        <w:rPr>
          <w:sz w:val="24"/>
          <w:szCs w:val="24"/>
        </w:rPr>
        <w:t xml:space="preserve">biettivi </w:t>
      </w:r>
      <w:r w:rsidR="00F14003">
        <w:rPr>
          <w:sz w:val="24"/>
          <w:szCs w:val="24"/>
        </w:rPr>
        <w:t>S</w:t>
      </w:r>
      <w:r>
        <w:rPr>
          <w:sz w:val="24"/>
          <w:szCs w:val="24"/>
        </w:rPr>
        <w:t xml:space="preserve">pecifici </w:t>
      </w:r>
      <w:r w:rsidRPr="00B31870">
        <w:rPr>
          <w:sz w:val="24"/>
          <w:szCs w:val="24"/>
        </w:rPr>
        <w:t xml:space="preserve">degli altri 4 Obiettivi di Policy, potenzialmente attivabili </w:t>
      </w:r>
      <w:r w:rsidR="004877D8">
        <w:rPr>
          <w:sz w:val="24"/>
          <w:szCs w:val="24"/>
        </w:rPr>
        <w:t>in strategie territoriali</w:t>
      </w:r>
      <w:r w:rsidR="0097375B">
        <w:rPr>
          <w:sz w:val="24"/>
          <w:szCs w:val="24"/>
        </w:rPr>
        <w:t xml:space="preserve"> e nello stesso OP</w:t>
      </w:r>
      <w:r w:rsidR="002749C4">
        <w:rPr>
          <w:sz w:val="24"/>
          <w:szCs w:val="24"/>
        </w:rPr>
        <w:t>5</w:t>
      </w:r>
      <w:r w:rsidRPr="00B31870">
        <w:rPr>
          <w:sz w:val="24"/>
          <w:szCs w:val="24"/>
        </w:rPr>
        <w:t xml:space="preserve">, per individuare priorità e strumenti </w:t>
      </w:r>
      <w:r w:rsidR="0097375B">
        <w:rPr>
          <w:sz w:val="24"/>
          <w:szCs w:val="24"/>
        </w:rPr>
        <w:t>rilevanti</w:t>
      </w:r>
      <w:r w:rsidRPr="00B31870">
        <w:rPr>
          <w:sz w:val="24"/>
          <w:szCs w:val="24"/>
        </w:rPr>
        <w:t>.</w:t>
      </w:r>
    </w:p>
    <w:p w:rsidR="0055288B" w:rsidRDefault="0055288B" w:rsidP="0055288B">
      <w:pPr>
        <w:spacing w:after="60" w:line="288" w:lineRule="auto"/>
        <w:jc w:val="both"/>
        <w:rPr>
          <w:sz w:val="24"/>
          <w:szCs w:val="24"/>
        </w:rPr>
      </w:pPr>
      <w:r>
        <w:rPr>
          <w:sz w:val="24"/>
          <w:szCs w:val="24"/>
        </w:rPr>
        <w:t>Per la predisposizione dei contributi si prega di ut</w:t>
      </w:r>
      <w:r w:rsidR="00E427B0">
        <w:rPr>
          <w:sz w:val="24"/>
          <w:szCs w:val="24"/>
        </w:rPr>
        <w:t>i</w:t>
      </w:r>
      <w:r>
        <w:rPr>
          <w:sz w:val="24"/>
          <w:szCs w:val="24"/>
        </w:rPr>
        <w:t>lizzare</w:t>
      </w:r>
      <w:r w:rsidRPr="00B31870">
        <w:rPr>
          <w:b/>
          <w:sz w:val="24"/>
          <w:szCs w:val="24"/>
        </w:rPr>
        <w:t xml:space="preserve"> la scheda seguente</w:t>
      </w:r>
      <w:r w:rsidR="0097375B">
        <w:rPr>
          <w:b/>
          <w:sz w:val="24"/>
          <w:szCs w:val="24"/>
        </w:rPr>
        <w:t xml:space="preserve">, compilandone le parti che si ritengono </w:t>
      </w:r>
      <w:r w:rsidR="0097375B" w:rsidRPr="005A3799">
        <w:rPr>
          <w:b/>
          <w:sz w:val="24"/>
          <w:szCs w:val="24"/>
        </w:rPr>
        <w:t xml:space="preserve">utili per un </w:t>
      </w:r>
      <w:r w:rsidRPr="005A3799">
        <w:rPr>
          <w:b/>
          <w:sz w:val="24"/>
          <w:szCs w:val="24"/>
        </w:rPr>
        <w:t xml:space="preserve">massimo </w:t>
      </w:r>
      <w:r w:rsidR="0097375B" w:rsidRPr="005A3799">
        <w:rPr>
          <w:b/>
          <w:sz w:val="24"/>
          <w:szCs w:val="24"/>
        </w:rPr>
        <w:t xml:space="preserve">di </w:t>
      </w:r>
      <w:r w:rsidRPr="005A3799">
        <w:rPr>
          <w:b/>
          <w:sz w:val="24"/>
          <w:szCs w:val="24"/>
        </w:rPr>
        <w:t>due cartelle</w:t>
      </w:r>
      <w:r w:rsidR="005E2AC7" w:rsidRPr="005A3799">
        <w:rPr>
          <w:b/>
          <w:sz w:val="24"/>
          <w:szCs w:val="24"/>
        </w:rPr>
        <w:t>/pagine</w:t>
      </w:r>
      <w:r w:rsidR="0097375B" w:rsidRPr="005A3799">
        <w:rPr>
          <w:b/>
          <w:sz w:val="24"/>
          <w:szCs w:val="24"/>
        </w:rPr>
        <w:t>,</w:t>
      </w:r>
      <w:r w:rsidR="0097375B">
        <w:rPr>
          <w:b/>
          <w:sz w:val="24"/>
          <w:szCs w:val="24"/>
        </w:rPr>
        <w:t xml:space="preserve"> </w:t>
      </w:r>
      <w:r w:rsidRPr="00B31870">
        <w:rPr>
          <w:b/>
          <w:sz w:val="24"/>
          <w:szCs w:val="24"/>
        </w:rPr>
        <w:t>per ciascun Obiettivo Specifico ritenuto rilevante.</w:t>
      </w:r>
    </w:p>
    <w:p w:rsidR="0018254D" w:rsidRDefault="0018254D" w:rsidP="008613F1">
      <w:pPr>
        <w:spacing w:after="60" w:line="288" w:lineRule="auto"/>
        <w:jc w:val="both"/>
        <w:rPr>
          <w:sz w:val="24"/>
          <w:szCs w:val="24"/>
        </w:rPr>
      </w:pPr>
    </w:p>
    <w:p w:rsidR="0018254D" w:rsidRDefault="0018254D" w:rsidP="0018254D">
      <w:pPr>
        <w:spacing w:after="60" w:line="288" w:lineRule="auto"/>
        <w:jc w:val="both"/>
        <w:rPr>
          <w:sz w:val="24"/>
          <w:szCs w:val="24"/>
        </w:rPr>
      </w:pPr>
      <w:r>
        <w:rPr>
          <w:sz w:val="24"/>
          <w:szCs w:val="24"/>
        </w:rPr>
        <w:t xml:space="preserve">I contributi, in formato word e pdf, potranno essere inviati all’indirizzo </w:t>
      </w:r>
      <w:r w:rsidR="00DB5F86">
        <w:rPr>
          <w:sz w:val="24"/>
          <w:szCs w:val="24"/>
        </w:rPr>
        <w:t xml:space="preserve">email </w:t>
      </w:r>
      <w:hyperlink r:id="rId10" w:history="1">
        <w:r w:rsidR="008C094F" w:rsidRPr="00303495">
          <w:rPr>
            <w:rStyle w:val="Collegamentoipertestuale"/>
          </w:rPr>
          <w:t>progcomunitaria@regione.umbria.it</w:t>
        </w:r>
      </w:hyperlink>
      <w:r w:rsidR="008C094F">
        <w:t xml:space="preserve"> o </w:t>
      </w:r>
      <w:hyperlink r:id="rId11" w:history="1">
        <w:r w:rsidR="008C094F" w:rsidRPr="00303495">
          <w:rPr>
            <w:rStyle w:val="Collegamentoipertestuale"/>
          </w:rPr>
          <w:t>porfesrlearning@regione.umbria.it</w:t>
        </w:r>
      </w:hyperlink>
      <w:r w:rsidR="008C094F">
        <w:t xml:space="preserve"> </w:t>
      </w:r>
      <w:r>
        <w:rPr>
          <w:sz w:val="24"/>
          <w:szCs w:val="24"/>
        </w:rPr>
        <w:t>entro i</w:t>
      </w:r>
      <w:r w:rsidRPr="005A3799">
        <w:rPr>
          <w:sz w:val="24"/>
          <w:szCs w:val="24"/>
        </w:rPr>
        <w:t xml:space="preserve">l </w:t>
      </w:r>
      <w:r w:rsidR="005A3799" w:rsidRPr="005A3799">
        <w:rPr>
          <w:sz w:val="24"/>
          <w:szCs w:val="24"/>
        </w:rPr>
        <w:t>26 settembre 2019</w:t>
      </w:r>
      <w:r w:rsidRPr="005A3799">
        <w:rPr>
          <w:sz w:val="24"/>
          <w:szCs w:val="24"/>
        </w:rPr>
        <w:t>.</w:t>
      </w:r>
    </w:p>
    <w:p w:rsidR="0018254D" w:rsidRDefault="0018254D" w:rsidP="008613F1">
      <w:pPr>
        <w:spacing w:after="60" w:line="288" w:lineRule="auto"/>
        <w:jc w:val="both"/>
        <w:rPr>
          <w:sz w:val="24"/>
          <w:szCs w:val="24"/>
        </w:rPr>
      </w:pPr>
    </w:p>
    <w:p w:rsidR="000901DC" w:rsidRDefault="000901DC" w:rsidP="00D86693">
      <w:pPr>
        <w:spacing w:after="60" w:line="288" w:lineRule="auto"/>
        <w:jc w:val="both"/>
        <w:rPr>
          <w:sz w:val="24"/>
          <w:szCs w:val="24"/>
        </w:rPr>
      </w:pPr>
    </w:p>
    <w:p w:rsidR="000901DC" w:rsidRDefault="000901DC" w:rsidP="00D86693">
      <w:pPr>
        <w:spacing w:after="60" w:line="288" w:lineRule="auto"/>
        <w:jc w:val="both"/>
        <w:rPr>
          <w:sz w:val="24"/>
          <w:szCs w:val="24"/>
        </w:rPr>
        <w:sectPr w:rsidR="000901DC" w:rsidSect="006961ED">
          <w:headerReference w:type="even" r:id="rId12"/>
          <w:headerReference w:type="default" r:id="rId13"/>
          <w:footerReference w:type="even" r:id="rId14"/>
          <w:footerReference w:type="default" r:id="rId15"/>
          <w:headerReference w:type="first" r:id="rId16"/>
          <w:footerReference w:type="first" r:id="rId17"/>
          <w:pgSz w:w="11906" w:h="16838"/>
          <w:pgMar w:top="1276" w:right="991" w:bottom="720" w:left="993" w:header="907" w:footer="720" w:gutter="0"/>
          <w:cols w:space="720"/>
          <w:docGrid w:linePitch="299"/>
        </w:sectPr>
      </w:pPr>
    </w:p>
    <w:tbl>
      <w:tblPr>
        <w:tblStyle w:val="Grigliatabella"/>
        <w:tblW w:w="10550" w:type="dxa"/>
        <w:tblInd w:w="-289" w:type="dxa"/>
        <w:tblLook w:val="04A0" w:firstRow="1" w:lastRow="0" w:firstColumn="1" w:lastColumn="0" w:noHBand="0" w:noVBand="1"/>
      </w:tblPr>
      <w:tblGrid>
        <w:gridCol w:w="8127"/>
        <w:gridCol w:w="2423"/>
      </w:tblGrid>
      <w:tr w:rsidR="00392582" w:rsidRPr="00555435" w:rsidTr="00D47947">
        <w:trPr>
          <w:trHeight w:val="407"/>
        </w:trPr>
        <w:tc>
          <w:tcPr>
            <w:tcW w:w="8127" w:type="dxa"/>
          </w:tcPr>
          <w:p w:rsidR="00392582" w:rsidRPr="00555435" w:rsidRDefault="00555435" w:rsidP="00CB6E4B">
            <w:pPr>
              <w:spacing w:line="220" w:lineRule="exact"/>
              <w:jc w:val="both"/>
            </w:pPr>
            <w:r w:rsidRPr="00555435">
              <w:t>ENTE/ORGANIZZAZIONE</w:t>
            </w:r>
            <w:r w:rsidR="00392582" w:rsidRPr="00555435">
              <w:t>:</w:t>
            </w:r>
            <w:r w:rsidR="00CB6E4B">
              <w:br/>
            </w:r>
            <w:r w:rsidRPr="00123287">
              <w:rPr>
                <w:i/>
                <w:sz w:val="20"/>
                <w:szCs w:val="20"/>
              </w:rPr>
              <w:t>(specificare)</w:t>
            </w:r>
            <w:r w:rsidR="00487E9C">
              <w:rPr>
                <w:i/>
                <w:sz w:val="20"/>
                <w:szCs w:val="20"/>
              </w:rPr>
              <w:t xml:space="preserve"> COLDIRETTI UMBRIA</w:t>
            </w:r>
          </w:p>
        </w:tc>
        <w:tc>
          <w:tcPr>
            <w:tcW w:w="2423" w:type="dxa"/>
          </w:tcPr>
          <w:p w:rsidR="00392582" w:rsidRPr="00555435" w:rsidRDefault="00555435" w:rsidP="00555435">
            <w:pPr>
              <w:jc w:val="both"/>
            </w:pPr>
            <w:r w:rsidRPr="00555435">
              <w:t>DATA:</w:t>
            </w:r>
            <w:r w:rsidR="00392582" w:rsidRPr="00555435">
              <w:t xml:space="preserve"> </w:t>
            </w:r>
            <w:r w:rsidRPr="00555435">
              <w:t>__/___/______</w:t>
            </w:r>
          </w:p>
        </w:tc>
      </w:tr>
      <w:tr w:rsidR="0096662E" w:rsidRPr="00555435" w:rsidTr="00EA5F71">
        <w:trPr>
          <w:trHeight w:val="407"/>
        </w:trPr>
        <w:tc>
          <w:tcPr>
            <w:tcW w:w="10550" w:type="dxa"/>
            <w:gridSpan w:val="2"/>
          </w:tcPr>
          <w:p w:rsidR="0096662E" w:rsidRPr="00555435" w:rsidRDefault="00555435" w:rsidP="00CB6E4B">
            <w:pPr>
              <w:spacing w:line="220" w:lineRule="exact"/>
              <w:rPr>
                <w:sz w:val="18"/>
                <w:szCs w:val="18"/>
              </w:rPr>
            </w:pPr>
            <w:r w:rsidRPr="00555435">
              <w:t>RESPONSABILE DELLA COMPILAZIONE:</w:t>
            </w:r>
            <w:r w:rsidR="00CB6E4B">
              <w:br/>
            </w:r>
            <w:r w:rsidRPr="00123287">
              <w:rPr>
                <w:i/>
                <w:sz w:val="20"/>
                <w:szCs w:val="20"/>
              </w:rPr>
              <w:t xml:space="preserve">(specificare nominativo ed indirizzo </w:t>
            </w:r>
            <w:r w:rsidR="00EA5F71">
              <w:rPr>
                <w:i/>
                <w:sz w:val="20"/>
                <w:szCs w:val="20"/>
              </w:rPr>
              <w:t>e</w:t>
            </w:r>
            <w:r w:rsidRPr="00123287">
              <w:rPr>
                <w:i/>
                <w:sz w:val="20"/>
                <w:szCs w:val="20"/>
              </w:rPr>
              <w:t>mail)</w:t>
            </w:r>
            <w:r w:rsidR="00487E9C">
              <w:rPr>
                <w:i/>
                <w:sz w:val="20"/>
                <w:szCs w:val="20"/>
              </w:rPr>
              <w:t xml:space="preserve">   ROBERTO MONTAGNOLI</w:t>
            </w:r>
          </w:p>
        </w:tc>
      </w:tr>
      <w:tr w:rsidR="00555435" w:rsidRPr="00555435" w:rsidTr="00EA5F71">
        <w:trPr>
          <w:trHeight w:val="407"/>
        </w:trPr>
        <w:tc>
          <w:tcPr>
            <w:tcW w:w="10550" w:type="dxa"/>
            <w:gridSpan w:val="2"/>
          </w:tcPr>
          <w:p w:rsidR="00555435" w:rsidRPr="00555435" w:rsidRDefault="00555435" w:rsidP="00CB6E4B">
            <w:pPr>
              <w:spacing w:line="220" w:lineRule="exact"/>
            </w:pPr>
            <w:r w:rsidRPr="00555435">
              <w:t xml:space="preserve">OBIETTIVO DI POLICY: </w:t>
            </w:r>
            <w:r w:rsidR="00CB6E4B">
              <w:br/>
            </w:r>
            <w:r w:rsidR="00CB6E4B">
              <w:rPr>
                <w:i/>
                <w:sz w:val="20"/>
                <w:szCs w:val="20"/>
              </w:rPr>
              <w:t>(</w:t>
            </w:r>
            <w:r w:rsidRPr="00123287">
              <w:rPr>
                <w:i/>
                <w:sz w:val="20"/>
                <w:szCs w:val="20"/>
              </w:rPr>
              <w:t>specificare)</w:t>
            </w:r>
            <w:r w:rsidR="00487E9C">
              <w:rPr>
                <w:i/>
                <w:sz w:val="20"/>
                <w:szCs w:val="20"/>
              </w:rPr>
              <w:t xml:space="preserve">                            EUROPA Più INTELLIGENTE</w:t>
            </w:r>
          </w:p>
        </w:tc>
      </w:tr>
      <w:tr w:rsidR="006D7060" w:rsidRPr="00555435" w:rsidTr="00EA5F71">
        <w:trPr>
          <w:trHeight w:val="427"/>
        </w:trPr>
        <w:tc>
          <w:tcPr>
            <w:tcW w:w="10550" w:type="dxa"/>
            <w:gridSpan w:val="2"/>
          </w:tcPr>
          <w:p w:rsidR="006D7060" w:rsidRPr="005A3799" w:rsidRDefault="00597752" w:rsidP="00CB6E4B">
            <w:pPr>
              <w:spacing w:line="220" w:lineRule="exact"/>
            </w:pPr>
            <w:r w:rsidRPr="005A3799">
              <w:t>OBIETTIVO SPECIFICO:</w:t>
            </w:r>
            <w:r w:rsidR="00555435" w:rsidRPr="005A3799">
              <w:t xml:space="preserve"> </w:t>
            </w:r>
            <w:r w:rsidR="00CB6E4B" w:rsidRPr="005A3799">
              <w:br/>
            </w:r>
            <w:r w:rsidR="00555435" w:rsidRPr="005A3799">
              <w:rPr>
                <w:i/>
                <w:sz w:val="20"/>
                <w:szCs w:val="20"/>
              </w:rPr>
              <w:t>(specificare)</w:t>
            </w:r>
            <w:r w:rsidR="00487E9C">
              <w:rPr>
                <w:i/>
                <w:sz w:val="20"/>
                <w:szCs w:val="20"/>
              </w:rPr>
              <w:t xml:space="preserve">  TUTTI</w:t>
            </w:r>
          </w:p>
        </w:tc>
      </w:tr>
      <w:tr w:rsidR="00C5768C" w:rsidRPr="00A16C07" w:rsidTr="00EA5F71">
        <w:trPr>
          <w:trHeight w:val="532"/>
        </w:trPr>
        <w:tc>
          <w:tcPr>
            <w:tcW w:w="10550" w:type="dxa"/>
            <w:gridSpan w:val="2"/>
          </w:tcPr>
          <w:p w:rsidR="00C5768C" w:rsidRPr="005A3799" w:rsidRDefault="00B31870" w:rsidP="00D47947">
            <w:pPr>
              <w:pStyle w:val="Paragrafoelenco"/>
              <w:numPr>
                <w:ilvl w:val="0"/>
                <w:numId w:val="14"/>
              </w:numPr>
              <w:jc w:val="both"/>
              <w:rPr>
                <w:i/>
              </w:rPr>
            </w:pPr>
            <w:r w:rsidRPr="007560E5">
              <w:rPr>
                <w:b/>
                <w:i/>
                <w:color w:val="1F497D" w:themeColor="text2"/>
              </w:rPr>
              <w:t>A)</w:t>
            </w:r>
            <w:r w:rsidR="00675311" w:rsidRPr="007560E5">
              <w:rPr>
                <w:i/>
                <w:color w:val="1F497D" w:themeColor="text2"/>
              </w:rPr>
              <w:t xml:space="preserve"> </w:t>
            </w:r>
            <w:r w:rsidR="00C5768C" w:rsidRPr="007560E5">
              <w:rPr>
                <w:i/>
                <w:color w:val="1F497D" w:themeColor="text2"/>
              </w:rPr>
              <w:t>Quali esperienze di politiche pubbliche, tipologie di interventi</w:t>
            </w:r>
            <w:r w:rsidR="00376CC7" w:rsidRPr="007560E5">
              <w:rPr>
                <w:i/>
                <w:color w:val="1F497D" w:themeColor="text2"/>
              </w:rPr>
              <w:t xml:space="preserve"> </w:t>
            </w:r>
            <w:r w:rsidR="00C5768C" w:rsidRPr="007560E5">
              <w:rPr>
                <w:i/>
                <w:color w:val="1F497D" w:themeColor="text2"/>
              </w:rPr>
              <w:t xml:space="preserve">e strumenti è utile </w:t>
            </w:r>
            <w:r w:rsidR="00855427" w:rsidRPr="007560E5">
              <w:rPr>
                <w:i/>
                <w:color w:val="1F497D" w:themeColor="text2"/>
              </w:rPr>
              <w:t>proporre</w:t>
            </w:r>
            <w:r w:rsidR="00555435" w:rsidRPr="007560E5">
              <w:rPr>
                <w:i/>
                <w:color w:val="1F497D" w:themeColor="text2"/>
              </w:rPr>
              <w:t xml:space="preserve"> in quanto</w:t>
            </w:r>
            <w:r w:rsidR="005E2AC7" w:rsidRPr="007560E5">
              <w:rPr>
                <w:i/>
                <w:color w:val="1F497D" w:themeColor="text2"/>
              </w:rPr>
              <w:t xml:space="preserve"> coerenti e</w:t>
            </w:r>
            <w:r w:rsidR="00555435" w:rsidRPr="007560E5">
              <w:rPr>
                <w:i/>
                <w:color w:val="1F497D" w:themeColor="text2"/>
              </w:rPr>
              <w:t xml:space="preserve"> promettenti? Specificare le motivazioni.</w:t>
            </w:r>
            <w:r w:rsidR="0096611A" w:rsidRPr="007560E5">
              <w:rPr>
                <w:i/>
                <w:color w:val="1F497D" w:themeColor="text2"/>
              </w:rPr>
              <w:t xml:space="preserve"> Quali sono i risultati attesi delle azioni che si propongono?</w:t>
            </w:r>
          </w:p>
        </w:tc>
      </w:tr>
      <w:tr w:rsidR="00555435" w:rsidRPr="00555435" w:rsidTr="00EA5F71">
        <w:trPr>
          <w:trHeight w:val="3194"/>
        </w:trPr>
        <w:tc>
          <w:tcPr>
            <w:tcW w:w="10550" w:type="dxa"/>
            <w:gridSpan w:val="2"/>
          </w:tcPr>
          <w:p w:rsidR="0007294A" w:rsidRDefault="0007294A" w:rsidP="0007294A">
            <w:pPr>
              <w:spacing w:line="360" w:lineRule="auto"/>
              <w:jc w:val="both"/>
              <w:rPr>
                <w:rFonts w:eastAsia="Times New Roman"/>
                <w:i/>
              </w:rPr>
            </w:pPr>
          </w:p>
          <w:p w:rsidR="0007294A" w:rsidRPr="002100F1" w:rsidRDefault="0007294A" w:rsidP="0007294A">
            <w:pPr>
              <w:spacing w:line="360" w:lineRule="auto"/>
              <w:jc w:val="both"/>
              <w:rPr>
                <w:rFonts w:eastAsia="Times New Roman"/>
                <w:i/>
              </w:rPr>
            </w:pPr>
            <w:r w:rsidRPr="002100F1">
              <w:rPr>
                <w:rFonts w:eastAsia="Times New Roman"/>
                <w:i/>
              </w:rPr>
              <w:t xml:space="preserve">Innanzitutto con  riferimento al tema della </w:t>
            </w:r>
            <w:r w:rsidRPr="002100F1">
              <w:rPr>
                <w:rFonts w:eastAsia="Times New Roman"/>
                <w:b/>
                <w:i/>
              </w:rPr>
              <w:t xml:space="preserve">Smart Europe (Una Europa più intelligente) </w:t>
            </w:r>
            <w:r w:rsidRPr="002100F1">
              <w:rPr>
                <w:rFonts w:eastAsia="Times New Roman"/>
                <w:i/>
              </w:rPr>
              <w:t xml:space="preserve">che concentrerà il maggior quantitativo di risorse della nuova fase riteniamo cruciale quanto emerso nei tavoli riferito alla sottolineatura che stiamo attraversando una fase di </w:t>
            </w:r>
            <w:r w:rsidRPr="002100F1">
              <w:rPr>
                <w:rFonts w:eastAsia="Times New Roman"/>
                <w:b/>
                <w:i/>
              </w:rPr>
              <w:t>trasformazione digitale</w:t>
            </w:r>
            <w:r w:rsidRPr="002100F1">
              <w:rPr>
                <w:rFonts w:eastAsia="Times New Roman"/>
                <w:i/>
              </w:rPr>
              <w:t xml:space="preserve"> </w:t>
            </w:r>
            <w:r w:rsidRPr="007560E5">
              <w:rPr>
                <w:rFonts w:eastAsia="Times New Roman"/>
                <w:b/>
                <w:i/>
              </w:rPr>
              <w:t>che richiede una profonda revisione degli assetti organizzativi delle imprese ma anche della PA</w:t>
            </w:r>
            <w:r w:rsidRPr="002100F1">
              <w:rPr>
                <w:rFonts w:eastAsia="Times New Roman"/>
                <w:i/>
              </w:rPr>
              <w:t xml:space="preserve"> e comporta un </w:t>
            </w:r>
            <w:r w:rsidRPr="0007294A">
              <w:rPr>
                <w:rFonts w:eastAsia="Times New Roman"/>
                <w:i/>
                <w:u w:val="single"/>
              </w:rPr>
              <w:t>cambio di mentalità</w:t>
            </w:r>
            <w:r w:rsidRPr="002100F1">
              <w:rPr>
                <w:rFonts w:eastAsia="Times New Roman"/>
                <w:i/>
              </w:rPr>
              <w:t xml:space="preserve"> da parte di tutti </w:t>
            </w:r>
            <w:r>
              <w:rPr>
                <w:rFonts w:eastAsia="Times New Roman"/>
                <w:i/>
              </w:rPr>
              <w:t xml:space="preserve">gli attori e che nuovi </w:t>
            </w:r>
            <w:r w:rsidRPr="002100F1">
              <w:rPr>
                <w:rFonts w:eastAsia="Times New Roman"/>
                <w:i/>
              </w:rPr>
              <w:t>strumenti devono favorire e accompagnare.</w:t>
            </w:r>
          </w:p>
          <w:p w:rsidR="0007294A" w:rsidRPr="002100F1" w:rsidRDefault="0007294A" w:rsidP="0007294A">
            <w:pPr>
              <w:spacing w:line="360" w:lineRule="auto"/>
              <w:jc w:val="both"/>
              <w:rPr>
                <w:rFonts w:eastAsia="Times New Roman"/>
                <w:i/>
              </w:rPr>
            </w:pPr>
            <w:r w:rsidRPr="002100F1">
              <w:rPr>
                <w:rFonts w:eastAsia="Times New Roman"/>
                <w:b/>
                <w:i/>
              </w:rPr>
              <w:t>Non si tratta infatti semplicemente di introdurre innovazioni in una struttura aziendale stabile ma di  accompagnare una  generale riorganizzazione delle piccole e medie imprese della Regione sia al loro interno che nelle relazioni e nei processi di necessaria aggregazione</w:t>
            </w:r>
            <w:r w:rsidRPr="002100F1">
              <w:rPr>
                <w:rFonts w:eastAsia="Times New Roman"/>
                <w:i/>
              </w:rPr>
              <w:t>.</w:t>
            </w:r>
          </w:p>
          <w:p w:rsidR="0007294A" w:rsidRDefault="0007294A" w:rsidP="0007294A">
            <w:pPr>
              <w:spacing w:line="360" w:lineRule="auto"/>
              <w:jc w:val="both"/>
              <w:rPr>
                <w:rFonts w:eastAsia="Times New Roman"/>
                <w:i/>
              </w:rPr>
            </w:pPr>
          </w:p>
          <w:p w:rsidR="0007294A" w:rsidRPr="002100F1" w:rsidRDefault="0007294A" w:rsidP="0007294A">
            <w:pPr>
              <w:spacing w:line="360" w:lineRule="auto"/>
              <w:jc w:val="both"/>
              <w:rPr>
                <w:rFonts w:eastAsia="Times New Roman"/>
                <w:i/>
              </w:rPr>
            </w:pPr>
            <w:r w:rsidRPr="002100F1">
              <w:rPr>
                <w:rFonts w:eastAsia="Times New Roman"/>
                <w:i/>
              </w:rPr>
              <w:t>Per la Pubblica Amministrazione regionale (regione, comuni ecc.) si tratta di abbandonare l’idea che le risorse devono servire ad un semplice rafforzamento della capacità di governare i rapporti con i cittadini sostanzialmente rivolte alla riorganizzazione interna ma deve invece produrre una nuova capacità di diventare supporto ad un sistema di imprese che deve essere il principale oggetto degli interventi.</w:t>
            </w:r>
          </w:p>
          <w:p w:rsidR="0007294A" w:rsidRDefault="0007294A" w:rsidP="0007294A">
            <w:pPr>
              <w:spacing w:line="360" w:lineRule="auto"/>
              <w:jc w:val="both"/>
              <w:rPr>
                <w:rFonts w:eastAsia="Times New Roman"/>
                <w:i/>
              </w:rPr>
            </w:pPr>
          </w:p>
          <w:p w:rsidR="0007294A" w:rsidRDefault="0007294A" w:rsidP="0007294A">
            <w:pPr>
              <w:spacing w:line="360" w:lineRule="auto"/>
              <w:jc w:val="both"/>
              <w:rPr>
                <w:rFonts w:eastAsia="Times New Roman"/>
                <w:i/>
              </w:rPr>
            </w:pPr>
            <w:r w:rsidRPr="002100F1">
              <w:rPr>
                <w:rFonts w:eastAsia="Times New Roman"/>
                <w:i/>
              </w:rPr>
              <w:t xml:space="preserve">In questo contesto la ottimizzazione dei procedimenti amministrativi deve avere come principale orientamento quello </w:t>
            </w:r>
            <w:r w:rsidRPr="002100F1">
              <w:rPr>
                <w:rFonts w:eastAsia="Times New Roman"/>
                <w:b/>
                <w:i/>
              </w:rPr>
              <w:t>di ridurre il peso in  termini di tempo speso e di complessità</w:t>
            </w:r>
            <w:r w:rsidRPr="002100F1">
              <w:rPr>
                <w:rFonts w:eastAsia="Times New Roman"/>
                <w:i/>
              </w:rPr>
              <w:t xml:space="preserve"> </w:t>
            </w:r>
            <w:r w:rsidRPr="007560E5">
              <w:rPr>
                <w:rFonts w:eastAsia="Times New Roman"/>
                <w:b/>
                <w:i/>
              </w:rPr>
              <w:t>degli stessi a carico delle imprese</w:t>
            </w:r>
            <w:r w:rsidRPr="002100F1">
              <w:rPr>
                <w:rFonts w:eastAsia="Times New Roman"/>
                <w:i/>
              </w:rPr>
              <w:t xml:space="preserve">. </w:t>
            </w:r>
          </w:p>
          <w:p w:rsidR="0007294A" w:rsidRPr="007560E5" w:rsidRDefault="0007294A" w:rsidP="0007294A">
            <w:pPr>
              <w:spacing w:line="360" w:lineRule="auto"/>
              <w:jc w:val="both"/>
              <w:rPr>
                <w:rFonts w:eastAsia="Times New Roman"/>
                <w:b/>
                <w:i/>
              </w:rPr>
            </w:pPr>
            <w:r w:rsidRPr="007560E5">
              <w:rPr>
                <w:rFonts w:eastAsia="Times New Roman"/>
                <w:b/>
                <w:i/>
              </w:rPr>
              <w:t xml:space="preserve">Riavvicinare la PA ai cittadini e alle imprese sembra un elemento prioritario ribadito da tutti che rende praticabili gli interventi che altrimenti pur ben congegnati e puntuali non hanno efficacia. </w:t>
            </w:r>
          </w:p>
          <w:p w:rsidR="0007294A" w:rsidRPr="002100F1" w:rsidRDefault="0007294A" w:rsidP="0007294A">
            <w:pPr>
              <w:spacing w:line="360" w:lineRule="auto"/>
              <w:jc w:val="both"/>
              <w:rPr>
                <w:rFonts w:eastAsia="Times New Roman"/>
                <w:i/>
              </w:rPr>
            </w:pPr>
            <w:r>
              <w:rPr>
                <w:rFonts w:eastAsia="Times New Roman"/>
                <w:i/>
              </w:rPr>
              <w:t>Il sistema dei</w:t>
            </w:r>
            <w:r w:rsidRPr="002100F1">
              <w:rPr>
                <w:rFonts w:eastAsia="Times New Roman"/>
                <w:i/>
              </w:rPr>
              <w:t xml:space="preserve"> controll</w:t>
            </w:r>
            <w:r>
              <w:rPr>
                <w:rFonts w:eastAsia="Times New Roman"/>
                <w:i/>
              </w:rPr>
              <w:t>i</w:t>
            </w:r>
            <w:r w:rsidRPr="002100F1">
              <w:rPr>
                <w:rFonts w:eastAsia="Times New Roman"/>
                <w:i/>
              </w:rPr>
              <w:t xml:space="preserve"> deve essere subordinato sempre </w:t>
            </w:r>
            <w:r>
              <w:rPr>
                <w:rFonts w:eastAsia="Times New Roman"/>
                <w:i/>
              </w:rPr>
              <w:t>d accompagnare un miglioramento della capacità di spesa delle imprese e non essere concepito in modo semplicemente repressivo.</w:t>
            </w:r>
          </w:p>
          <w:p w:rsidR="0007294A" w:rsidRPr="002100F1" w:rsidRDefault="0007294A" w:rsidP="0007294A">
            <w:pPr>
              <w:spacing w:line="360" w:lineRule="auto"/>
              <w:jc w:val="both"/>
              <w:rPr>
                <w:rFonts w:eastAsia="Times New Roman"/>
                <w:i/>
              </w:rPr>
            </w:pPr>
          </w:p>
          <w:p w:rsidR="0007294A" w:rsidRPr="002100F1" w:rsidRDefault="0007294A" w:rsidP="0007294A">
            <w:pPr>
              <w:autoSpaceDE w:val="0"/>
              <w:autoSpaceDN w:val="0"/>
              <w:adjustRightInd w:val="0"/>
              <w:spacing w:line="360" w:lineRule="auto"/>
              <w:jc w:val="both"/>
              <w:rPr>
                <w:rFonts w:eastAsia="Times New Roman"/>
                <w:i/>
              </w:rPr>
            </w:pPr>
            <w:r w:rsidRPr="002100F1">
              <w:rPr>
                <w:rFonts w:eastAsia="Times New Roman"/>
                <w:i/>
              </w:rPr>
              <w:t xml:space="preserve">Per quanto concerne </w:t>
            </w:r>
            <w:r>
              <w:rPr>
                <w:rFonts w:eastAsia="Times New Roman"/>
                <w:i/>
              </w:rPr>
              <w:t xml:space="preserve">i </w:t>
            </w:r>
            <w:r w:rsidRPr="002100F1">
              <w:rPr>
                <w:rFonts w:eastAsia="Times New Roman"/>
                <w:i/>
              </w:rPr>
              <w:t xml:space="preserve">settori da sviluppare e interventi da mettere in campo si rileva la necessità di tenere in considerazione il fatto che </w:t>
            </w:r>
            <w:r w:rsidRPr="007560E5">
              <w:rPr>
                <w:rFonts w:eastAsia="Times New Roman"/>
                <w:b/>
                <w:i/>
              </w:rPr>
              <w:t>l’Umbria ha un numero basso di Start Up imprenditoriali e che però a fronte di questo Gap le iniziative imprenditoriali che sono state avviate in questi anni, localizzate peraltro in maniera diffusa sul territorio e non nei grandi centri urbani, hanno avuto un grande successo</w:t>
            </w:r>
            <w:r w:rsidRPr="002100F1">
              <w:rPr>
                <w:rFonts w:eastAsia="Times New Roman"/>
                <w:i/>
              </w:rPr>
              <w:t>.</w:t>
            </w:r>
          </w:p>
          <w:p w:rsidR="0007294A" w:rsidRPr="002100F1" w:rsidRDefault="0007294A" w:rsidP="0007294A">
            <w:pPr>
              <w:autoSpaceDE w:val="0"/>
              <w:autoSpaceDN w:val="0"/>
              <w:adjustRightInd w:val="0"/>
              <w:spacing w:line="360" w:lineRule="auto"/>
              <w:jc w:val="both"/>
              <w:rPr>
                <w:rFonts w:eastAsia="Times New Roman"/>
                <w:i/>
              </w:rPr>
            </w:pPr>
          </w:p>
          <w:p w:rsidR="0007294A" w:rsidRPr="002100F1" w:rsidRDefault="0007294A" w:rsidP="0007294A">
            <w:pPr>
              <w:autoSpaceDE w:val="0"/>
              <w:autoSpaceDN w:val="0"/>
              <w:adjustRightInd w:val="0"/>
              <w:spacing w:line="360" w:lineRule="auto"/>
              <w:jc w:val="both"/>
              <w:rPr>
                <w:rFonts w:eastAsia="Times New Roman"/>
                <w:i/>
                <w:u w:val="single"/>
              </w:rPr>
            </w:pPr>
            <w:r w:rsidRPr="002100F1">
              <w:rPr>
                <w:rFonts w:eastAsia="Times New Roman"/>
                <w:i/>
                <w:u w:val="single"/>
              </w:rPr>
              <w:t>Ciò implica che occorre superare gli interventi mirati solo verso la cosiddetta manifattura tradizionale e assecondare questa capacità  di intrapresa che emerge laddove ci sono strumenti e possibilità reali di muoversi fuori dalle maglie di una idea di sviluppo troppo collegata a forme di impresa tradizionali.</w:t>
            </w:r>
          </w:p>
          <w:p w:rsidR="0007294A" w:rsidRPr="002100F1" w:rsidRDefault="0007294A" w:rsidP="0007294A">
            <w:pPr>
              <w:autoSpaceDE w:val="0"/>
              <w:autoSpaceDN w:val="0"/>
              <w:adjustRightInd w:val="0"/>
              <w:spacing w:line="360" w:lineRule="auto"/>
              <w:jc w:val="both"/>
              <w:rPr>
                <w:rFonts w:eastAsia="Times New Roman"/>
                <w:i/>
              </w:rPr>
            </w:pPr>
          </w:p>
          <w:p w:rsidR="0007294A" w:rsidRDefault="0007294A" w:rsidP="0007294A">
            <w:pPr>
              <w:autoSpaceDE w:val="0"/>
              <w:autoSpaceDN w:val="0"/>
              <w:adjustRightInd w:val="0"/>
              <w:spacing w:line="360" w:lineRule="auto"/>
              <w:jc w:val="both"/>
              <w:rPr>
                <w:rFonts w:eastAsia="Times New Roman"/>
                <w:i/>
              </w:rPr>
            </w:pPr>
          </w:p>
          <w:p w:rsidR="0007294A" w:rsidRPr="007560E5" w:rsidRDefault="0007294A" w:rsidP="0007294A">
            <w:pPr>
              <w:autoSpaceDE w:val="0"/>
              <w:autoSpaceDN w:val="0"/>
              <w:adjustRightInd w:val="0"/>
              <w:spacing w:line="360" w:lineRule="auto"/>
              <w:jc w:val="both"/>
              <w:rPr>
                <w:rFonts w:eastAsia="Times New Roman"/>
                <w:b/>
                <w:i/>
              </w:rPr>
            </w:pPr>
            <w:r w:rsidRPr="007560E5">
              <w:rPr>
                <w:rFonts w:eastAsia="Times New Roman"/>
                <w:b/>
                <w:i/>
              </w:rPr>
              <w:t>Gli interventi attuati guidati dalla strategia di specializzazione intelligente RIS3 che hanno dato una spinta significativa alla innovazione hanno mostrato che esiste uno sterminato territorio alla portata delle imprese per un rinnovato sviluppo.</w:t>
            </w:r>
          </w:p>
          <w:p w:rsidR="0007294A" w:rsidRDefault="0007294A" w:rsidP="0007294A">
            <w:pPr>
              <w:autoSpaceDE w:val="0"/>
              <w:autoSpaceDN w:val="0"/>
              <w:adjustRightInd w:val="0"/>
              <w:spacing w:line="360" w:lineRule="auto"/>
              <w:jc w:val="both"/>
              <w:rPr>
                <w:rFonts w:eastAsia="Times New Roman"/>
                <w:i/>
              </w:rPr>
            </w:pPr>
            <w:r w:rsidRPr="002100F1">
              <w:rPr>
                <w:rFonts w:eastAsia="Times New Roman"/>
                <w:i/>
              </w:rPr>
              <w:t xml:space="preserve">In particolare è utile citare quanto sta accadendo nella attuazione, per quanto riguarda il PSR Umbria 2014 2020, della misura 16  sulla innovazione. </w:t>
            </w:r>
          </w:p>
          <w:p w:rsidR="0007294A" w:rsidRPr="002100F1" w:rsidRDefault="0007294A" w:rsidP="0007294A">
            <w:pPr>
              <w:autoSpaceDE w:val="0"/>
              <w:autoSpaceDN w:val="0"/>
              <w:adjustRightInd w:val="0"/>
              <w:spacing w:line="360" w:lineRule="auto"/>
              <w:jc w:val="both"/>
              <w:rPr>
                <w:rFonts w:eastAsia="Times New Roman"/>
                <w:i/>
              </w:rPr>
            </w:pPr>
            <w:r w:rsidRPr="002100F1">
              <w:rPr>
                <w:rFonts w:eastAsia="Times New Roman"/>
                <w:i/>
              </w:rPr>
              <w:t xml:space="preserve">Si è attivata una  significativa serie di progetti di trasferimento tecnologico che al momento ha coinvolto più di duecento aziende, non solo agricole ma anche agroalimentari, e tutta la Università di Perugia e </w:t>
            </w:r>
            <w:r>
              <w:rPr>
                <w:rFonts w:eastAsia="Times New Roman"/>
                <w:i/>
              </w:rPr>
              <w:t xml:space="preserve">molti </w:t>
            </w:r>
            <w:r w:rsidRPr="002100F1">
              <w:rPr>
                <w:rFonts w:eastAsia="Times New Roman"/>
                <w:i/>
              </w:rPr>
              <w:t xml:space="preserve"> </w:t>
            </w:r>
            <w:r>
              <w:rPr>
                <w:rFonts w:eastAsia="Times New Roman"/>
                <w:i/>
              </w:rPr>
              <w:t>C</w:t>
            </w:r>
            <w:r w:rsidRPr="002100F1">
              <w:rPr>
                <w:rFonts w:eastAsia="Times New Roman"/>
                <w:i/>
              </w:rPr>
              <w:t>entri di Ricerca nella elaborazione di progetti volti a trasferire concretamente sulle imprese le tecnologie disponibili.</w:t>
            </w:r>
          </w:p>
          <w:p w:rsidR="0007294A" w:rsidRDefault="0007294A" w:rsidP="0007294A">
            <w:pPr>
              <w:autoSpaceDE w:val="0"/>
              <w:autoSpaceDN w:val="0"/>
              <w:adjustRightInd w:val="0"/>
              <w:spacing w:line="360" w:lineRule="auto"/>
              <w:jc w:val="both"/>
              <w:rPr>
                <w:rFonts w:eastAsia="Times New Roman"/>
                <w:i/>
              </w:rPr>
            </w:pPr>
            <w:r w:rsidRPr="002100F1">
              <w:rPr>
                <w:rFonts w:eastAsia="Times New Roman"/>
                <w:i/>
              </w:rPr>
              <w:t>Questo processo avviato ha come scopo che i risultati della sperimentazione diventino al termine dei tre anni dei progetti patrimonio reale del maggior numero di aziende possibile e si integrino con altre iniziative innovative avviate e finanziate con gli altri fondi per produrre una reale trasformazione del tessuto produttivo.</w:t>
            </w:r>
          </w:p>
          <w:p w:rsidR="0007294A" w:rsidRDefault="0007294A" w:rsidP="0007294A">
            <w:pPr>
              <w:autoSpaceDE w:val="0"/>
              <w:autoSpaceDN w:val="0"/>
              <w:adjustRightInd w:val="0"/>
              <w:spacing w:line="360" w:lineRule="auto"/>
              <w:jc w:val="both"/>
              <w:rPr>
                <w:rFonts w:eastAsia="Times New Roman"/>
                <w:i/>
              </w:rPr>
            </w:pPr>
            <w:r w:rsidRPr="002100F1">
              <w:rPr>
                <w:rFonts w:eastAsia="Times New Roman"/>
                <w:i/>
              </w:rPr>
              <w:t xml:space="preserve"> La Coldiretti Umbria ha intrapreso questa iniziativa con convinzione coinvolgendo nel progetto anche le principali aziende di riferimento dei vari settori dell’agroalimentare. </w:t>
            </w:r>
          </w:p>
          <w:p w:rsidR="0007294A" w:rsidRPr="00710F95" w:rsidRDefault="0007294A" w:rsidP="0007294A">
            <w:pPr>
              <w:autoSpaceDE w:val="0"/>
              <w:autoSpaceDN w:val="0"/>
              <w:adjustRightInd w:val="0"/>
              <w:spacing w:line="360" w:lineRule="auto"/>
              <w:jc w:val="both"/>
              <w:rPr>
                <w:rFonts w:eastAsia="Times New Roman"/>
                <w:b/>
                <w:i/>
              </w:rPr>
            </w:pPr>
            <w:r w:rsidRPr="00710F95">
              <w:rPr>
                <w:rFonts w:eastAsia="Times New Roman"/>
                <w:b/>
                <w:i/>
              </w:rPr>
              <w:t xml:space="preserve">Ci aspettiamo ora che la nuova programmazione non solo tenga conto di questa realtà ma contribuisca a creare le condizioni perché il partenariato europeo per l’innovazione attivo in ambito agricolo sempre più si integri con gli altri strumenti  come gli Horizon, Interreg per uno sviluppo concreto e globale dei territori. </w:t>
            </w:r>
          </w:p>
          <w:p w:rsidR="0007294A" w:rsidRDefault="0007294A" w:rsidP="0007294A">
            <w:pPr>
              <w:autoSpaceDE w:val="0"/>
              <w:autoSpaceDN w:val="0"/>
              <w:adjustRightInd w:val="0"/>
              <w:spacing w:line="360" w:lineRule="auto"/>
              <w:jc w:val="both"/>
              <w:rPr>
                <w:rFonts w:eastAsia="Times New Roman"/>
                <w:i/>
              </w:rPr>
            </w:pPr>
            <w:r>
              <w:rPr>
                <w:rFonts w:eastAsia="Times New Roman"/>
                <w:i/>
              </w:rPr>
              <w:t>Anche le iniziative di formazione specializzata dovrebbero essere coinvolte in questa fase di facilitazione di incontro e disponibilità di risorse finalizzate a portare a compimento concreto gli approcci innovativi intrapresi per mutare l’assetto dei territori.</w:t>
            </w:r>
          </w:p>
          <w:p w:rsidR="0007294A" w:rsidRPr="002100F1" w:rsidRDefault="0007294A" w:rsidP="0007294A">
            <w:pPr>
              <w:autoSpaceDE w:val="0"/>
              <w:autoSpaceDN w:val="0"/>
              <w:adjustRightInd w:val="0"/>
              <w:spacing w:line="360" w:lineRule="auto"/>
              <w:jc w:val="both"/>
              <w:rPr>
                <w:rFonts w:eastAsia="Times New Roman"/>
                <w:i/>
              </w:rPr>
            </w:pPr>
            <w:r w:rsidRPr="002100F1">
              <w:rPr>
                <w:rFonts w:eastAsia="Times New Roman"/>
                <w:i/>
              </w:rPr>
              <w:t>A questo proposito merita ricordare come  l’agricoltura italiana in questo lungo decennio di depressione ha svolto una cruciale funzione anticiclica: la produzione agricola nel decennio è cresciuta dell’11,2% e il valore aggiunto agricolo dell’8,6%. Perché l’export l’agroalimentare cresce nel decennio del 70,9% raggiungendo la cifra 41,8 miliardi di euro a fine 2018. Perché i prodotti del nostro agroalimentare – in virtù della loro chiave distintiva – hanno per l’insieme della reputazione del Paese, un valore simbolico altissimo. In questa luce, serve tutelare e proteggere questo patrimonio</w:t>
            </w:r>
            <w:r w:rsidR="00710F95">
              <w:rPr>
                <w:rFonts w:eastAsia="Times New Roman"/>
                <w:i/>
              </w:rPr>
              <w:t xml:space="preserve"> incentivando nelle misure da avviare coloro che percorrono la via della valorizzazione dei prodotti locali incrementandone la produzione ma sviluppandone soprattu</w:t>
            </w:r>
            <w:r w:rsidR="00487E9C">
              <w:rPr>
                <w:rFonts w:eastAsia="Times New Roman"/>
                <w:i/>
              </w:rPr>
              <w:t>t</w:t>
            </w:r>
            <w:r w:rsidR="00710F95">
              <w:rPr>
                <w:rFonts w:eastAsia="Times New Roman"/>
                <w:i/>
              </w:rPr>
              <w:t>to gli sbocchi commerciali anche a livello internazionale utilizzando l’incoming turistico come ulteriore leva in questa direzione.</w:t>
            </w:r>
          </w:p>
          <w:p w:rsidR="0007294A" w:rsidRPr="002100F1" w:rsidRDefault="0007294A" w:rsidP="0007294A">
            <w:pPr>
              <w:autoSpaceDE w:val="0"/>
              <w:autoSpaceDN w:val="0"/>
              <w:adjustRightInd w:val="0"/>
              <w:spacing w:line="360" w:lineRule="auto"/>
              <w:jc w:val="both"/>
              <w:rPr>
                <w:rFonts w:eastAsia="Times New Roman"/>
                <w:i/>
              </w:rPr>
            </w:pPr>
            <w:r w:rsidRPr="002100F1">
              <w:rPr>
                <w:rFonts w:eastAsia="Times New Roman"/>
                <w:i/>
              </w:rPr>
              <w:t>L’Umbria in particolare è consapevole che gran parte del proprio appeal dal punto di vista produttivo e turistico proviene dalle cosiddette eccellenze agroalimentari e da tutte le attività materiali e immateriali che circondano la produzioni di cibi di qualità e carichi di contenuti culturali, salutistici, di evocazione ecc.</w:t>
            </w:r>
          </w:p>
          <w:p w:rsidR="00710F95" w:rsidRPr="002100F1" w:rsidRDefault="00710F95" w:rsidP="00710F95">
            <w:pPr>
              <w:autoSpaceDE w:val="0"/>
              <w:autoSpaceDN w:val="0"/>
              <w:adjustRightInd w:val="0"/>
              <w:spacing w:line="360" w:lineRule="auto"/>
              <w:jc w:val="both"/>
              <w:rPr>
                <w:rStyle w:val="Enfasigrassetto"/>
                <w:i/>
              </w:rPr>
            </w:pPr>
            <w:r w:rsidRPr="002100F1">
              <w:rPr>
                <w:rFonts w:eastAsia="Times New Roman"/>
                <w:i/>
              </w:rPr>
              <w:t>La nuova pr</w:t>
            </w:r>
            <w:r>
              <w:rPr>
                <w:rFonts w:eastAsia="Times New Roman"/>
                <w:i/>
              </w:rPr>
              <w:t>ogrammazione deve farsi carico</w:t>
            </w:r>
            <w:r w:rsidRPr="002100F1">
              <w:rPr>
                <w:rFonts w:eastAsia="Times New Roman"/>
                <w:i/>
              </w:rPr>
              <w:t xml:space="preserve"> di una decisa direzione verso l’obiettivo di valorizzare e quindi difendere le nostre eccellenze del made in Italy. </w:t>
            </w:r>
          </w:p>
          <w:p w:rsidR="0007294A" w:rsidRPr="002100F1" w:rsidRDefault="0007294A" w:rsidP="0007294A">
            <w:pPr>
              <w:autoSpaceDE w:val="0"/>
              <w:autoSpaceDN w:val="0"/>
              <w:adjustRightInd w:val="0"/>
              <w:spacing w:line="360" w:lineRule="auto"/>
              <w:jc w:val="both"/>
              <w:rPr>
                <w:rFonts w:eastAsia="Times New Roman"/>
                <w:i/>
              </w:rPr>
            </w:pPr>
          </w:p>
          <w:p w:rsidR="0007294A" w:rsidRPr="002100F1" w:rsidRDefault="0007294A" w:rsidP="0007294A">
            <w:pPr>
              <w:autoSpaceDE w:val="0"/>
              <w:autoSpaceDN w:val="0"/>
              <w:adjustRightInd w:val="0"/>
              <w:spacing w:line="360" w:lineRule="auto"/>
              <w:jc w:val="both"/>
              <w:rPr>
                <w:rFonts w:eastAsia="Times New Roman"/>
                <w:i/>
              </w:rPr>
            </w:pPr>
            <w:r w:rsidRPr="002100F1">
              <w:rPr>
                <w:rFonts w:eastAsia="Times New Roman"/>
                <w:i/>
              </w:rPr>
              <w:t>Da questo punto di vista la presenza della PAC rappresenta una necessità vitale per garantire le condizioni di base perché si possano realizzare gli obiettivi di sviluppo della nostra regione caratterizzata peraltro da estese aree interne in cui la rarefazione della popolazione costituisce uno dei problemi principali che riguardano la struttura stessa del territorio. E’ necessaria perciò un’Europa che investe nelle sue campagne come fattore di riequilibrio ambientale, sociale ed economico.</w:t>
            </w:r>
          </w:p>
          <w:p w:rsidR="0007294A" w:rsidRPr="002100F1" w:rsidRDefault="0007294A" w:rsidP="0007294A">
            <w:pPr>
              <w:autoSpaceDE w:val="0"/>
              <w:autoSpaceDN w:val="0"/>
              <w:adjustRightInd w:val="0"/>
              <w:spacing w:line="360" w:lineRule="auto"/>
              <w:jc w:val="both"/>
              <w:rPr>
                <w:rFonts w:eastAsia="Times New Roman"/>
                <w:i/>
              </w:rPr>
            </w:pPr>
          </w:p>
          <w:p w:rsidR="0007294A" w:rsidRPr="002100F1" w:rsidRDefault="0007294A" w:rsidP="0007294A">
            <w:pPr>
              <w:autoSpaceDE w:val="0"/>
              <w:autoSpaceDN w:val="0"/>
              <w:adjustRightInd w:val="0"/>
              <w:spacing w:line="360" w:lineRule="auto"/>
              <w:jc w:val="both"/>
              <w:rPr>
                <w:rFonts w:eastAsia="Times New Roman"/>
                <w:i/>
              </w:rPr>
            </w:pPr>
            <w:r w:rsidRPr="007560E5">
              <w:rPr>
                <w:rFonts w:eastAsia="Times New Roman"/>
                <w:b/>
                <w:i/>
              </w:rPr>
              <w:t>La PAC però non è alternativa ai fondi strutturali ma un elemento vitale per  riequilibrare la spesa</w:t>
            </w:r>
            <w:r w:rsidRPr="002100F1">
              <w:rPr>
                <w:rFonts w:eastAsia="Times New Roman"/>
                <w:i/>
              </w:rPr>
              <w:t xml:space="preserve"> e svolgere il suo ruolo di </w:t>
            </w:r>
            <w:r w:rsidRPr="007560E5">
              <w:rPr>
                <w:rFonts w:eastAsia="Times New Roman"/>
                <w:b/>
                <w:i/>
              </w:rPr>
              <w:t>sostegno ai redditi e all’occupazione agricola per salvaguardare un settore strategico per la sicurezza e la sovranità alimentare e per contribuire alla crescita</w:t>
            </w:r>
            <w:r w:rsidRPr="002100F1">
              <w:rPr>
                <w:rFonts w:eastAsia="Times New Roman"/>
                <w:i/>
              </w:rPr>
              <w:t xml:space="preserve"> dell’intera economia europea attraverso la filiera produttiva che esso alimenta. Un obiettivo va raggiunto r</w:t>
            </w:r>
            <w:r w:rsidRPr="007560E5">
              <w:rPr>
                <w:rFonts w:eastAsia="Times New Roman"/>
                <w:b/>
                <w:i/>
              </w:rPr>
              <w:t>endendo i pagamenti diretti coerenti con parametri come i costi di produzione, il lavor</w:t>
            </w:r>
            <w:r w:rsidR="007560E5">
              <w:rPr>
                <w:rFonts w:eastAsia="Times New Roman"/>
                <w:b/>
                <w:i/>
              </w:rPr>
              <w:t>,</w:t>
            </w:r>
            <w:r w:rsidRPr="007560E5">
              <w:rPr>
                <w:rFonts w:eastAsia="Times New Roman"/>
                <w:b/>
                <w:i/>
              </w:rPr>
              <w:t xml:space="preserve">o </w:t>
            </w:r>
            <w:r w:rsidR="007560E5">
              <w:rPr>
                <w:rFonts w:eastAsia="Times New Roman"/>
                <w:b/>
                <w:i/>
              </w:rPr>
              <w:t>il valore aggiunt e alcuni comportamenti virtuosi</w:t>
            </w:r>
            <w:r w:rsidRPr="002100F1">
              <w:rPr>
                <w:rFonts w:eastAsia="Times New Roman"/>
                <w:i/>
              </w:rPr>
              <w:t>.</w:t>
            </w:r>
          </w:p>
          <w:p w:rsidR="0007294A" w:rsidRPr="002100F1" w:rsidRDefault="0007294A" w:rsidP="0007294A">
            <w:pPr>
              <w:autoSpaceDE w:val="0"/>
              <w:autoSpaceDN w:val="0"/>
              <w:adjustRightInd w:val="0"/>
              <w:spacing w:line="360" w:lineRule="auto"/>
              <w:jc w:val="both"/>
              <w:rPr>
                <w:rFonts w:eastAsia="Times New Roman"/>
                <w:i/>
              </w:rPr>
            </w:pPr>
            <w:r w:rsidRPr="002100F1">
              <w:rPr>
                <w:rFonts w:eastAsia="Times New Roman"/>
                <w:i/>
              </w:rPr>
              <w:t xml:space="preserve"> </w:t>
            </w:r>
          </w:p>
          <w:p w:rsidR="0007294A" w:rsidRPr="002100F1" w:rsidRDefault="0007294A" w:rsidP="0007294A">
            <w:pPr>
              <w:autoSpaceDE w:val="0"/>
              <w:autoSpaceDN w:val="0"/>
              <w:adjustRightInd w:val="0"/>
              <w:spacing w:line="360" w:lineRule="auto"/>
              <w:jc w:val="both"/>
              <w:rPr>
                <w:rFonts w:eastAsia="Times New Roman"/>
                <w:i/>
              </w:rPr>
            </w:pPr>
            <w:r w:rsidRPr="002100F1">
              <w:rPr>
                <w:rFonts w:eastAsia="Times New Roman"/>
                <w:i/>
              </w:rPr>
              <w:t xml:space="preserve">Un elemento importante emerso nella discussione e che merita a nostro avviso una sottolineatura importante è la  necessità di </w:t>
            </w:r>
            <w:r w:rsidRPr="00710F95">
              <w:rPr>
                <w:rFonts w:eastAsia="Times New Roman"/>
                <w:b/>
                <w:i/>
              </w:rPr>
              <w:t>intervenire sulla formazione delle persone (giovani e meno giovani ma anche imprenditori e addetti della PA) per sostenere il cambiamento epocale in atto  in tutta Europa</w:t>
            </w:r>
            <w:r w:rsidRPr="002100F1">
              <w:rPr>
                <w:rFonts w:eastAsia="Times New Roman"/>
                <w:i/>
              </w:rPr>
              <w:t>. Le misure del FSE plus perciò dovranno tenere conto di questa necessità ed essere riorientate laddove necessario a servire questo obiettivo.</w:t>
            </w:r>
          </w:p>
          <w:p w:rsidR="0007294A" w:rsidRPr="002100F1" w:rsidRDefault="0007294A" w:rsidP="0007294A">
            <w:pPr>
              <w:autoSpaceDE w:val="0"/>
              <w:autoSpaceDN w:val="0"/>
              <w:adjustRightInd w:val="0"/>
              <w:spacing w:line="360" w:lineRule="auto"/>
              <w:jc w:val="both"/>
              <w:rPr>
                <w:rStyle w:val="Enfasigrassetto"/>
                <w:i/>
              </w:rPr>
            </w:pPr>
          </w:p>
          <w:p w:rsidR="0007294A" w:rsidRPr="002100F1" w:rsidRDefault="00710F95" w:rsidP="0007294A">
            <w:pPr>
              <w:spacing w:line="360" w:lineRule="auto"/>
              <w:jc w:val="both"/>
              <w:rPr>
                <w:rFonts w:eastAsia="Times New Roman"/>
                <w:i/>
              </w:rPr>
            </w:pPr>
            <w:r w:rsidRPr="00710F95">
              <w:rPr>
                <w:rFonts w:eastAsia="Times New Roman"/>
                <w:b/>
                <w:i/>
              </w:rPr>
              <w:t>La</w:t>
            </w:r>
            <w:r w:rsidR="0007294A" w:rsidRPr="00710F95">
              <w:rPr>
                <w:rFonts w:eastAsia="Times New Roman"/>
                <w:b/>
                <w:i/>
              </w:rPr>
              <w:t xml:space="preserve"> questione dell’etichettatura obbligatoria con l’indicazione dell’origine agricola per tutti i prodotti alimentari </w:t>
            </w:r>
            <w:r w:rsidR="0007294A" w:rsidRPr="002100F1">
              <w:rPr>
                <w:rFonts w:eastAsia="Times New Roman"/>
                <w:i/>
              </w:rPr>
              <w:t>riteniamo sia una assoluta priorità che va sostenuta anche attraverso iniziative premianti la trasparenza e la tracciabilità dei processi produttivi che distinguano in modo netto le produzioni made in Italy da quelle che utilizzano prodotti non italiani.</w:t>
            </w:r>
          </w:p>
          <w:p w:rsidR="0007294A" w:rsidRPr="002100F1" w:rsidRDefault="0007294A" w:rsidP="0007294A">
            <w:pPr>
              <w:spacing w:line="360" w:lineRule="auto"/>
              <w:jc w:val="both"/>
              <w:rPr>
                <w:rFonts w:eastAsia="Times New Roman"/>
                <w:i/>
              </w:rPr>
            </w:pPr>
          </w:p>
          <w:p w:rsidR="0007294A" w:rsidRPr="002100F1" w:rsidRDefault="0007294A" w:rsidP="0007294A">
            <w:pPr>
              <w:spacing w:line="360" w:lineRule="auto"/>
              <w:jc w:val="both"/>
              <w:rPr>
                <w:rFonts w:eastAsia="Times New Roman"/>
                <w:i/>
              </w:rPr>
            </w:pPr>
            <w:r w:rsidRPr="002100F1">
              <w:rPr>
                <w:rFonts w:eastAsia="Times New Roman"/>
                <w:i/>
              </w:rPr>
              <w:t xml:space="preserve">In questa legislatura è stata persa un’occasione per realizzare quella trasparenza richiesta in primo luogo dai consumatori che in larga maggioranza, tanto a livello europeo che nazionale, vedono nell’origine degli ingredienti un fattore fondamentale per nella scelta di acquisto. La scelta dell’Europa su questo argomento è stata ancora una volta miope: ha scelto di guardarsi indietro, tradendo le aspettative dei consumatori e di tutti quegli operatori del made in Italy che competono lealmente, agendo sulle leve della qualità e della fiducia dei consumatori. </w:t>
            </w:r>
          </w:p>
          <w:p w:rsidR="0007294A" w:rsidRPr="002100F1" w:rsidRDefault="0007294A" w:rsidP="0007294A">
            <w:pPr>
              <w:spacing w:line="360" w:lineRule="auto"/>
              <w:jc w:val="both"/>
              <w:rPr>
                <w:rFonts w:eastAsia="Times New Roman"/>
                <w:i/>
              </w:rPr>
            </w:pPr>
          </w:p>
          <w:p w:rsidR="0007294A" w:rsidRPr="002100F1" w:rsidRDefault="0007294A" w:rsidP="0007294A">
            <w:pPr>
              <w:spacing w:line="360" w:lineRule="auto"/>
              <w:jc w:val="both"/>
              <w:rPr>
                <w:rFonts w:eastAsia="Times New Roman"/>
                <w:i/>
              </w:rPr>
            </w:pPr>
            <w:r w:rsidRPr="002100F1">
              <w:rPr>
                <w:rFonts w:eastAsia="Times New Roman"/>
                <w:i/>
              </w:rPr>
              <w:t>L’interesse dell’Umbria  è  assicurare le stesse garanzie di trasparenza dell’informazione sui cibi in tutta l’Unione Europea dove rischiano di entrare in vigore nell’aprile 2020 norme fortemente ingannevoli per i consumatori.</w:t>
            </w:r>
            <w:r w:rsidRPr="002100F1">
              <w:rPr>
                <w:rFonts w:eastAsia="Times New Roman"/>
                <w:i/>
              </w:rPr>
              <w:br/>
            </w:r>
          </w:p>
          <w:p w:rsidR="0007294A" w:rsidRPr="002100F1" w:rsidRDefault="0007294A" w:rsidP="0007294A">
            <w:pPr>
              <w:spacing w:line="360" w:lineRule="auto"/>
              <w:jc w:val="both"/>
              <w:rPr>
                <w:rFonts w:eastAsia="Times New Roman"/>
                <w:i/>
              </w:rPr>
            </w:pPr>
            <w:r w:rsidRPr="002100F1">
              <w:rPr>
                <w:rFonts w:eastAsia="Times New Roman"/>
                <w:i/>
              </w:rPr>
              <w:t>D’altronde, in tema di trasparenza, proprio in questi giorni è arrivata una sentenza storica del Consiglio di Stato, il cui pronunciamento è stato sollecitato proprio dalla Coldiretti, che dà atto della palese insussistenza dei motivi di riservatezza circa la provenienza delle materie prime agricole importate. Viene così messa fine ad una complessa e fitta maglia di norme e procedure doganali che dietro in nome della “privacy” (di chi?) celano un sistema che solo in Italia utilizza circa un terzo di materie prime straniere che diventano poi sul mercato prodotti made in Italy.</w:t>
            </w:r>
            <w:r w:rsidRPr="002100F1">
              <w:rPr>
                <w:rFonts w:eastAsia="Times New Roman"/>
                <w:i/>
              </w:rPr>
              <w:br/>
            </w:r>
          </w:p>
          <w:p w:rsidR="0007294A" w:rsidRPr="002100F1" w:rsidRDefault="0007294A" w:rsidP="0007294A">
            <w:pPr>
              <w:spacing w:line="360" w:lineRule="auto"/>
              <w:jc w:val="both"/>
              <w:rPr>
                <w:rFonts w:eastAsia="Times New Roman"/>
                <w:i/>
              </w:rPr>
            </w:pPr>
            <w:r w:rsidRPr="002100F1">
              <w:rPr>
                <w:rFonts w:eastAsia="Times New Roman"/>
                <w:i/>
              </w:rPr>
              <w:t xml:space="preserve">Sul terreno della trasparenza resta di fondamentale importanza </w:t>
            </w:r>
            <w:r w:rsidRPr="007560E5">
              <w:rPr>
                <w:rFonts w:eastAsia="Times New Roman"/>
                <w:b/>
                <w:i/>
              </w:rPr>
              <w:t>modificare la norma relativa all’ultima trasformazione sostanziale</w:t>
            </w:r>
            <w:r w:rsidRPr="002100F1">
              <w:rPr>
                <w:rFonts w:eastAsia="Times New Roman"/>
                <w:i/>
              </w:rPr>
              <w:t xml:space="preserve"> che consente di nascondere dietro il paravento di una singola, e magari minima, lavorazione un cambio di voce doganale che consente di scrivere made in Italy. Così agitando o mescolando qualcosa che viene da chissà dove l’industria riesce, e con le vigenti norme legittimamente, a fare giochi di prestigio sul mercato.</w:t>
            </w:r>
          </w:p>
          <w:p w:rsidR="0007294A" w:rsidRPr="002100F1" w:rsidRDefault="0007294A" w:rsidP="0007294A">
            <w:pPr>
              <w:spacing w:line="360" w:lineRule="auto"/>
              <w:jc w:val="both"/>
              <w:rPr>
                <w:rFonts w:eastAsia="Times New Roman"/>
                <w:i/>
              </w:rPr>
            </w:pPr>
            <w:r w:rsidRPr="002100F1">
              <w:rPr>
                <w:rFonts w:eastAsia="Times New Roman"/>
                <w:i/>
              </w:rPr>
              <w:t xml:space="preserve">Parallelamente sui mercati ci troviamo ad arginare iniziative come quella dell’etichetta a semaforo inglese, legata principalmente all’azione di 4 grandi multinazionali del cibo come Coca cola, Pepsi Co, Mars e Nestlè. </w:t>
            </w:r>
          </w:p>
          <w:p w:rsidR="0007294A" w:rsidRPr="002100F1" w:rsidRDefault="0007294A" w:rsidP="0007294A">
            <w:pPr>
              <w:spacing w:line="360" w:lineRule="auto"/>
              <w:jc w:val="both"/>
              <w:rPr>
                <w:rFonts w:eastAsia="Times New Roman"/>
                <w:i/>
              </w:rPr>
            </w:pPr>
            <w:r w:rsidRPr="002100F1">
              <w:rPr>
                <w:rFonts w:eastAsia="Times New Roman"/>
                <w:i/>
              </w:rPr>
              <w:t>Per spingere l’Unione Europea verso un percorso di tutela delle richieste dei cittadini consumatori Coldiretti ha contemporaneamente promosso un fronte europeo per la trasparenza in etichetta con la raccolta di un milione di firme in almeno 7 Paesi dell’Unione (</w:t>
            </w:r>
            <w:hyperlink r:id="rId18" w:history="1">
              <w:r w:rsidRPr="002100F1">
                <w:rPr>
                  <w:rStyle w:val="Collegamentoipertestuale"/>
                  <w:rFonts w:eastAsia="Times New Roman"/>
                  <w:i/>
                </w:rPr>
                <w:t>www.eatoriginal.eu</w:t>
              </w:r>
            </w:hyperlink>
            <w:r w:rsidR="00710F95">
              <w:rPr>
                <w:rStyle w:val="Collegamentoipertestuale"/>
                <w:rFonts w:eastAsia="Times New Roman"/>
                <w:i/>
              </w:rPr>
              <w:t>)</w:t>
            </w:r>
            <w:r w:rsidR="00710F95">
              <w:rPr>
                <w:rFonts w:eastAsia="Times New Roman"/>
                <w:i/>
              </w:rPr>
              <w:t xml:space="preserve">  ma</w:t>
            </w:r>
            <w:r w:rsidR="007560E5">
              <w:rPr>
                <w:rFonts w:eastAsia="Times New Roman"/>
                <w:i/>
              </w:rPr>
              <w:t>,</w:t>
            </w:r>
            <w:r w:rsidR="00710F95">
              <w:rPr>
                <w:rFonts w:eastAsia="Times New Roman"/>
                <w:i/>
              </w:rPr>
              <w:t xml:space="preserve"> </w:t>
            </w:r>
            <w:r w:rsidR="007560E5">
              <w:rPr>
                <w:rFonts w:eastAsia="Times New Roman"/>
                <w:i/>
              </w:rPr>
              <w:t xml:space="preserve">in attesa che cambino le norme, </w:t>
            </w:r>
            <w:r w:rsidR="00710F95" w:rsidRPr="007560E5">
              <w:rPr>
                <w:rFonts w:eastAsia="Times New Roman"/>
                <w:b/>
                <w:i/>
              </w:rPr>
              <w:t>serve una presa concreta di posizione dentro gli strumenti della programmazione</w:t>
            </w:r>
            <w:r w:rsidR="00710F95">
              <w:rPr>
                <w:rFonts w:eastAsia="Times New Roman"/>
                <w:i/>
              </w:rPr>
              <w:t>.</w:t>
            </w:r>
          </w:p>
          <w:p w:rsidR="0007294A" w:rsidRPr="002100F1" w:rsidRDefault="0007294A" w:rsidP="0007294A">
            <w:pPr>
              <w:spacing w:line="360" w:lineRule="auto"/>
              <w:jc w:val="both"/>
              <w:rPr>
                <w:rFonts w:eastAsia="Times New Roman"/>
                <w:i/>
              </w:rPr>
            </w:pPr>
          </w:p>
          <w:p w:rsidR="0007294A" w:rsidRPr="002100F1" w:rsidRDefault="0007294A" w:rsidP="0007294A">
            <w:pPr>
              <w:spacing w:line="360" w:lineRule="auto"/>
              <w:jc w:val="both"/>
              <w:rPr>
                <w:rFonts w:eastAsia="Times New Roman"/>
                <w:i/>
              </w:rPr>
            </w:pPr>
            <w:r w:rsidRPr="00710F95">
              <w:rPr>
                <w:rFonts w:eastAsia="Times New Roman"/>
                <w:b/>
                <w:i/>
              </w:rPr>
              <w:t xml:space="preserve">La difesa degli interessi degli agricoltori, degli altri operatori virtuosi </w:t>
            </w:r>
            <w:r w:rsidR="00710F95" w:rsidRPr="00710F95">
              <w:rPr>
                <w:rFonts w:eastAsia="Times New Roman"/>
                <w:b/>
                <w:i/>
              </w:rPr>
              <w:t xml:space="preserve">( anche dell’artigiano di qualità) </w:t>
            </w:r>
            <w:r w:rsidRPr="00710F95">
              <w:rPr>
                <w:rFonts w:eastAsia="Times New Roman"/>
                <w:b/>
                <w:i/>
              </w:rPr>
              <w:t>del sistema e dei consumatori coincide</w:t>
            </w:r>
            <w:r w:rsidRPr="002100F1">
              <w:rPr>
                <w:rFonts w:eastAsia="Times New Roman"/>
                <w:i/>
              </w:rPr>
              <w:t>: questo è il grande punto di forza che ci ha permesso di mobilitare, con un successo a dir poco sorprendente, moltissime energie attorno alla critica che abbiamo rivolto all’Europa sul tema degli accordi commerciali.</w:t>
            </w:r>
          </w:p>
          <w:p w:rsidR="0007294A" w:rsidRPr="002100F1" w:rsidRDefault="0007294A" w:rsidP="0007294A">
            <w:pPr>
              <w:spacing w:line="360" w:lineRule="auto"/>
              <w:jc w:val="both"/>
              <w:rPr>
                <w:rFonts w:eastAsia="Times New Roman"/>
                <w:i/>
              </w:rPr>
            </w:pPr>
            <w:r w:rsidRPr="002100F1">
              <w:rPr>
                <w:rFonts w:eastAsia="Times New Roman"/>
                <w:i/>
              </w:rPr>
              <w:t xml:space="preserve">Non si può ridurre il livello di sicurezza per i consumatori e minare la competitività dei nostri produttori ma occorre e </w:t>
            </w:r>
            <w:r w:rsidRPr="007560E5">
              <w:rPr>
                <w:rFonts w:eastAsia="Times New Roman"/>
                <w:b/>
                <w:i/>
              </w:rPr>
              <w:t>rilanciare anche con gli interventi in ambito regionale il supporto al contrasto dell’italian sounding</w:t>
            </w:r>
          </w:p>
          <w:p w:rsidR="0007294A" w:rsidRPr="002100F1" w:rsidRDefault="0007294A" w:rsidP="0007294A">
            <w:pPr>
              <w:spacing w:line="360" w:lineRule="auto"/>
              <w:jc w:val="both"/>
              <w:rPr>
                <w:rFonts w:eastAsia="Times New Roman"/>
                <w:i/>
              </w:rPr>
            </w:pPr>
          </w:p>
          <w:p w:rsidR="0007294A" w:rsidRPr="002100F1" w:rsidRDefault="0007294A" w:rsidP="0007294A">
            <w:pPr>
              <w:spacing w:line="360" w:lineRule="auto"/>
              <w:jc w:val="both"/>
              <w:rPr>
                <w:rFonts w:eastAsia="Times New Roman"/>
                <w:i/>
              </w:rPr>
            </w:pPr>
            <w:r w:rsidRPr="002100F1">
              <w:rPr>
                <w:rFonts w:eastAsia="Times New Roman"/>
                <w:i/>
              </w:rPr>
              <w:t xml:space="preserve">Ci aspettiamo perciò nella promozione della </w:t>
            </w:r>
            <w:r w:rsidRPr="002100F1">
              <w:rPr>
                <w:rFonts w:eastAsia="Times New Roman"/>
                <w:b/>
                <w:i/>
              </w:rPr>
              <w:t>internazionalizzazione</w:t>
            </w:r>
            <w:r w:rsidRPr="002100F1">
              <w:rPr>
                <w:rFonts w:eastAsia="Times New Roman"/>
                <w:i/>
              </w:rPr>
              <w:t xml:space="preserve"> delle imprese umbre che </w:t>
            </w:r>
            <w:r w:rsidRPr="007560E5">
              <w:rPr>
                <w:rFonts w:eastAsia="Times New Roman"/>
                <w:b/>
                <w:i/>
              </w:rPr>
              <w:t xml:space="preserve">la Regione premi </w:t>
            </w:r>
            <w:r w:rsidR="00710F95" w:rsidRPr="007560E5">
              <w:rPr>
                <w:rFonts w:eastAsia="Times New Roman"/>
                <w:b/>
                <w:i/>
              </w:rPr>
              <w:t xml:space="preserve">i </w:t>
            </w:r>
            <w:r w:rsidRPr="007560E5">
              <w:rPr>
                <w:rFonts w:eastAsia="Times New Roman"/>
                <w:b/>
                <w:i/>
              </w:rPr>
              <w:t>comportamenti virtuosi e non alimenti eventuali comportamenti in contrasto con l’obiettivo di rendere più performante il nostro territorio.</w:t>
            </w:r>
          </w:p>
          <w:p w:rsidR="00710F95" w:rsidRPr="002100F1" w:rsidRDefault="0007294A" w:rsidP="0007294A">
            <w:pPr>
              <w:spacing w:line="360" w:lineRule="auto"/>
              <w:jc w:val="both"/>
              <w:rPr>
                <w:rFonts w:eastAsia="Times New Roman"/>
                <w:i/>
              </w:rPr>
            </w:pPr>
            <w:r w:rsidRPr="002100F1">
              <w:rPr>
                <w:rFonts w:eastAsia="Times New Roman"/>
                <w:i/>
              </w:rPr>
              <w:t xml:space="preserve">Negli interventi va tenuta anche in considerazione la necessità di </w:t>
            </w:r>
            <w:r w:rsidRPr="007560E5">
              <w:rPr>
                <w:rFonts w:eastAsia="Times New Roman"/>
                <w:b/>
                <w:i/>
              </w:rPr>
              <w:t>ridurre sensibilmente il consumo del suolo</w:t>
            </w:r>
            <w:r w:rsidRPr="002100F1">
              <w:rPr>
                <w:rFonts w:eastAsia="Times New Roman"/>
                <w:i/>
              </w:rPr>
              <w:t xml:space="preserve"> e di intervenire sulla</w:t>
            </w:r>
            <w:r w:rsidR="00710F95">
              <w:rPr>
                <w:rFonts w:eastAsia="Times New Roman"/>
                <w:i/>
              </w:rPr>
              <w:t xml:space="preserve"> </w:t>
            </w:r>
            <w:r w:rsidRPr="002100F1">
              <w:rPr>
                <w:rFonts w:eastAsia="Times New Roman"/>
                <w:i/>
              </w:rPr>
              <w:t xml:space="preserve">fertilità </w:t>
            </w:r>
            <w:r w:rsidRPr="007560E5">
              <w:rPr>
                <w:rFonts w:eastAsia="Times New Roman"/>
                <w:b/>
                <w:i/>
              </w:rPr>
              <w:t>premiando</w:t>
            </w:r>
            <w:r w:rsidR="00710F95" w:rsidRPr="007560E5">
              <w:rPr>
                <w:rFonts w:eastAsia="Times New Roman"/>
                <w:b/>
                <w:i/>
              </w:rPr>
              <w:t>, anche attraverso particolari incentivi in questa direzione,</w:t>
            </w:r>
            <w:r w:rsidRPr="007560E5">
              <w:rPr>
                <w:rFonts w:eastAsia="Times New Roman"/>
                <w:b/>
                <w:i/>
              </w:rPr>
              <w:t xml:space="preserve"> il riuso di aree già utilizzate e il ripristino all’uso agricolo di aree precedentemente sottratte per usi diversi</w:t>
            </w:r>
            <w:r w:rsidR="00710F95" w:rsidRPr="007560E5">
              <w:rPr>
                <w:rFonts w:eastAsia="Times New Roman"/>
                <w:b/>
                <w:i/>
              </w:rPr>
              <w:t>.</w:t>
            </w:r>
          </w:p>
          <w:p w:rsidR="003D2924" w:rsidRPr="003D2924" w:rsidRDefault="003D2924" w:rsidP="003D2924">
            <w:pPr>
              <w:jc w:val="both"/>
            </w:pPr>
          </w:p>
          <w:p w:rsidR="003D2924" w:rsidRPr="003D2924" w:rsidRDefault="003D2924" w:rsidP="003D2924">
            <w:pPr>
              <w:jc w:val="both"/>
            </w:pPr>
          </w:p>
          <w:p w:rsidR="003D2924" w:rsidRPr="003D2924" w:rsidRDefault="003D2924" w:rsidP="003D2924">
            <w:pPr>
              <w:jc w:val="both"/>
            </w:pPr>
          </w:p>
          <w:p w:rsidR="003D2924" w:rsidRPr="003D2924" w:rsidRDefault="003D2924" w:rsidP="003D2924">
            <w:pPr>
              <w:jc w:val="both"/>
            </w:pPr>
            <w:bookmarkStart w:id="0" w:name="_GoBack"/>
            <w:bookmarkEnd w:id="0"/>
          </w:p>
          <w:p w:rsidR="003D2924" w:rsidRPr="003D2924" w:rsidRDefault="003D2924" w:rsidP="003D2924">
            <w:pPr>
              <w:jc w:val="both"/>
            </w:pPr>
          </w:p>
          <w:p w:rsidR="003D2924" w:rsidRPr="003D2924" w:rsidRDefault="003D2924" w:rsidP="003D2924">
            <w:pPr>
              <w:jc w:val="both"/>
            </w:pPr>
          </w:p>
          <w:p w:rsidR="003D2924" w:rsidRPr="003D2924" w:rsidRDefault="003D2924" w:rsidP="003D2924">
            <w:pPr>
              <w:jc w:val="both"/>
            </w:pPr>
          </w:p>
          <w:p w:rsidR="003D2924" w:rsidRPr="003D2924" w:rsidRDefault="003D2924" w:rsidP="003D2924">
            <w:pPr>
              <w:jc w:val="both"/>
            </w:pPr>
          </w:p>
          <w:p w:rsidR="003D2924" w:rsidRPr="003D2924" w:rsidRDefault="003D2924" w:rsidP="003D2924">
            <w:pPr>
              <w:jc w:val="both"/>
            </w:pPr>
          </w:p>
          <w:p w:rsidR="003D2924" w:rsidRDefault="003D2924" w:rsidP="003D2924">
            <w:pPr>
              <w:jc w:val="both"/>
            </w:pPr>
          </w:p>
          <w:p w:rsidR="003D2924" w:rsidRDefault="003D2924" w:rsidP="003D2924">
            <w:pPr>
              <w:jc w:val="both"/>
            </w:pPr>
          </w:p>
          <w:p w:rsidR="00555435" w:rsidRPr="003D2924" w:rsidRDefault="00555435" w:rsidP="003D2924">
            <w:pPr>
              <w:jc w:val="both"/>
            </w:pPr>
          </w:p>
        </w:tc>
      </w:tr>
      <w:tr w:rsidR="00B31870" w:rsidRPr="003D2924" w:rsidTr="00EA5F71">
        <w:trPr>
          <w:trHeight w:val="4199"/>
        </w:trPr>
        <w:tc>
          <w:tcPr>
            <w:tcW w:w="10550" w:type="dxa"/>
            <w:gridSpan w:val="2"/>
          </w:tcPr>
          <w:p w:rsidR="00E427B0" w:rsidRPr="007560E5" w:rsidRDefault="00B31870" w:rsidP="00D47947">
            <w:pPr>
              <w:jc w:val="both"/>
              <w:rPr>
                <w:i/>
                <w:color w:val="1F497D" w:themeColor="text2"/>
              </w:rPr>
            </w:pPr>
            <w:r w:rsidRPr="007560E5">
              <w:rPr>
                <w:b/>
                <w:i/>
                <w:color w:val="1F497D" w:themeColor="text2"/>
              </w:rPr>
              <w:t>1.</w:t>
            </w:r>
            <w:r w:rsidR="00D47947" w:rsidRPr="007560E5">
              <w:rPr>
                <w:b/>
                <w:i/>
                <w:color w:val="1F497D" w:themeColor="text2"/>
              </w:rPr>
              <w:t xml:space="preserve">  </w:t>
            </w:r>
            <w:r w:rsidRPr="007560E5">
              <w:rPr>
                <w:b/>
                <w:i/>
                <w:color w:val="1F497D" w:themeColor="text2"/>
              </w:rPr>
              <w:t>B)</w:t>
            </w:r>
            <w:r w:rsidRPr="007560E5">
              <w:rPr>
                <w:i/>
                <w:color w:val="1F497D" w:themeColor="text2"/>
              </w:rPr>
              <w:t xml:space="preserve"> </w:t>
            </w:r>
            <w:r w:rsidR="00675311" w:rsidRPr="007560E5">
              <w:rPr>
                <w:i/>
                <w:color w:val="1F497D" w:themeColor="text2"/>
              </w:rPr>
              <w:t xml:space="preserve">Nel caso dell’Obiettivo di Policy 5 </w:t>
            </w:r>
            <w:r w:rsidR="00E427B0" w:rsidRPr="007560E5">
              <w:rPr>
                <w:i/>
                <w:color w:val="1F497D" w:themeColor="text2"/>
              </w:rPr>
              <w:t>è possibile segnalare quali esperienze significative</w:t>
            </w:r>
            <w:r w:rsidR="0023217F" w:rsidRPr="007560E5">
              <w:rPr>
                <w:i/>
                <w:color w:val="1F497D" w:themeColor="text2"/>
              </w:rPr>
              <w:t>,</w:t>
            </w:r>
            <w:r w:rsidR="00E427B0" w:rsidRPr="007560E5">
              <w:rPr>
                <w:i/>
                <w:color w:val="1F497D" w:themeColor="text2"/>
              </w:rPr>
              <w:t xml:space="preserve"> piani</w:t>
            </w:r>
            <w:r w:rsidR="0023217F" w:rsidRPr="007560E5">
              <w:rPr>
                <w:i/>
                <w:color w:val="1F497D" w:themeColor="text2"/>
              </w:rPr>
              <w:t>,</w:t>
            </w:r>
            <w:r w:rsidR="00E427B0" w:rsidRPr="007560E5">
              <w:rPr>
                <w:i/>
                <w:color w:val="1F497D" w:themeColor="text2"/>
              </w:rPr>
              <w:t xml:space="preserve"> progetti territoriali o modalità di intervento dedicate a specifiche aree territoriali. Per ciascuna esperienza indicare</w:t>
            </w:r>
            <w:r w:rsidR="002749C4" w:rsidRPr="007560E5">
              <w:rPr>
                <w:i/>
                <w:color w:val="1F497D" w:themeColor="text2"/>
              </w:rPr>
              <w:t>:</w:t>
            </w:r>
          </w:p>
          <w:p w:rsidR="00675311" w:rsidRPr="007560E5" w:rsidRDefault="00675311" w:rsidP="00282AB1">
            <w:pPr>
              <w:pStyle w:val="Paragrafoelenco"/>
              <w:numPr>
                <w:ilvl w:val="0"/>
                <w:numId w:val="13"/>
              </w:numPr>
              <w:ind w:left="290" w:hanging="284"/>
              <w:jc w:val="both"/>
              <w:rPr>
                <w:b/>
                <w:i/>
                <w:color w:val="1F497D" w:themeColor="text2"/>
              </w:rPr>
            </w:pPr>
            <w:r w:rsidRPr="007560E5">
              <w:rPr>
                <w:i/>
                <w:color w:val="1F497D" w:themeColor="text2"/>
              </w:rPr>
              <w:t>qual è il tipo di territorio interessato (possibile segnalare più di una tipologia)</w:t>
            </w:r>
            <w:r w:rsidR="00513266" w:rsidRPr="007560E5">
              <w:rPr>
                <w:rStyle w:val="Rimandonotaapidipagina"/>
                <w:i/>
                <w:color w:val="1F497D" w:themeColor="text2"/>
              </w:rPr>
              <w:footnoteReference w:id="2"/>
            </w:r>
            <w:r w:rsidRPr="007560E5">
              <w:rPr>
                <w:i/>
                <w:color w:val="1F497D" w:themeColor="text2"/>
              </w:rPr>
              <w:t>: (i) quartiere/periferia; (ii) intero Comune; (iii) zona funzionale urbana o extraurbana; (iv) zona di montagna; (v) zona costiera o isole; (vi) zona a rischio spopolamento; (vii) altra tipologia di territori</w:t>
            </w:r>
            <w:r w:rsidR="00D47947" w:rsidRPr="007560E5">
              <w:rPr>
                <w:rStyle w:val="Rimandonotaapidipagina"/>
                <w:i/>
                <w:color w:val="1F497D" w:themeColor="text2"/>
              </w:rPr>
              <w:footnoteReference w:id="3"/>
            </w:r>
            <w:r w:rsidRPr="007560E5">
              <w:rPr>
                <w:i/>
                <w:color w:val="1F497D" w:themeColor="text2"/>
              </w:rPr>
              <w:t xml:space="preserve">. </w:t>
            </w:r>
          </w:p>
          <w:p w:rsidR="00675311" w:rsidRPr="007560E5" w:rsidRDefault="00675311" w:rsidP="00282AB1">
            <w:pPr>
              <w:ind w:left="290" w:hanging="284"/>
              <w:jc w:val="both"/>
              <w:rPr>
                <w:i/>
                <w:color w:val="1F497D" w:themeColor="text2"/>
              </w:rPr>
            </w:pPr>
          </w:p>
          <w:p w:rsidR="00675311" w:rsidRPr="007560E5" w:rsidRDefault="00D47947" w:rsidP="00282AB1">
            <w:pPr>
              <w:pStyle w:val="Paragrafoelenco"/>
              <w:numPr>
                <w:ilvl w:val="0"/>
                <w:numId w:val="12"/>
              </w:numPr>
              <w:ind w:left="290" w:hanging="284"/>
              <w:jc w:val="both"/>
              <w:rPr>
                <w:color w:val="1F497D" w:themeColor="text2"/>
              </w:rPr>
            </w:pPr>
            <w:r w:rsidRPr="007560E5">
              <w:rPr>
                <w:i/>
                <w:color w:val="1F497D" w:themeColor="text2"/>
              </w:rPr>
              <w:t>la/le</w:t>
            </w:r>
            <w:r w:rsidR="00675311" w:rsidRPr="007560E5">
              <w:rPr>
                <w:i/>
                <w:color w:val="1F497D" w:themeColor="text2"/>
              </w:rPr>
              <w:t xml:space="preserve"> </w:t>
            </w:r>
            <w:r w:rsidRPr="007560E5">
              <w:rPr>
                <w:i/>
                <w:color w:val="1F497D" w:themeColor="text2"/>
              </w:rPr>
              <w:t>t</w:t>
            </w:r>
            <w:r w:rsidR="00675311" w:rsidRPr="007560E5">
              <w:rPr>
                <w:i/>
                <w:color w:val="1F497D" w:themeColor="text2"/>
              </w:rPr>
              <w:t>ema</w:t>
            </w:r>
            <w:r w:rsidRPr="007560E5">
              <w:rPr>
                <w:i/>
                <w:color w:val="1F497D" w:themeColor="text2"/>
              </w:rPr>
              <w:t>tica/e interessata</w:t>
            </w:r>
            <w:r w:rsidR="00675311" w:rsidRPr="007560E5">
              <w:rPr>
                <w:i/>
                <w:color w:val="1F497D" w:themeColor="text2"/>
              </w:rPr>
              <w:t>/e</w:t>
            </w:r>
            <w:r w:rsidRPr="007560E5">
              <w:rPr>
                <w:i/>
                <w:color w:val="1F497D" w:themeColor="text2"/>
              </w:rPr>
              <w:t xml:space="preserve"> e</w:t>
            </w:r>
            <w:r w:rsidR="00675311" w:rsidRPr="007560E5">
              <w:rPr>
                <w:i/>
                <w:color w:val="1F497D" w:themeColor="text2"/>
              </w:rPr>
              <w:t xml:space="preserve">, laddove possibile, l’Obiettivo/i </w:t>
            </w:r>
            <w:r w:rsidRPr="007560E5">
              <w:rPr>
                <w:i/>
                <w:color w:val="1F497D" w:themeColor="text2"/>
              </w:rPr>
              <w:t>S</w:t>
            </w:r>
            <w:r w:rsidR="00675311" w:rsidRPr="007560E5">
              <w:rPr>
                <w:i/>
                <w:color w:val="1F497D" w:themeColor="text2"/>
              </w:rPr>
              <w:t xml:space="preserve">pecifico/i </w:t>
            </w:r>
            <w:r w:rsidR="00E427B0" w:rsidRPr="007560E5">
              <w:rPr>
                <w:i/>
                <w:color w:val="1F497D" w:themeColor="text2"/>
              </w:rPr>
              <w:t xml:space="preserve">anche </w:t>
            </w:r>
            <w:r w:rsidR="00675311" w:rsidRPr="007560E5">
              <w:rPr>
                <w:i/>
                <w:color w:val="1F497D" w:themeColor="text2"/>
              </w:rPr>
              <w:t>a valere sugli altri quat</w:t>
            </w:r>
            <w:r w:rsidRPr="007560E5">
              <w:rPr>
                <w:i/>
                <w:color w:val="1F497D" w:themeColor="text2"/>
              </w:rPr>
              <w:t>tro Obiettivi di Policy connessi</w:t>
            </w:r>
            <w:r w:rsidR="00675311" w:rsidRPr="007560E5">
              <w:rPr>
                <w:i/>
                <w:color w:val="1F497D" w:themeColor="text2"/>
              </w:rPr>
              <w:t xml:space="preserve"> all’esperienza</w:t>
            </w:r>
            <w:r w:rsidR="0055288B" w:rsidRPr="007560E5">
              <w:rPr>
                <w:i/>
                <w:color w:val="1F497D" w:themeColor="text2"/>
              </w:rPr>
              <w:t>/proposta</w:t>
            </w:r>
            <w:r w:rsidR="00675311" w:rsidRPr="007560E5">
              <w:rPr>
                <w:i/>
                <w:color w:val="1F497D" w:themeColor="text2"/>
              </w:rPr>
              <w:t xml:space="preserve"> segnalata</w:t>
            </w:r>
            <w:r w:rsidR="00513266" w:rsidRPr="007560E5">
              <w:rPr>
                <w:i/>
                <w:color w:val="1F497D" w:themeColor="text2"/>
              </w:rPr>
              <w:t>.</w:t>
            </w:r>
          </w:p>
          <w:p w:rsidR="00675311" w:rsidRPr="007560E5" w:rsidRDefault="00675311" w:rsidP="00675311">
            <w:pPr>
              <w:jc w:val="both"/>
              <w:rPr>
                <w:i/>
                <w:color w:val="1F497D" w:themeColor="text2"/>
              </w:rPr>
            </w:pPr>
          </w:p>
          <w:p w:rsidR="00487E9C" w:rsidRDefault="00B67407" w:rsidP="00675311">
            <w:pPr>
              <w:jc w:val="both"/>
              <w:rPr>
                <w:i/>
              </w:rPr>
            </w:pPr>
            <w:r w:rsidRPr="00B67407">
              <w:rPr>
                <w:b/>
                <w:i/>
              </w:rPr>
              <w:t>Realizzazione</w:t>
            </w:r>
            <w:r>
              <w:rPr>
                <w:b/>
                <w:i/>
              </w:rPr>
              <w:t>, manutenzione sviluppo e animazione</w:t>
            </w:r>
            <w:r w:rsidRPr="00B67407">
              <w:rPr>
                <w:b/>
                <w:i/>
              </w:rPr>
              <w:t xml:space="preserve"> della rete di vie di pellegrinaggio</w:t>
            </w:r>
            <w:r>
              <w:rPr>
                <w:i/>
              </w:rPr>
              <w:t xml:space="preserve"> originata dalla presenza di san Francesco e san Benedetto e san Valentino e santa Rita ecc. nella Regione ma che investe nel senso più ampio la mobilità slow e il turismo slow nonché le molteplici modalità gestione della mobilità e dei servizi sul territorio.</w:t>
            </w:r>
          </w:p>
          <w:p w:rsidR="00675311" w:rsidRDefault="00B67407" w:rsidP="00675311">
            <w:pPr>
              <w:jc w:val="both"/>
              <w:rPr>
                <w:i/>
              </w:rPr>
            </w:pPr>
            <w:r>
              <w:rPr>
                <w:i/>
              </w:rPr>
              <w:t xml:space="preserve"> La tematica riguarda tutta la </w:t>
            </w:r>
            <w:r w:rsidR="00487E9C">
              <w:rPr>
                <w:i/>
              </w:rPr>
              <w:t>R</w:t>
            </w:r>
            <w:r>
              <w:rPr>
                <w:i/>
              </w:rPr>
              <w:t xml:space="preserve">egione </w:t>
            </w:r>
            <w:r w:rsidR="00487E9C">
              <w:rPr>
                <w:i/>
              </w:rPr>
              <w:t xml:space="preserve">ed </w:t>
            </w:r>
            <w:r>
              <w:rPr>
                <w:i/>
              </w:rPr>
              <w:t xml:space="preserve">ha già alcuni strumenti attivi  e un </w:t>
            </w:r>
            <w:r w:rsidR="00487E9C">
              <w:rPr>
                <w:i/>
              </w:rPr>
              <w:t>C</w:t>
            </w:r>
            <w:r>
              <w:rPr>
                <w:i/>
              </w:rPr>
              <w:t xml:space="preserve">onsorzio </w:t>
            </w:r>
            <w:r w:rsidR="00487E9C">
              <w:rPr>
                <w:i/>
              </w:rPr>
              <w:t>T</w:t>
            </w:r>
            <w:r>
              <w:rPr>
                <w:i/>
              </w:rPr>
              <w:t xml:space="preserve">uristico </w:t>
            </w:r>
            <w:r w:rsidR="00487E9C">
              <w:rPr>
                <w:i/>
              </w:rPr>
              <w:t>dedicato</w:t>
            </w:r>
            <w:r w:rsidR="00A23153">
              <w:rPr>
                <w:i/>
              </w:rPr>
              <w:t xml:space="preserve"> (Francesco’s Ways)</w:t>
            </w:r>
            <w:r>
              <w:rPr>
                <w:i/>
              </w:rPr>
              <w:t xml:space="preserve"> nato</w:t>
            </w:r>
            <w:r w:rsidR="00487E9C">
              <w:rPr>
                <w:i/>
              </w:rPr>
              <w:t>,</w:t>
            </w:r>
            <w:r>
              <w:rPr>
                <w:i/>
              </w:rPr>
              <w:t xml:space="preserve"> </w:t>
            </w:r>
            <w:r w:rsidR="00487E9C">
              <w:rPr>
                <w:i/>
              </w:rPr>
              <w:t xml:space="preserve">anche su iniziativa della Regione, </w:t>
            </w:r>
            <w:r>
              <w:rPr>
                <w:i/>
              </w:rPr>
              <w:t xml:space="preserve">proprio per dare organicità alla prospettiva di </w:t>
            </w:r>
            <w:r w:rsidR="00A23153">
              <w:rPr>
                <w:i/>
              </w:rPr>
              <w:t xml:space="preserve">contribuire a </w:t>
            </w:r>
            <w:r w:rsidR="00487E9C">
              <w:rPr>
                <w:i/>
              </w:rPr>
              <w:t xml:space="preserve">dare omogeneità ed efficacia alle molteplici attività </w:t>
            </w:r>
            <w:r>
              <w:rPr>
                <w:i/>
              </w:rPr>
              <w:t xml:space="preserve"> </w:t>
            </w:r>
            <w:r w:rsidR="00487E9C">
              <w:rPr>
                <w:i/>
              </w:rPr>
              <w:t xml:space="preserve">di animazione presenti lungo i percorsi tracciati  in una ottica commerciale </w:t>
            </w:r>
            <w:r w:rsidR="00A23153">
              <w:rPr>
                <w:i/>
              </w:rPr>
              <w:t xml:space="preserve">di sviluppo dell’incoming turistico </w:t>
            </w:r>
            <w:r>
              <w:rPr>
                <w:i/>
              </w:rPr>
              <w:t xml:space="preserve"> </w:t>
            </w:r>
            <w:r w:rsidR="00A23153">
              <w:rPr>
                <w:i/>
              </w:rPr>
              <w:t xml:space="preserve">e contemporaneamente del miglioramento delle strutture di servizio e alle infrastrutture territoriali.  </w:t>
            </w:r>
          </w:p>
          <w:p w:rsidR="00A23153" w:rsidRDefault="00A23153" w:rsidP="00675311">
            <w:pPr>
              <w:jc w:val="both"/>
              <w:rPr>
                <w:i/>
              </w:rPr>
            </w:pPr>
            <w:r>
              <w:rPr>
                <w:i/>
              </w:rPr>
              <w:t xml:space="preserve">Forti della pionieristica attività sviluppata in questi anni che hanno visto collaborare al progetto diversi soggetti della Regione si ritiene che a questa tematica debba essere data opportuna attenzione nella allocazione delle risorse finanziarie. </w:t>
            </w:r>
          </w:p>
          <w:p w:rsidR="004425A2" w:rsidRDefault="004425A2" w:rsidP="00675311">
            <w:pPr>
              <w:jc w:val="both"/>
              <w:rPr>
                <w:i/>
              </w:rPr>
            </w:pPr>
          </w:p>
          <w:p w:rsidR="004425A2" w:rsidRDefault="004425A2" w:rsidP="00675311">
            <w:pPr>
              <w:jc w:val="both"/>
              <w:rPr>
                <w:i/>
              </w:rPr>
            </w:pPr>
          </w:p>
          <w:p w:rsidR="00675311" w:rsidRPr="00B31870" w:rsidRDefault="00675311" w:rsidP="00675311">
            <w:pPr>
              <w:jc w:val="both"/>
              <w:rPr>
                <w:i/>
              </w:rPr>
            </w:pPr>
          </w:p>
        </w:tc>
      </w:tr>
      <w:tr w:rsidR="00555435" w:rsidRPr="003D2924" w:rsidTr="00EA5F71">
        <w:trPr>
          <w:trHeight w:val="568"/>
        </w:trPr>
        <w:tc>
          <w:tcPr>
            <w:tcW w:w="10550" w:type="dxa"/>
            <w:gridSpan w:val="2"/>
          </w:tcPr>
          <w:p w:rsidR="00555435" w:rsidRPr="003D2924" w:rsidRDefault="003D2924" w:rsidP="00AC0094">
            <w:pPr>
              <w:pStyle w:val="Paragrafoelenco"/>
              <w:numPr>
                <w:ilvl w:val="0"/>
                <w:numId w:val="9"/>
              </w:numPr>
              <w:jc w:val="both"/>
              <w:rPr>
                <w:i/>
              </w:rPr>
            </w:pPr>
            <w:r w:rsidRPr="007560E5">
              <w:rPr>
                <w:i/>
                <w:color w:val="1F497D" w:themeColor="text2"/>
              </w:rPr>
              <w:t>Quali esperienze di politiche pubbliche, tipologie di interventi e strumenti andrebbero abbandonati in quanto hanno dimostrato di non essere efficaci? Specificare le criticità di contesto</w:t>
            </w:r>
            <w:r>
              <w:rPr>
                <w:i/>
              </w:rPr>
              <w:t>.</w:t>
            </w:r>
          </w:p>
        </w:tc>
      </w:tr>
      <w:tr w:rsidR="00C5768C" w:rsidRPr="00A16C07" w:rsidTr="00EA5F71">
        <w:trPr>
          <w:trHeight w:val="70"/>
        </w:trPr>
        <w:tc>
          <w:tcPr>
            <w:tcW w:w="10550" w:type="dxa"/>
            <w:gridSpan w:val="2"/>
          </w:tcPr>
          <w:p w:rsidR="003D2924" w:rsidRPr="003D2924" w:rsidRDefault="003D2924" w:rsidP="003D2924">
            <w:pPr>
              <w:jc w:val="both"/>
            </w:pPr>
          </w:p>
          <w:p w:rsidR="003D2924" w:rsidRPr="003D2924" w:rsidRDefault="007560E5" w:rsidP="003D2924">
            <w:pPr>
              <w:jc w:val="both"/>
            </w:pPr>
            <w:r>
              <w:t>Gli interventi che sostengono meramente aggiornamenti aziendali non in linea con il cambiamento in corso.</w:t>
            </w:r>
          </w:p>
          <w:p w:rsidR="003D2924" w:rsidRDefault="003D2924" w:rsidP="003D2924">
            <w:pPr>
              <w:jc w:val="both"/>
            </w:pPr>
          </w:p>
          <w:p w:rsidR="0023217F" w:rsidRPr="003D2924" w:rsidRDefault="0023217F" w:rsidP="003D2924">
            <w:pPr>
              <w:jc w:val="both"/>
            </w:pPr>
          </w:p>
          <w:p w:rsidR="003D2924" w:rsidRPr="003D2924" w:rsidRDefault="003D2924" w:rsidP="003D2924">
            <w:pPr>
              <w:jc w:val="both"/>
            </w:pPr>
          </w:p>
          <w:p w:rsidR="003D2924" w:rsidRDefault="003D2924" w:rsidP="003D2924">
            <w:pPr>
              <w:jc w:val="both"/>
            </w:pPr>
          </w:p>
          <w:p w:rsidR="004425A2" w:rsidRPr="003D2924" w:rsidRDefault="004425A2" w:rsidP="003D2924">
            <w:pPr>
              <w:jc w:val="both"/>
            </w:pPr>
          </w:p>
          <w:p w:rsidR="003D2924" w:rsidRPr="003D2924" w:rsidRDefault="003D2924" w:rsidP="003D2924">
            <w:pPr>
              <w:jc w:val="both"/>
            </w:pPr>
          </w:p>
          <w:p w:rsidR="003D2924" w:rsidRDefault="003D2924" w:rsidP="003D2924">
            <w:pPr>
              <w:jc w:val="both"/>
            </w:pPr>
          </w:p>
          <w:p w:rsidR="003D2924" w:rsidRDefault="003D2924" w:rsidP="003D2924">
            <w:pPr>
              <w:jc w:val="both"/>
            </w:pPr>
          </w:p>
          <w:p w:rsidR="003D2924" w:rsidRPr="003D2924" w:rsidRDefault="003D2924" w:rsidP="003D2924">
            <w:pPr>
              <w:jc w:val="both"/>
            </w:pPr>
          </w:p>
        </w:tc>
      </w:tr>
      <w:tr w:rsidR="00C5768C" w:rsidRPr="003D2924" w:rsidTr="00EA5F71">
        <w:trPr>
          <w:trHeight w:val="532"/>
        </w:trPr>
        <w:tc>
          <w:tcPr>
            <w:tcW w:w="10550" w:type="dxa"/>
            <w:gridSpan w:val="2"/>
          </w:tcPr>
          <w:p w:rsidR="00C5768C" w:rsidRPr="003D2924" w:rsidRDefault="0097225B" w:rsidP="0097225B">
            <w:pPr>
              <w:pStyle w:val="Paragrafoelenco"/>
              <w:numPr>
                <w:ilvl w:val="0"/>
                <w:numId w:val="9"/>
              </w:numPr>
              <w:ind w:left="321"/>
              <w:jc w:val="both"/>
              <w:rPr>
                <w:i/>
              </w:rPr>
            </w:pPr>
            <w:r w:rsidRPr="007560E5">
              <w:rPr>
                <w:color w:val="1F497D" w:themeColor="text2"/>
              </w:rPr>
              <w:t>Quali impegni si ritiene utile/opportuno che si assuma il partenariato, sia in fase di programmazione che di attuazione? Quali sono le modalità di coinvolgimento che si ritengono più efficaci?</w:t>
            </w:r>
          </w:p>
        </w:tc>
      </w:tr>
      <w:tr w:rsidR="00C5768C" w:rsidRPr="00A16C07" w:rsidTr="00EA5F71">
        <w:trPr>
          <w:trHeight w:val="4018"/>
        </w:trPr>
        <w:tc>
          <w:tcPr>
            <w:tcW w:w="10550" w:type="dxa"/>
            <w:gridSpan w:val="2"/>
          </w:tcPr>
          <w:p w:rsidR="00C5768C" w:rsidRPr="00A16C07" w:rsidRDefault="007560E5" w:rsidP="00B67407">
            <w:pPr>
              <w:jc w:val="both"/>
            </w:pPr>
            <w:r>
              <w:t>Di individuare con chiarezza un obiettivo raggiungibile ma nello stempo di mutare con decisione direzione rispetto al tradizionale privilegio verso la manifattura tradizionale per creare le condizioni perché l’Umbria diventi una Regione pilota di un nuovo sviluppo innovativo nei settori dell’agroalimentare</w:t>
            </w:r>
            <w:r w:rsidR="00B67407">
              <w:t>, dell’</w:t>
            </w:r>
            <w:r>
              <w:t xml:space="preserve"> artigianato artistico,</w:t>
            </w:r>
            <w:r w:rsidR="00B67407">
              <w:t xml:space="preserve"> del </w:t>
            </w:r>
            <w:r>
              <w:t xml:space="preserve"> turismo e </w:t>
            </w:r>
            <w:r w:rsidR="00B67407">
              <w:t>dell’</w:t>
            </w:r>
            <w:r>
              <w:t xml:space="preserve">industria ad altissima specializzazione in una ottica di un deciso incremento della totale sostenibilità ambientale </w:t>
            </w:r>
            <w:r w:rsidR="00B67407">
              <w:t xml:space="preserve">delle attività economiche </w:t>
            </w:r>
            <w:r>
              <w:t>e d</w:t>
            </w:r>
            <w:r w:rsidR="00B67407">
              <w:t>i</w:t>
            </w:r>
            <w:r>
              <w:t xml:space="preserve"> politiche di bonifica dei territori deteriorati.</w:t>
            </w:r>
          </w:p>
        </w:tc>
      </w:tr>
      <w:tr w:rsidR="00C5768C" w:rsidRPr="003D2924" w:rsidTr="00EA5F71">
        <w:trPr>
          <w:trHeight w:val="547"/>
        </w:trPr>
        <w:tc>
          <w:tcPr>
            <w:tcW w:w="10550" w:type="dxa"/>
            <w:gridSpan w:val="2"/>
          </w:tcPr>
          <w:p w:rsidR="00C5768C" w:rsidRPr="003D2924" w:rsidRDefault="0097225B" w:rsidP="002749C4">
            <w:pPr>
              <w:pStyle w:val="Paragrafoelenco"/>
              <w:numPr>
                <w:ilvl w:val="0"/>
                <w:numId w:val="9"/>
              </w:numPr>
              <w:ind w:left="321"/>
              <w:jc w:val="both"/>
              <w:rPr>
                <w:i/>
              </w:rPr>
            </w:pPr>
            <w:r w:rsidRPr="007560E5">
              <w:rPr>
                <w:i/>
                <w:color w:val="1F497D" w:themeColor="text2"/>
              </w:rPr>
              <w:t>Segnalare eventuali esperienze, analisi, studi, ricerche, da cui trarre informazioni per l’impostazione della programmazione (fonte, titolo, anno, link da cui acquisire documentazione pertinente</w:t>
            </w:r>
            <w:r w:rsidRPr="007560E5">
              <w:rPr>
                <w:i/>
                <w:color w:val="1F497D" w:themeColor="text2"/>
                <w:sz w:val="20"/>
                <w:szCs w:val="20"/>
              </w:rPr>
              <w:t>).</w:t>
            </w:r>
          </w:p>
        </w:tc>
      </w:tr>
      <w:tr w:rsidR="00C5768C" w:rsidRPr="00A16C07" w:rsidTr="00EA5F71">
        <w:trPr>
          <w:trHeight w:val="2862"/>
        </w:trPr>
        <w:tc>
          <w:tcPr>
            <w:tcW w:w="10550" w:type="dxa"/>
            <w:gridSpan w:val="2"/>
          </w:tcPr>
          <w:p w:rsidR="00C5768C" w:rsidRPr="00A16C07" w:rsidRDefault="00C5768C" w:rsidP="00A16C07">
            <w:pPr>
              <w:jc w:val="both"/>
            </w:pPr>
          </w:p>
        </w:tc>
      </w:tr>
      <w:tr w:rsidR="00C5768C" w:rsidRPr="00123287" w:rsidTr="00EA5F71">
        <w:trPr>
          <w:trHeight w:val="532"/>
        </w:trPr>
        <w:tc>
          <w:tcPr>
            <w:tcW w:w="10550" w:type="dxa"/>
            <w:gridSpan w:val="2"/>
          </w:tcPr>
          <w:p w:rsidR="00C5768C" w:rsidRPr="00123287" w:rsidRDefault="0097225B" w:rsidP="00123287">
            <w:pPr>
              <w:pStyle w:val="Paragrafoelenco"/>
              <w:numPr>
                <w:ilvl w:val="0"/>
                <w:numId w:val="9"/>
              </w:numPr>
              <w:ind w:left="321"/>
              <w:jc w:val="both"/>
              <w:rPr>
                <w:i/>
              </w:rPr>
            </w:pPr>
            <w:r w:rsidRPr="007560E5">
              <w:rPr>
                <w:i/>
                <w:color w:val="1F497D" w:themeColor="text2"/>
              </w:rPr>
              <w:t>Eventuali ulteriori osservazioni.</w:t>
            </w:r>
          </w:p>
        </w:tc>
      </w:tr>
      <w:tr w:rsidR="0096611A" w:rsidRPr="00A16C07" w:rsidTr="007D5C71">
        <w:trPr>
          <w:trHeight w:val="5606"/>
        </w:trPr>
        <w:tc>
          <w:tcPr>
            <w:tcW w:w="10550" w:type="dxa"/>
            <w:gridSpan w:val="2"/>
          </w:tcPr>
          <w:p w:rsidR="0096611A" w:rsidRPr="003D2924" w:rsidRDefault="0096611A" w:rsidP="003D2924">
            <w:pPr>
              <w:jc w:val="both"/>
              <w:rPr>
                <w:b/>
                <w:i/>
              </w:rPr>
            </w:pPr>
          </w:p>
        </w:tc>
      </w:tr>
    </w:tbl>
    <w:p w:rsidR="000901DC" w:rsidRDefault="000901DC" w:rsidP="00564536">
      <w:pPr>
        <w:pStyle w:val="Titrearticle"/>
        <w:jc w:val="left"/>
        <w:rPr>
          <w:b/>
          <w:noProof/>
          <w:u w:val="single"/>
        </w:rPr>
        <w:sectPr w:rsidR="000901DC" w:rsidSect="003F5BAC">
          <w:headerReference w:type="default" r:id="rId19"/>
          <w:pgSz w:w="11906" w:h="16838"/>
          <w:pgMar w:top="1276" w:right="991" w:bottom="720" w:left="993" w:header="720" w:footer="720" w:gutter="0"/>
          <w:cols w:space="720"/>
          <w:docGrid w:linePitch="299"/>
        </w:sectPr>
      </w:pPr>
    </w:p>
    <w:p w:rsidR="00564536" w:rsidRPr="00072ED0" w:rsidRDefault="00564536" w:rsidP="00564536">
      <w:pPr>
        <w:pStyle w:val="Titrearticle"/>
        <w:jc w:val="left"/>
        <w:rPr>
          <w:rFonts w:asciiTheme="minorHAnsi" w:hAnsiTheme="minorHAnsi" w:cstheme="minorHAnsi"/>
          <w:b/>
          <w:noProof/>
          <w:szCs w:val="24"/>
          <w:u w:val="single"/>
        </w:rPr>
      </w:pPr>
      <w:r w:rsidRPr="00072ED0">
        <w:rPr>
          <w:rFonts w:asciiTheme="minorHAnsi" w:hAnsiTheme="minorHAnsi" w:cstheme="minorHAnsi"/>
          <w:b/>
          <w:noProof/>
          <w:szCs w:val="24"/>
          <w:u w:val="single"/>
        </w:rPr>
        <w:t>Allegato 1</w:t>
      </w:r>
    </w:p>
    <w:p w:rsidR="00564536" w:rsidRPr="00072ED0" w:rsidRDefault="00564536" w:rsidP="00564536">
      <w:pPr>
        <w:jc w:val="both"/>
        <w:rPr>
          <w:rFonts w:asciiTheme="minorHAnsi" w:hAnsiTheme="minorHAnsi" w:cstheme="minorHAnsi"/>
          <w:b/>
          <w:noProof/>
          <w:sz w:val="24"/>
          <w:szCs w:val="24"/>
          <w:u w:val="single"/>
          <w:lang w:eastAsia="it-IT" w:bidi="it-IT"/>
        </w:rPr>
      </w:pPr>
      <w:r w:rsidRPr="00072ED0">
        <w:rPr>
          <w:rFonts w:asciiTheme="minorHAnsi" w:hAnsiTheme="minorHAnsi" w:cstheme="minorHAnsi"/>
          <w:b/>
          <w:noProof/>
          <w:sz w:val="24"/>
          <w:szCs w:val="24"/>
          <w:u w:val="single"/>
          <w:lang w:eastAsia="it-IT" w:bidi="it-IT"/>
        </w:rPr>
        <w:t xml:space="preserve">Elenco degli </w:t>
      </w:r>
      <w:r w:rsidR="00AC0094">
        <w:rPr>
          <w:rFonts w:asciiTheme="minorHAnsi" w:hAnsiTheme="minorHAnsi" w:cstheme="minorHAnsi"/>
          <w:b/>
          <w:noProof/>
          <w:sz w:val="24"/>
          <w:szCs w:val="24"/>
          <w:u w:val="single"/>
          <w:lang w:eastAsia="it-IT" w:bidi="it-IT"/>
        </w:rPr>
        <w:t>Obiettivi S</w:t>
      </w:r>
      <w:r w:rsidRPr="00072ED0">
        <w:rPr>
          <w:rFonts w:asciiTheme="minorHAnsi" w:hAnsiTheme="minorHAnsi" w:cstheme="minorHAnsi"/>
          <w:b/>
          <w:noProof/>
          <w:sz w:val="24"/>
          <w:szCs w:val="24"/>
          <w:u w:val="single"/>
          <w:lang w:eastAsia="it-IT" w:bidi="it-IT"/>
        </w:rPr>
        <w:t xml:space="preserve">pecifici, come indicati nelle proposte </w:t>
      </w:r>
      <w:r w:rsidR="00CB6E4B">
        <w:rPr>
          <w:rFonts w:asciiTheme="minorHAnsi" w:hAnsiTheme="minorHAnsi" w:cstheme="minorHAnsi"/>
          <w:b/>
          <w:noProof/>
          <w:sz w:val="24"/>
          <w:szCs w:val="24"/>
          <w:u w:val="single"/>
          <w:lang w:eastAsia="it-IT" w:bidi="it-IT"/>
        </w:rPr>
        <w:t xml:space="preserve">di </w:t>
      </w:r>
      <w:r w:rsidR="009071C8">
        <w:rPr>
          <w:rFonts w:asciiTheme="minorHAnsi" w:hAnsiTheme="minorHAnsi" w:cstheme="minorHAnsi"/>
          <w:b/>
          <w:noProof/>
          <w:sz w:val="24"/>
          <w:szCs w:val="24"/>
          <w:u w:val="single"/>
          <w:lang w:eastAsia="it-IT" w:bidi="it-IT"/>
        </w:rPr>
        <w:t>r</w:t>
      </w:r>
      <w:r w:rsidR="00CB6E4B">
        <w:rPr>
          <w:rFonts w:asciiTheme="minorHAnsi" w:hAnsiTheme="minorHAnsi" w:cstheme="minorHAnsi"/>
          <w:b/>
          <w:noProof/>
          <w:sz w:val="24"/>
          <w:szCs w:val="24"/>
          <w:u w:val="single"/>
          <w:lang w:eastAsia="it-IT" w:bidi="it-IT"/>
        </w:rPr>
        <w:t xml:space="preserve">egolamenti </w:t>
      </w:r>
      <w:r w:rsidRPr="00072ED0">
        <w:rPr>
          <w:rFonts w:asciiTheme="minorHAnsi" w:hAnsiTheme="minorHAnsi" w:cstheme="minorHAnsi"/>
          <w:b/>
          <w:noProof/>
          <w:sz w:val="24"/>
          <w:szCs w:val="24"/>
          <w:u w:val="single"/>
          <w:lang w:eastAsia="it-IT" w:bidi="it-IT"/>
        </w:rPr>
        <w:t>della Commissione COM(2018)372</w:t>
      </w:r>
      <w:r w:rsidR="00CB6E4B">
        <w:rPr>
          <w:rFonts w:asciiTheme="minorHAnsi" w:hAnsiTheme="minorHAnsi" w:cstheme="minorHAnsi"/>
          <w:b/>
          <w:noProof/>
          <w:sz w:val="24"/>
          <w:szCs w:val="24"/>
          <w:u w:val="single"/>
          <w:lang w:eastAsia="it-IT" w:bidi="it-IT"/>
        </w:rPr>
        <w:t xml:space="preserve"> (FESR</w:t>
      </w:r>
      <w:r w:rsidR="009071C8">
        <w:rPr>
          <w:rFonts w:asciiTheme="minorHAnsi" w:hAnsiTheme="minorHAnsi" w:cstheme="minorHAnsi"/>
          <w:b/>
          <w:noProof/>
          <w:sz w:val="24"/>
          <w:szCs w:val="24"/>
          <w:u w:val="single"/>
          <w:lang w:eastAsia="it-IT" w:bidi="it-IT"/>
        </w:rPr>
        <w:t>/</w:t>
      </w:r>
      <w:r w:rsidR="009D51FE">
        <w:rPr>
          <w:rFonts w:asciiTheme="minorHAnsi" w:hAnsiTheme="minorHAnsi" w:cstheme="minorHAnsi"/>
          <w:b/>
          <w:noProof/>
          <w:sz w:val="24"/>
          <w:szCs w:val="24"/>
          <w:u w:val="single"/>
          <w:lang w:eastAsia="it-IT" w:bidi="it-IT"/>
        </w:rPr>
        <w:t>FC</w:t>
      </w:r>
      <w:r w:rsidR="00CB6E4B">
        <w:rPr>
          <w:rFonts w:asciiTheme="minorHAnsi" w:hAnsiTheme="minorHAnsi" w:cstheme="minorHAnsi"/>
          <w:b/>
          <w:noProof/>
          <w:sz w:val="24"/>
          <w:szCs w:val="24"/>
          <w:u w:val="single"/>
          <w:lang w:eastAsia="it-IT" w:bidi="it-IT"/>
        </w:rPr>
        <w:t>)</w:t>
      </w:r>
      <w:r w:rsidRPr="00072ED0">
        <w:rPr>
          <w:rFonts w:asciiTheme="minorHAnsi" w:hAnsiTheme="minorHAnsi" w:cstheme="minorHAnsi"/>
          <w:b/>
          <w:noProof/>
          <w:sz w:val="24"/>
          <w:szCs w:val="24"/>
          <w:u w:val="single"/>
          <w:lang w:eastAsia="it-IT" w:bidi="it-IT"/>
        </w:rPr>
        <w:t>, COM(2018)382</w:t>
      </w:r>
      <w:r w:rsidR="00CB6E4B">
        <w:rPr>
          <w:rFonts w:asciiTheme="minorHAnsi" w:hAnsiTheme="minorHAnsi" w:cstheme="minorHAnsi"/>
          <w:b/>
          <w:noProof/>
          <w:sz w:val="24"/>
          <w:szCs w:val="24"/>
          <w:u w:val="single"/>
          <w:lang w:eastAsia="it-IT" w:bidi="it-IT"/>
        </w:rPr>
        <w:t xml:space="preserve"> (FSE+)</w:t>
      </w:r>
      <w:r w:rsidR="00140E3E">
        <w:rPr>
          <w:rStyle w:val="Rimandonotaapidipagina"/>
          <w:rFonts w:asciiTheme="minorHAnsi" w:hAnsiTheme="minorHAnsi" w:cstheme="minorHAnsi"/>
          <w:b/>
          <w:noProof/>
          <w:sz w:val="24"/>
          <w:szCs w:val="24"/>
          <w:u w:val="single"/>
          <w:lang w:eastAsia="it-IT" w:bidi="it-IT"/>
        </w:rPr>
        <w:footnoteReference w:id="4"/>
      </w:r>
    </w:p>
    <w:p w:rsidR="00564536" w:rsidRPr="0000282C" w:rsidRDefault="00564536" w:rsidP="0000282C">
      <w:pPr>
        <w:pStyle w:val="Titrearticle"/>
        <w:keepNext w:val="0"/>
        <w:spacing w:before="120"/>
        <w:jc w:val="left"/>
        <w:rPr>
          <w:rFonts w:asciiTheme="minorHAnsi" w:hAnsiTheme="minorHAnsi" w:cstheme="minorHAnsi"/>
          <w:i w:val="0"/>
          <w:noProof/>
          <w:szCs w:val="24"/>
        </w:rPr>
      </w:pPr>
      <w:r w:rsidRPr="0000282C">
        <w:rPr>
          <w:rFonts w:asciiTheme="minorHAnsi" w:hAnsiTheme="minorHAnsi" w:cstheme="minorHAnsi"/>
          <w:i w:val="0"/>
          <w:noProof/>
          <w:szCs w:val="24"/>
        </w:rPr>
        <w:t xml:space="preserve">Obiettivi </w:t>
      </w:r>
      <w:r w:rsidR="00B35C94">
        <w:rPr>
          <w:rFonts w:asciiTheme="minorHAnsi" w:hAnsiTheme="minorHAnsi" w:cstheme="minorHAnsi"/>
          <w:i w:val="0"/>
          <w:noProof/>
          <w:szCs w:val="24"/>
        </w:rPr>
        <w:t>S</w:t>
      </w:r>
      <w:r w:rsidRPr="0000282C">
        <w:rPr>
          <w:rFonts w:asciiTheme="minorHAnsi" w:hAnsiTheme="minorHAnsi" w:cstheme="minorHAnsi"/>
          <w:i w:val="0"/>
          <w:noProof/>
          <w:szCs w:val="24"/>
        </w:rPr>
        <w:t>pecifici per il FESR e il Fondo di coesione</w:t>
      </w:r>
      <w:r w:rsidR="003E51A2" w:rsidRPr="0000282C">
        <w:rPr>
          <w:rFonts w:asciiTheme="minorHAnsi" w:hAnsiTheme="minorHAnsi" w:cstheme="minorHAnsi"/>
          <w:i w:val="0"/>
          <w:noProof/>
          <w:szCs w:val="24"/>
        </w:rPr>
        <w:t xml:space="preserve"> </w:t>
      </w:r>
      <w:r w:rsidR="00072ED0" w:rsidRPr="0000282C">
        <w:rPr>
          <w:rFonts w:asciiTheme="minorHAnsi" w:hAnsiTheme="minorHAnsi" w:cstheme="minorHAnsi"/>
          <w:i w:val="0"/>
          <w:noProof/>
          <w:szCs w:val="24"/>
        </w:rPr>
        <w:t>(</w:t>
      </w:r>
      <w:r w:rsidR="003E51A2" w:rsidRPr="0000282C">
        <w:rPr>
          <w:rFonts w:asciiTheme="minorHAnsi" w:hAnsiTheme="minorHAnsi" w:cstheme="minorHAnsi"/>
          <w:i w:val="0"/>
          <w:noProof/>
          <w:szCs w:val="24"/>
        </w:rPr>
        <w:t>Articolo 2 Regolamento FESR</w:t>
      </w:r>
      <w:r w:rsidR="00072ED0" w:rsidRPr="0000282C">
        <w:rPr>
          <w:rFonts w:asciiTheme="minorHAnsi" w:hAnsiTheme="minorHAnsi" w:cstheme="minorHAnsi"/>
          <w:i w:val="0"/>
          <w:noProof/>
          <w:szCs w:val="24"/>
        </w:rPr>
        <w:t>)</w:t>
      </w:r>
    </w:p>
    <w:p w:rsidR="00072ED0" w:rsidRPr="0000282C" w:rsidRDefault="00B35C94" w:rsidP="0000282C">
      <w:pPr>
        <w:pStyle w:val="Titrearticle"/>
        <w:keepNext w:val="0"/>
        <w:spacing w:before="120"/>
        <w:jc w:val="both"/>
        <w:rPr>
          <w:rFonts w:asciiTheme="minorHAnsi" w:hAnsiTheme="minorHAnsi" w:cstheme="minorHAnsi"/>
          <w:i w:val="0"/>
          <w:noProof/>
          <w:szCs w:val="24"/>
        </w:rPr>
      </w:pPr>
      <w:r>
        <w:rPr>
          <w:rFonts w:asciiTheme="minorHAnsi" w:hAnsiTheme="minorHAnsi" w:cstheme="minorHAnsi"/>
          <w:i w:val="0"/>
          <w:noProof/>
          <w:szCs w:val="24"/>
        </w:rPr>
        <w:t>Obiettivi S</w:t>
      </w:r>
      <w:r w:rsidR="00072ED0" w:rsidRPr="0000282C">
        <w:rPr>
          <w:rFonts w:asciiTheme="minorHAnsi" w:hAnsiTheme="minorHAnsi" w:cstheme="minorHAnsi"/>
          <w:i w:val="0"/>
          <w:noProof/>
          <w:szCs w:val="24"/>
        </w:rPr>
        <w:t>pecifici per il FSE+ (Articolo 4 Regolamento FSE+)</w:t>
      </w:r>
    </w:p>
    <w:p w:rsidR="000A7DDB" w:rsidRPr="009D6508" w:rsidRDefault="000A7DDB">
      <w:pPr>
        <w:suppressAutoHyphens w:val="0"/>
        <w:rPr>
          <w:rFonts w:asciiTheme="minorHAnsi" w:hAnsiTheme="minorHAnsi" w:cstheme="minorHAnsi"/>
          <w:sz w:val="20"/>
          <w:szCs w:val="20"/>
        </w:rPr>
      </w:pPr>
    </w:p>
    <w:tbl>
      <w:tblPr>
        <w:tblStyle w:val="Grigliatabella"/>
        <w:tblW w:w="10175" w:type="dxa"/>
        <w:tblLook w:val="04A0" w:firstRow="1" w:lastRow="0" w:firstColumn="1" w:lastColumn="0" w:noHBand="0" w:noVBand="1"/>
      </w:tblPr>
      <w:tblGrid>
        <w:gridCol w:w="665"/>
        <w:gridCol w:w="2114"/>
        <w:gridCol w:w="663"/>
        <w:gridCol w:w="5625"/>
        <w:gridCol w:w="1108"/>
      </w:tblGrid>
      <w:tr w:rsidR="00EF4F49" w:rsidRPr="009D6508" w:rsidTr="00232E0E">
        <w:trPr>
          <w:trHeight w:val="357"/>
          <w:tblHeader/>
        </w:trPr>
        <w:tc>
          <w:tcPr>
            <w:tcW w:w="2779" w:type="dxa"/>
            <w:gridSpan w:val="2"/>
            <w:hideMark/>
          </w:tcPr>
          <w:p w:rsidR="00EF4F49" w:rsidRPr="009D6508" w:rsidRDefault="00EF4F49" w:rsidP="00EF4F49">
            <w:pPr>
              <w:jc w:val="center"/>
              <w:rPr>
                <w:rFonts w:cstheme="minorHAnsi"/>
                <w:b/>
                <w:bCs/>
                <w:sz w:val="20"/>
                <w:szCs w:val="20"/>
              </w:rPr>
            </w:pPr>
            <w:r w:rsidRPr="009D6508">
              <w:rPr>
                <w:rFonts w:cstheme="minorHAnsi"/>
                <w:b/>
                <w:bCs/>
                <w:sz w:val="20"/>
                <w:szCs w:val="20"/>
              </w:rPr>
              <w:t>Obiettivo di Policy</w:t>
            </w:r>
          </w:p>
        </w:tc>
        <w:tc>
          <w:tcPr>
            <w:tcW w:w="6288" w:type="dxa"/>
            <w:gridSpan w:val="2"/>
            <w:hideMark/>
          </w:tcPr>
          <w:p w:rsidR="00EF4F49" w:rsidRPr="009D6508" w:rsidRDefault="00EF4F49" w:rsidP="00EF4F49">
            <w:pPr>
              <w:jc w:val="center"/>
              <w:rPr>
                <w:rFonts w:cstheme="minorHAnsi"/>
                <w:b/>
                <w:bCs/>
                <w:sz w:val="20"/>
                <w:szCs w:val="20"/>
              </w:rPr>
            </w:pPr>
            <w:r w:rsidRPr="009D6508">
              <w:rPr>
                <w:rFonts w:cstheme="minorHAnsi"/>
                <w:b/>
                <w:bCs/>
                <w:sz w:val="20"/>
                <w:szCs w:val="20"/>
              </w:rPr>
              <w:t>Obiettivo Specifico</w:t>
            </w:r>
          </w:p>
        </w:tc>
        <w:tc>
          <w:tcPr>
            <w:tcW w:w="1108" w:type="dxa"/>
            <w:hideMark/>
          </w:tcPr>
          <w:p w:rsidR="00EF4F49" w:rsidRPr="009D6508" w:rsidRDefault="00EF4F49" w:rsidP="00EF4F49">
            <w:pPr>
              <w:jc w:val="center"/>
              <w:rPr>
                <w:rFonts w:cstheme="minorHAnsi"/>
                <w:b/>
                <w:bCs/>
                <w:sz w:val="20"/>
                <w:szCs w:val="20"/>
              </w:rPr>
            </w:pPr>
            <w:r w:rsidRPr="009D6508">
              <w:rPr>
                <w:rFonts w:cstheme="minorHAnsi"/>
                <w:b/>
                <w:bCs/>
                <w:sz w:val="20"/>
                <w:szCs w:val="20"/>
              </w:rPr>
              <w:t>FONDO</w:t>
            </w:r>
          </w:p>
        </w:tc>
      </w:tr>
      <w:tr w:rsidR="0043471C" w:rsidRPr="009D6508" w:rsidTr="00232E0E">
        <w:trPr>
          <w:trHeight w:val="310"/>
          <w:tblHeader/>
        </w:trPr>
        <w:tc>
          <w:tcPr>
            <w:tcW w:w="665" w:type="dxa"/>
          </w:tcPr>
          <w:p w:rsidR="0043471C" w:rsidRPr="009D6508" w:rsidRDefault="009A2332" w:rsidP="00EF4F49">
            <w:pPr>
              <w:jc w:val="center"/>
              <w:rPr>
                <w:rFonts w:cstheme="minorHAnsi"/>
                <w:b/>
                <w:bCs/>
                <w:sz w:val="20"/>
                <w:szCs w:val="20"/>
              </w:rPr>
            </w:pPr>
            <w:r w:rsidRPr="009D6508">
              <w:rPr>
                <w:rFonts w:cstheme="minorHAnsi"/>
                <w:b/>
                <w:bCs/>
                <w:sz w:val="20"/>
                <w:szCs w:val="20"/>
              </w:rPr>
              <w:t>Cod.</w:t>
            </w:r>
          </w:p>
        </w:tc>
        <w:tc>
          <w:tcPr>
            <w:tcW w:w="2114" w:type="dxa"/>
          </w:tcPr>
          <w:p w:rsidR="0043471C" w:rsidRPr="009D6508" w:rsidRDefault="0043471C" w:rsidP="00EF4F49">
            <w:pPr>
              <w:jc w:val="center"/>
              <w:rPr>
                <w:rFonts w:cstheme="minorHAnsi"/>
                <w:b/>
                <w:bCs/>
                <w:sz w:val="20"/>
                <w:szCs w:val="20"/>
              </w:rPr>
            </w:pPr>
            <w:r w:rsidRPr="009D6508">
              <w:rPr>
                <w:rFonts w:cstheme="minorHAnsi"/>
                <w:b/>
                <w:bCs/>
                <w:sz w:val="20"/>
                <w:szCs w:val="20"/>
              </w:rPr>
              <w:t>titolo</w:t>
            </w:r>
          </w:p>
        </w:tc>
        <w:tc>
          <w:tcPr>
            <w:tcW w:w="663" w:type="dxa"/>
          </w:tcPr>
          <w:p w:rsidR="0043471C" w:rsidRPr="009D6508" w:rsidRDefault="009A2332" w:rsidP="00EF4F49">
            <w:pPr>
              <w:jc w:val="center"/>
              <w:rPr>
                <w:rFonts w:cstheme="minorHAnsi"/>
                <w:b/>
                <w:bCs/>
                <w:sz w:val="20"/>
                <w:szCs w:val="20"/>
              </w:rPr>
            </w:pPr>
            <w:r w:rsidRPr="009D6508">
              <w:rPr>
                <w:rFonts w:cstheme="minorHAnsi"/>
                <w:b/>
                <w:bCs/>
                <w:sz w:val="20"/>
                <w:szCs w:val="20"/>
              </w:rPr>
              <w:t>Cod.</w:t>
            </w:r>
          </w:p>
        </w:tc>
        <w:tc>
          <w:tcPr>
            <w:tcW w:w="5625" w:type="dxa"/>
          </w:tcPr>
          <w:p w:rsidR="0043471C" w:rsidRPr="009D6508" w:rsidRDefault="0043471C" w:rsidP="00EF4F49">
            <w:pPr>
              <w:jc w:val="center"/>
              <w:rPr>
                <w:rFonts w:cstheme="minorHAnsi"/>
                <w:b/>
                <w:bCs/>
                <w:sz w:val="20"/>
                <w:szCs w:val="20"/>
              </w:rPr>
            </w:pPr>
            <w:r w:rsidRPr="009D6508">
              <w:rPr>
                <w:rFonts w:cstheme="minorHAnsi"/>
                <w:b/>
                <w:bCs/>
                <w:sz w:val="20"/>
                <w:szCs w:val="20"/>
              </w:rPr>
              <w:t>titolo</w:t>
            </w:r>
          </w:p>
        </w:tc>
        <w:tc>
          <w:tcPr>
            <w:tcW w:w="1108" w:type="dxa"/>
          </w:tcPr>
          <w:p w:rsidR="0043471C" w:rsidRPr="009D6508" w:rsidRDefault="0043471C" w:rsidP="00EF4F49">
            <w:pPr>
              <w:jc w:val="center"/>
              <w:rPr>
                <w:rFonts w:cstheme="minorHAnsi"/>
                <w:b/>
                <w:bCs/>
                <w:sz w:val="20"/>
                <w:szCs w:val="20"/>
              </w:rPr>
            </w:pPr>
          </w:p>
        </w:tc>
      </w:tr>
      <w:tr w:rsidR="009A2332" w:rsidRPr="009D6508" w:rsidTr="009A2332">
        <w:trPr>
          <w:trHeight w:val="295"/>
        </w:trPr>
        <w:tc>
          <w:tcPr>
            <w:tcW w:w="665" w:type="dxa"/>
            <w:vMerge w:val="restart"/>
            <w:noWrap/>
            <w:hideMark/>
          </w:tcPr>
          <w:p w:rsidR="005B476B" w:rsidRPr="009D6508" w:rsidRDefault="005B476B" w:rsidP="00EF4F49">
            <w:pPr>
              <w:jc w:val="center"/>
              <w:rPr>
                <w:rFonts w:cstheme="minorHAnsi"/>
                <w:sz w:val="20"/>
                <w:szCs w:val="20"/>
              </w:rPr>
            </w:pPr>
            <w:r w:rsidRPr="009D6508">
              <w:rPr>
                <w:rFonts w:cstheme="minorHAnsi"/>
                <w:sz w:val="20"/>
                <w:szCs w:val="20"/>
              </w:rPr>
              <w:t>1</w:t>
            </w:r>
          </w:p>
        </w:tc>
        <w:tc>
          <w:tcPr>
            <w:tcW w:w="2114" w:type="dxa"/>
            <w:vMerge w:val="restart"/>
            <w:hideMark/>
          </w:tcPr>
          <w:p w:rsidR="005B476B" w:rsidRPr="009D6508" w:rsidRDefault="005B476B" w:rsidP="00EF4F49">
            <w:pPr>
              <w:rPr>
                <w:rFonts w:cstheme="minorHAnsi"/>
                <w:sz w:val="20"/>
                <w:szCs w:val="20"/>
              </w:rPr>
            </w:pPr>
            <w:r w:rsidRPr="009D6508">
              <w:rPr>
                <w:rFonts w:cstheme="minorHAnsi"/>
                <w:sz w:val="20"/>
                <w:szCs w:val="20"/>
              </w:rPr>
              <w:t>Europa più intelligente</w:t>
            </w: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a1</w:t>
            </w:r>
          </w:p>
        </w:tc>
        <w:tc>
          <w:tcPr>
            <w:tcW w:w="5625" w:type="dxa"/>
            <w:hideMark/>
          </w:tcPr>
          <w:p w:rsidR="005B476B" w:rsidRPr="009D6508" w:rsidRDefault="005B476B">
            <w:pPr>
              <w:rPr>
                <w:rFonts w:cstheme="minorHAnsi"/>
                <w:sz w:val="20"/>
                <w:szCs w:val="20"/>
              </w:rPr>
            </w:pPr>
            <w:r w:rsidRPr="009D6508">
              <w:rPr>
                <w:rFonts w:cstheme="minorHAnsi"/>
                <w:sz w:val="20"/>
                <w:szCs w:val="20"/>
              </w:rPr>
              <w:t>rafforzare le capacità di ricerca e di innovazione e l'introduzione di tecnologie avanzate</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200"/>
              <w:jc w:val="center"/>
              <w:rPr>
                <w:rFonts w:cstheme="minorHAnsi"/>
                <w:sz w:val="20"/>
                <w:szCs w:val="20"/>
              </w:rPr>
            </w:pPr>
            <w:r w:rsidRPr="009D6508">
              <w:rPr>
                <w:rFonts w:cstheme="minorHAnsi"/>
                <w:sz w:val="20"/>
                <w:szCs w:val="20"/>
              </w:rPr>
              <w:t>a2</w:t>
            </w:r>
          </w:p>
        </w:tc>
        <w:tc>
          <w:tcPr>
            <w:tcW w:w="5625" w:type="dxa"/>
            <w:hideMark/>
          </w:tcPr>
          <w:p w:rsidR="005B476B" w:rsidRPr="009D6508" w:rsidRDefault="005B476B">
            <w:pPr>
              <w:rPr>
                <w:rFonts w:cstheme="minorHAnsi"/>
                <w:sz w:val="20"/>
                <w:szCs w:val="20"/>
              </w:rPr>
            </w:pPr>
            <w:r w:rsidRPr="009D6508">
              <w:rPr>
                <w:rFonts w:cstheme="minorHAnsi"/>
                <w:sz w:val="20"/>
                <w:szCs w:val="20"/>
              </w:rPr>
              <w:t>permettere ai cittadini, alle imprese e alle amministrazioni pubbliche di cogliere i vantaggi della digitalizzazione</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a3</w:t>
            </w:r>
          </w:p>
        </w:tc>
        <w:tc>
          <w:tcPr>
            <w:tcW w:w="5625" w:type="dxa"/>
            <w:hideMark/>
          </w:tcPr>
          <w:p w:rsidR="005B476B" w:rsidRPr="009D6508" w:rsidRDefault="005B476B">
            <w:pPr>
              <w:rPr>
                <w:rFonts w:cstheme="minorHAnsi"/>
                <w:sz w:val="20"/>
                <w:szCs w:val="20"/>
              </w:rPr>
            </w:pPr>
            <w:r w:rsidRPr="009D6508">
              <w:rPr>
                <w:rFonts w:cstheme="minorHAnsi"/>
                <w:sz w:val="20"/>
                <w:szCs w:val="20"/>
              </w:rPr>
              <w:t>rafforzare la crescita e la competitività delle PMI</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240"/>
              <w:jc w:val="center"/>
              <w:rPr>
                <w:rFonts w:cstheme="minorHAnsi"/>
                <w:sz w:val="20"/>
                <w:szCs w:val="20"/>
              </w:rPr>
            </w:pPr>
            <w:r w:rsidRPr="009D6508">
              <w:rPr>
                <w:rFonts w:cstheme="minorHAnsi"/>
                <w:sz w:val="20"/>
                <w:szCs w:val="20"/>
              </w:rPr>
              <w:t>a4</w:t>
            </w:r>
          </w:p>
        </w:tc>
        <w:tc>
          <w:tcPr>
            <w:tcW w:w="5625" w:type="dxa"/>
            <w:hideMark/>
          </w:tcPr>
          <w:p w:rsidR="005B476B" w:rsidRPr="009D6508" w:rsidRDefault="005B476B">
            <w:pPr>
              <w:rPr>
                <w:rFonts w:cstheme="minorHAnsi"/>
                <w:sz w:val="20"/>
                <w:szCs w:val="20"/>
              </w:rPr>
            </w:pPr>
            <w:r w:rsidRPr="009D6508">
              <w:rPr>
                <w:rFonts w:cstheme="minorHAnsi"/>
                <w:sz w:val="20"/>
                <w:szCs w:val="20"/>
              </w:rPr>
              <w:t>sviluppare le competenze per la specializzazione intelligente, la transizione industriale e l'imprenditorialità</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val="restart"/>
            <w:noWrap/>
            <w:hideMark/>
          </w:tcPr>
          <w:p w:rsidR="005B476B" w:rsidRPr="009D6508" w:rsidRDefault="005B476B" w:rsidP="00EF4F49">
            <w:pPr>
              <w:jc w:val="center"/>
              <w:rPr>
                <w:rFonts w:cstheme="minorHAnsi"/>
                <w:sz w:val="20"/>
                <w:szCs w:val="20"/>
              </w:rPr>
            </w:pPr>
            <w:r w:rsidRPr="009D6508">
              <w:rPr>
                <w:rFonts w:cstheme="minorHAnsi"/>
                <w:sz w:val="20"/>
                <w:szCs w:val="20"/>
              </w:rPr>
              <w:t>2</w:t>
            </w:r>
          </w:p>
        </w:tc>
        <w:tc>
          <w:tcPr>
            <w:tcW w:w="2114" w:type="dxa"/>
            <w:vMerge w:val="restart"/>
            <w:hideMark/>
          </w:tcPr>
          <w:p w:rsidR="005B476B" w:rsidRPr="009D6508" w:rsidRDefault="005B476B">
            <w:pPr>
              <w:rPr>
                <w:rFonts w:cstheme="minorHAnsi"/>
                <w:sz w:val="20"/>
                <w:szCs w:val="20"/>
              </w:rPr>
            </w:pPr>
            <w:r w:rsidRPr="009D6508">
              <w:rPr>
                <w:rFonts w:cstheme="minorHAnsi"/>
                <w:sz w:val="20"/>
                <w:szCs w:val="20"/>
              </w:rPr>
              <w:t>Europa più verde</w:t>
            </w: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b1</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misure di efficienza energetica</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b2</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le energie rinnovabili</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b3</w:t>
            </w:r>
          </w:p>
        </w:tc>
        <w:tc>
          <w:tcPr>
            <w:tcW w:w="5625" w:type="dxa"/>
            <w:hideMark/>
          </w:tcPr>
          <w:p w:rsidR="005B476B" w:rsidRPr="009D6508" w:rsidRDefault="005B476B">
            <w:pPr>
              <w:rPr>
                <w:rFonts w:cstheme="minorHAnsi"/>
                <w:sz w:val="20"/>
                <w:szCs w:val="20"/>
              </w:rPr>
            </w:pPr>
            <w:r w:rsidRPr="009D6508">
              <w:rPr>
                <w:rFonts w:cstheme="minorHAnsi"/>
                <w:sz w:val="20"/>
                <w:szCs w:val="20"/>
              </w:rPr>
              <w:t>sviluppare sistemi, reti e impianti di stoccaggio energetici intelligenti a livello locale</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b4</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l'adattamento ai cambiamenti climatici, la prevenzione dei rischi e la resilienza alle catastrofi</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b5</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 gestione sostenibile dell'acqua</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b6</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 transizione verso un'economia circolare</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b7</w:t>
            </w:r>
          </w:p>
        </w:tc>
        <w:tc>
          <w:tcPr>
            <w:tcW w:w="5625" w:type="dxa"/>
            <w:hideMark/>
          </w:tcPr>
          <w:p w:rsidR="005B476B" w:rsidRPr="009D6508" w:rsidRDefault="005B476B">
            <w:pPr>
              <w:rPr>
                <w:rFonts w:cstheme="minorHAnsi"/>
                <w:sz w:val="20"/>
                <w:szCs w:val="20"/>
              </w:rPr>
            </w:pPr>
            <w:r w:rsidRPr="009D6508">
              <w:rPr>
                <w:rFonts w:cstheme="minorHAnsi"/>
                <w:sz w:val="20"/>
                <w:szCs w:val="20"/>
              </w:rPr>
              <w:t>rafforzare la biodiversità, le infrastrutture verdi nell'ambiente urbano e ridurre l'inquinamento</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val="restart"/>
            <w:noWrap/>
            <w:hideMark/>
          </w:tcPr>
          <w:p w:rsidR="005B476B" w:rsidRPr="009D6508" w:rsidRDefault="005B476B" w:rsidP="00EF4F49">
            <w:pPr>
              <w:jc w:val="center"/>
              <w:rPr>
                <w:rFonts w:cstheme="minorHAnsi"/>
                <w:sz w:val="20"/>
                <w:szCs w:val="20"/>
              </w:rPr>
            </w:pPr>
            <w:r w:rsidRPr="009D6508">
              <w:rPr>
                <w:rFonts w:cstheme="minorHAnsi"/>
                <w:sz w:val="20"/>
                <w:szCs w:val="20"/>
              </w:rPr>
              <w:t>3</w:t>
            </w:r>
          </w:p>
        </w:tc>
        <w:tc>
          <w:tcPr>
            <w:tcW w:w="2114" w:type="dxa"/>
            <w:vMerge w:val="restart"/>
            <w:hideMark/>
          </w:tcPr>
          <w:p w:rsidR="005B476B" w:rsidRPr="009D6508" w:rsidRDefault="005B476B" w:rsidP="00937ED8">
            <w:pPr>
              <w:rPr>
                <w:rFonts w:cstheme="minorHAnsi"/>
                <w:sz w:val="20"/>
                <w:szCs w:val="20"/>
              </w:rPr>
            </w:pPr>
            <w:r w:rsidRPr="009D6508">
              <w:rPr>
                <w:rFonts w:cstheme="minorHAnsi"/>
                <w:sz w:val="20"/>
                <w:szCs w:val="20"/>
              </w:rPr>
              <w:t>Europa più connessa</w:t>
            </w:r>
          </w:p>
        </w:tc>
        <w:tc>
          <w:tcPr>
            <w:tcW w:w="663" w:type="dxa"/>
            <w:noWrap/>
            <w:hideMark/>
          </w:tcPr>
          <w:p w:rsidR="005B476B" w:rsidRPr="009D6508" w:rsidRDefault="005B476B" w:rsidP="00EF4F49">
            <w:pPr>
              <w:jc w:val="center"/>
              <w:rPr>
                <w:rFonts w:cstheme="minorHAnsi"/>
                <w:sz w:val="20"/>
                <w:szCs w:val="20"/>
              </w:rPr>
            </w:pPr>
            <w:r w:rsidRPr="009D6508">
              <w:rPr>
                <w:rFonts w:cstheme="minorHAnsi"/>
                <w:sz w:val="20"/>
                <w:szCs w:val="20"/>
              </w:rPr>
              <w:t>c1</w:t>
            </w:r>
          </w:p>
        </w:tc>
        <w:tc>
          <w:tcPr>
            <w:tcW w:w="5625" w:type="dxa"/>
            <w:hideMark/>
          </w:tcPr>
          <w:p w:rsidR="005B476B" w:rsidRPr="009D6508" w:rsidRDefault="005B476B">
            <w:pPr>
              <w:rPr>
                <w:rFonts w:cstheme="minorHAnsi"/>
                <w:sz w:val="20"/>
                <w:szCs w:val="20"/>
              </w:rPr>
            </w:pPr>
            <w:r w:rsidRPr="009D6508">
              <w:rPr>
                <w:rFonts w:cstheme="minorHAnsi"/>
                <w:sz w:val="20"/>
                <w:szCs w:val="20"/>
              </w:rPr>
              <w:t>rafforzare la connettività digitale</w:t>
            </w:r>
          </w:p>
        </w:tc>
        <w:tc>
          <w:tcPr>
            <w:tcW w:w="1108" w:type="dxa"/>
            <w:noWrap/>
            <w:hideMark/>
          </w:tcPr>
          <w:p w:rsidR="005B476B" w:rsidRPr="009D6508" w:rsidRDefault="005B476B" w:rsidP="00EF4F49">
            <w:pPr>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rsidP="00937ED8">
            <w:pPr>
              <w:rPr>
                <w:rFonts w:cstheme="minorHAnsi"/>
                <w:sz w:val="20"/>
                <w:szCs w:val="20"/>
              </w:rPr>
            </w:pPr>
          </w:p>
        </w:tc>
        <w:tc>
          <w:tcPr>
            <w:tcW w:w="663" w:type="dxa"/>
            <w:noWrap/>
            <w:hideMark/>
          </w:tcPr>
          <w:p w:rsidR="005B476B" w:rsidRPr="009D6508" w:rsidRDefault="005B476B" w:rsidP="009A2332">
            <w:pPr>
              <w:spacing w:before="240"/>
              <w:jc w:val="center"/>
              <w:rPr>
                <w:rFonts w:cstheme="minorHAnsi"/>
                <w:sz w:val="20"/>
                <w:szCs w:val="20"/>
              </w:rPr>
            </w:pPr>
            <w:r w:rsidRPr="009D6508">
              <w:rPr>
                <w:rFonts w:cstheme="minorHAnsi"/>
                <w:sz w:val="20"/>
                <w:szCs w:val="20"/>
              </w:rPr>
              <w:t>c2</w:t>
            </w:r>
          </w:p>
        </w:tc>
        <w:tc>
          <w:tcPr>
            <w:tcW w:w="5625" w:type="dxa"/>
            <w:hideMark/>
          </w:tcPr>
          <w:p w:rsidR="005B476B" w:rsidRPr="009D6508" w:rsidRDefault="005B476B">
            <w:pPr>
              <w:rPr>
                <w:rFonts w:cstheme="minorHAnsi"/>
                <w:sz w:val="20"/>
                <w:szCs w:val="20"/>
              </w:rPr>
            </w:pPr>
            <w:r w:rsidRPr="009D6508">
              <w:rPr>
                <w:rFonts w:cstheme="minorHAnsi"/>
                <w:sz w:val="20"/>
                <w:szCs w:val="20"/>
              </w:rPr>
              <w:t>sviluppare una rete TEN-T intermodale, sicura, intelligente, resiliente ai cambiamenti climatici e sostenibile</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539"/>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360"/>
              <w:jc w:val="center"/>
              <w:rPr>
                <w:rFonts w:cstheme="minorHAnsi"/>
                <w:sz w:val="20"/>
                <w:szCs w:val="20"/>
              </w:rPr>
            </w:pPr>
            <w:r w:rsidRPr="009D6508">
              <w:rPr>
                <w:rFonts w:cstheme="minorHAnsi"/>
                <w:sz w:val="20"/>
                <w:szCs w:val="20"/>
              </w:rPr>
              <w:t>c3</w:t>
            </w:r>
          </w:p>
        </w:tc>
        <w:tc>
          <w:tcPr>
            <w:tcW w:w="5625" w:type="dxa"/>
            <w:hideMark/>
          </w:tcPr>
          <w:p w:rsidR="005B476B" w:rsidRPr="009D6508" w:rsidRDefault="005B476B">
            <w:pPr>
              <w:rPr>
                <w:rFonts w:cstheme="minorHAnsi"/>
                <w:sz w:val="20"/>
                <w:szCs w:val="20"/>
              </w:rPr>
            </w:pPr>
            <w:r w:rsidRPr="009D6508">
              <w:rPr>
                <w:rFonts w:cstheme="minorHAnsi"/>
                <w:sz w:val="20"/>
                <w:szCs w:val="20"/>
              </w:rPr>
              <w:t>sviluppare una mobilità locale, regionale e nazionale, intelligente, intermodale, resiliente ai cambiamenti climatici e sostenibile, migliorando l'accesso alla rete TEN-T e la mobilità transfrontaliera</w:t>
            </w:r>
          </w:p>
        </w:tc>
        <w:tc>
          <w:tcPr>
            <w:tcW w:w="1108" w:type="dxa"/>
            <w:noWrap/>
            <w:hideMark/>
          </w:tcPr>
          <w:p w:rsidR="005B476B" w:rsidRPr="009D6508" w:rsidRDefault="005B476B" w:rsidP="004573E8">
            <w:pPr>
              <w:spacing w:before="360"/>
              <w:jc w:val="center"/>
              <w:rPr>
                <w:rFonts w:cstheme="minorHAnsi"/>
                <w:sz w:val="20"/>
                <w:szCs w:val="20"/>
              </w:rPr>
            </w:pPr>
            <w:r w:rsidRPr="009D6508">
              <w:rPr>
                <w:rFonts w:cstheme="minorHAnsi"/>
                <w:sz w:val="20"/>
                <w:szCs w:val="20"/>
              </w:rPr>
              <w:t>FESR</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c4</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 mobilità urbana multimodale sostenibile</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FESR</w:t>
            </w:r>
          </w:p>
        </w:tc>
      </w:tr>
      <w:tr w:rsidR="009A2332" w:rsidRPr="009D6508" w:rsidTr="009A2332">
        <w:trPr>
          <w:trHeight w:val="586"/>
        </w:trPr>
        <w:tc>
          <w:tcPr>
            <w:tcW w:w="665" w:type="dxa"/>
            <w:vMerge w:val="restart"/>
            <w:noWrap/>
            <w:hideMark/>
          </w:tcPr>
          <w:p w:rsidR="005B476B" w:rsidRPr="009D6508" w:rsidRDefault="005B476B" w:rsidP="00EF4F49">
            <w:pPr>
              <w:jc w:val="center"/>
              <w:rPr>
                <w:rFonts w:cstheme="minorHAnsi"/>
                <w:sz w:val="20"/>
                <w:szCs w:val="20"/>
              </w:rPr>
            </w:pPr>
            <w:r w:rsidRPr="009D6508">
              <w:rPr>
                <w:rFonts w:cstheme="minorHAnsi"/>
                <w:sz w:val="20"/>
                <w:szCs w:val="20"/>
              </w:rPr>
              <w:t>4</w:t>
            </w:r>
          </w:p>
        </w:tc>
        <w:tc>
          <w:tcPr>
            <w:tcW w:w="2114" w:type="dxa"/>
            <w:vMerge w:val="restart"/>
            <w:hideMark/>
          </w:tcPr>
          <w:p w:rsidR="005B476B" w:rsidRPr="009D6508" w:rsidRDefault="005B476B">
            <w:pPr>
              <w:rPr>
                <w:rFonts w:cstheme="minorHAnsi"/>
                <w:sz w:val="20"/>
                <w:szCs w:val="20"/>
              </w:rPr>
            </w:pPr>
            <w:r w:rsidRPr="009D6508">
              <w:rPr>
                <w:rFonts w:cstheme="minorHAnsi"/>
                <w:sz w:val="20"/>
                <w:szCs w:val="20"/>
              </w:rPr>
              <w:t>Europa più sociale</w:t>
            </w:r>
          </w:p>
        </w:tc>
        <w:tc>
          <w:tcPr>
            <w:tcW w:w="663" w:type="dxa"/>
            <w:noWrap/>
            <w:hideMark/>
          </w:tcPr>
          <w:p w:rsidR="005B476B" w:rsidRPr="009D6508" w:rsidRDefault="005B476B" w:rsidP="009A2332">
            <w:pPr>
              <w:spacing w:before="240"/>
              <w:jc w:val="center"/>
              <w:rPr>
                <w:rFonts w:cstheme="minorHAnsi"/>
                <w:sz w:val="20"/>
                <w:szCs w:val="20"/>
              </w:rPr>
            </w:pPr>
            <w:r w:rsidRPr="009D6508">
              <w:rPr>
                <w:rFonts w:cstheme="minorHAnsi"/>
                <w:sz w:val="20"/>
                <w:szCs w:val="20"/>
              </w:rPr>
              <w:t>d1</w:t>
            </w:r>
          </w:p>
        </w:tc>
        <w:tc>
          <w:tcPr>
            <w:tcW w:w="5625" w:type="dxa"/>
            <w:hideMark/>
          </w:tcPr>
          <w:p w:rsidR="005B476B" w:rsidRPr="009D6508" w:rsidRDefault="005B476B">
            <w:pPr>
              <w:rPr>
                <w:rFonts w:cstheme="minorHAnsi"/>
                <w:sz w:val="20"/>
                <w:szCs w:val="20"/>
              </w:rPr>
            </w:pPr>
            <w:r w:rsidRPr="009D6508">
              <w:rPr>
                <w:rFonts w:cstheme="minorHAnsi"/>
                <w:sz w:val="20"/>
                <w:szCs w:val="20"/>
              </w:rPr>
              <w:t>rafforzare l'efficacia dei mercati del lavoro e l'accesso a un'occupazione di qualità, mediante lo sviluppo dell'innovazione e delle infrastrutture sociali</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586"/>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d2</w:t>
            </w:r>
          </w:p>
        </w:tc>
        <w:tc>
          <w:tcPr>
            <w:tcW w:w="5625" w:type="dxa"/>
            <w:hideMark/>
          </w:tcPr>
          <w:p w:rsidR="005B476B" w:rsidRPr="009D6508" w:rsidRDefault="005B476B">
            <w:pPr>
              <w:rPr>
                <w:rFonts w:cstheme="minorHAnsi"/>
                <w:sz w:val="20"/>
                <w:szCs w:val="20"/>
              </w:rPr>
            </w:pPr>
            <w:r w:rsidRPr="009D6508">
              <w:rPr>
                <w:rFonts w:cstheme="minorHAnsi"/>
                <w:sz w:val="20"/>
                <w:szCs w:val="20"/>
              </w:rPr>
              <w:t>migliorare l'accesso a servizi di qualità e inclusivi nel campo dell'istruzione, della formazione e dell'apprendimento permanente, mediante lo sviluppo di infrastrutture</w:t>
            </w:r>
          </w:p>
        </w:tc>
        <w:tc>
          <w:tcPr>
            <w:tcW w:w="1108" w:type="dxa"/>
            <w:noWrap/>
            <w:hideMark/>
          </w:tcPr>
          <w:p w:rsidR="005B476B" w:rsidRPr="009D6508" w:rsidRDefault="005B476B" w:rsidP="004573E8">
            <w:pPr>
              <w:spacing w:before="360"/>
              <w:jc w:val="center"/>
              <w:rPr>
                <w:rFonts w:cstheme="minorHAnsi"/>
                <w:sz w:val="20"/>
                <w:szCs w:val="20"/>
              </w:rPr>
            </w:pPr>
            <w:r w:rsidRPr="009D6508">
              <w:rPr>
                <w:rFonts w:cstheme="minorHAnsi"/>
                <w:sz w:val="20"/>
                <w:szCs w:val="20"/>
              </w:rPr>
              <w:t>FESR</w:t>
            </w:r>
          </w:p>
        </w:tc>
      </w:tr>
      <w:tr w:rsidR="009A2332" w:rsidRPr="009D6508" w:rsidTr="009A2332">
        <w:trPr>
          <w:trHeight w:val="586"/>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360"/>
              <w:jc w:val="center"/>
              <w:rPr>
                <w:rFonts w:cstheme="minorHAnsi"/>
                <w:sz w:val="20"/>
                <w:szCs w:val="20"/>
              </w:rPr>
            </w:pPr>
            <w:r w:rsidRPr="009D6508">
              <w:rPr>
                <w:rFonts w:cstheme="minorHAnsi"/>
                <w:sz w:val="20"/>
                <w:szCs w:val="20"/>
              </w:rPr>
              <w:t>d3</w:t>
            </w:r>
          </w:p>
        </w:tc>
        <w:tc>
          <w:tcPr>
            <w:tcW w:w="5625" w:type="dxa"/>
            <w:hideMark/>
          </w:tcPr>
          <w:p w:rsidR="005B476B" w:rsidRPr="009D6508" w:rsidRDefault="005B476B">
            <w:pPr>
              <w:rPr>
                <w:rFonts w:cstheme="minorHAnsi"/>
                <w:sz w:val="20"/>
                <w:szCs w:val="20"/>
              </w:rPr>
            </w:pPr>
            <w:r w:rsidRPr="009D6508">
              <w:rPr>
                <w:rFonts w:cstheme="minorHAnsi"/>
                <w:sz w:val="20"/>
                <w:szCs w:val="20"/>
              </w:rPr>
              <w:t>aumentare l'integrazione socioeconomica delle comunità emarginate, dei migranti e dei gruppi svantaggiati, mediante misure integrate riguardanti alloggi e servizi sociali</w:t>
            </w:r>
          </w:p>
        </w:tc>
        <w:tc>
          <w:tcPr>
            <w:tcW w:w="1108" w:type="dxa"/>
            <w:noWrap/>
            <w:hideMark/>
          </w:tcPr>
          <w:p w:rsidR="005B476B" w:rsidRPr="009D6508" w:rsidRDefault="005B476B" w:rsidP="004573E8">
            <w:pPr>
              <w:spacing w:before="360"/>
              <w:jc w:val="center"/>
              <w:rPr>
                <w:rFonts w:cstheme="minorHAnsi"/>
                <w:sz w:val="20"/>
                <w:szCs w:val="20"/>
              </w:rPr>
            </w:pPr>
            <w:r w:rsidRPr="009D6508">
              <w:rPr>
                <w:rFonts w:cstheme="minorHAnsi"/>
                <w:sz w:val="20"/>
                <w:szCs w:val="20"/>
              </w:rPr>
              <w:t>FESR</w:t>
            </w:r>
          </w:p>
        </w:tc>
      </w:tr>
      <w:tr w:rsidR="009A2332" w:rsidRPr="009D6508" w:rsidTr="009A2332">
        <w:trPr>
          <w:trHeight w:val="586"/>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240"/>
              <w:jc w:val="center"/>
              <w:rPr>
                <w:rFonts w:cstheme="minorHAnsi"/>
                <w:sz w:val="20"/>
                <w:szCs w:val="20"/>
              </w:rPr>
            </w:pPr>
            <w:r w:rsidRPr="009D6508">
              <w:rPr>
                <w:rFonts w:cstheme="minorHAnsi"/>
                <w:sz w:val="20"/>
                <w:szCs w:val="20"/>
              </w:rPr>
              <w:t>d4</w:t>
            </w:r>
          </w:p>
        </w:tc>
        <w:tc>
          <w:tcPr>
            <w:tcW w:w="5625" w:type="dxa"/>
            <w:hideMark/>
          </w:tcPr>
          <w:p w:rsidR="005B476B" w:rsidRPr="009D6508" w:rsidRDefault="005B476B">
            <w:pPr>
              <w:rPr>
                <w:rFonts w:cstheme="minorHAnsi"/>
                <w:sz w:val="20"/>
                <w:szCs w:val="20"/>
              </w:rPr>
            </w:pPr>
            <w:r w:rsidRPr="009D6508">
              <w:rPr>
                <w:rFonts w:cstheme="minorHAnsi"/>
                <w:sz w:val="20"/>
                <w:szCs w:val="20"/>
              </w:rPr>
              <w:t>garantire la parità di accesso all'assistenza sanitaria mediante lo sviluppo di infrastrutture, compresa l'assistenza sanitaria di base</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584"/>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360"/>
              <w:jc w:val="center"/>
              <w:rPr>
                <w:rFonts w:cstheme="minorHAnsi"/>
                <w:sz w:val="20"/>
                <w:szCs w:val="20"/>
              </w:rPr>
            </w:pPr>
            <w:r w:rsidRPr="009D6508">
              <w:rPr>
                <w:rFonts w:cstheme="minorHAnsi"/>
                <w:sz w:val="20"/>
                <w:szCs w:val="20"/>
              </w:rPr>
              <w:t>1</w:t>
            </w:r>
          </w:p>
        </w:tc>
        <w:tc>
          <w:tcPr>
            <w:tcW w:w="5625" w:type="dxa"/>
            <w:hideMark/>
          </w:tcPr>
          <w:p w:rsidR="005B476B" w:rsidRPr="009D6508" w:rsidRDefault="005B476B">
            <w:pPr>
              <w:rPr>
                <w:rFonts w:cstheme="minorHAnsi"/>
                <w:sz w:val="20"/>
                <w:szCs w:val="20"/>
              </w:rPr>
            </w:pPr>
            <w:r w:rsidRPr="009D6508">
              <w:rPr>
                <w:rFonts w:cstheme="minorHAnsi"/>
                <w:sz w:val="20"/>
                <w:szCs w:val="20"/>
              </w:rPr>
              <w:t>migliorare l'accesso all'occupazione di tutte le persone in cerca di lavoro, in particolare i giovani e i disoccupati di lungo periodo, e delle persone inattive, promuovendo il lavoro autonomo e l'economia sociale</w:t>
            </w:r>
          </w:p>
        </w:tc>
        <w:tc>
          <w:tcPr>
            <w:tcW w:w="1108" w:type="dxa"/>
            <w:noWrap/>
            <w:hideMark/>
          </w:tcPr>
          <w:p w:rsidR="005B476B" w:rsidRPr="009D6508" w:rsidRDefault="005B476B" w:rsidP="004573E8">
            <w:pPr>
              <w:spacing w:before="360"/>
              <w:jc w:val="center"/>
              <w:rPr>
                <w:rFonts w:cstheme="minorHAnsi"/>
                <w:sz w:val="20"/>
                <w:szCs w:val="20"/>
              </w:rPr>
            </w:pPr>
            <w:r w:rsidRPr="009D6508">
              <w:rPr>
                <w:rFonts w:cstheme="minorHAnsi"/>
                <w:sz w:val="20"/>
                <w:szCs w:val="20"/>
              </w:rPr>
              <w:t>FSE</w:t>
            </w:r>
          </w:p>
        </w:tc>
      </w:tr>
      <w:tr w:rsidR="009A2332" w:rsidRPr="009D6508" w:rsidTr="009A2332">
        <w:trPr>
          <w:trHeight w:val="763"/>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600"/>
              <w:jc w:val="center"/>
              <w:rPr>
                <w:rFonts w:cstheme="minorHAnsi"/>
                <w:sz w:val="20"/>
                <w:szCs w:val="20"/>
              </w:rPr>
            </w:pPr>
            <w:r w:rsidRPr="009D6508">
              <w:rPr>
                <w:rFonts w:cstheme="minorHAnsi"/>
                <w:sz w:val="20"/>
                <w:szCs w:val="20"/>
              </w:rPr>
              <w:t>2</w:t>
            </w:r>
          </w:p>
        </w:tc>
        <w:tc>
          <w:tcPr>
            <w:tcW w:w="5625" w:type="dxa"/>
            <w:hideMark/>
          </w:tcPr>
          <w:p w:rsidR="005B476B" w:rsidRPr="009D6508" w:rsidRDefault="005B476B">
            <w:pPr>
              <w:rPr>
                <w:rFonts w:cstheme="minorHAnsi"/>
                <w:sz w:val="20"/>
                <w:szCs w:val="20"/>
              </w:rPr>
            </w:pPr>
            <w:r w:rsidRPr="009D6508">
              <w:rPr>
                <w:rFonts w:cstheme="minorHAnsi"/>
                <w:sz w:val="20"/>
                <w:szCs w:val="20"/>
              </w:rPr>
              <w:t>modernizzare le istituzioni e i servizi del mercato del lavoro per valutare e anticipare le esigenze in termini di competenze e garantire un'assistenza e un sostegno tempestivi e su misura nel contesto dell'incontro della domanda e dell'offerta, delle transizioni e della mobilità nel mercato del lavoro</w:t>
            </w:r>
          </w:p>
        </w:tc>
        <w:tc>
          <w:tcPr>
            <w:tcW w:w="1108" w:type="dxa"/>
            <w:noWrap/>
            <w:hideMark/>
          </w:tcPr>
          <w:p w:rsidR="005B476B" w:rsidRPr="009D6508" w:rsidRDefault="005B476B" w:rsidP="004573E8">
            <w:pPr>
              <w:spacing w:before="600"/>
              <w:jc w:val="center"/>
              <w:rPr>
                <w:rFonts w:cstheme="minorHAnsi"/>
                <w:sz w:val="20"/>
                <w:szCs w:val="20"/>
              </w:rPr>
            </w:pPr>
            <w:r w:rsidRPr="009D6508">
              <w:rPr>
                <w:rFonts w:cstheme="minorHAnsi"/>
                <w:sz w:val="20"/>
                <w:szCs w:val="20"/>
              </w:rPr>
              <w:t>FSE</w:t>
            </w:r>
          </w:p>
        </w:tc>
      </w:tr>
      <w:tr w:rsidR="009A2332" w:rsidRPr="009D6508" w:rsidTr="009A2332">
        <w:trPr>
          <w:trHeight w:val="848"/>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840"/>
              <w:jc w:val="center"/>
              <w:rPr>
                <w:rFonts w:cstheme="minorHAnsi"/>
                <w:sz w:val="20"/>
                <w:szCs w:val="20"/>
              </w:rPr>
            </w:pPr>
            <w:r w:rsidRPr="009D6508">
              <w:rPr>
                <w:rFonts w:cstheme="minorHAnsi"/>
                <w:sz w:val="20"/>
                <w:szCs w:val="20"/>
              </w:rPr>
              <w:t>4</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 partecipazione delle donne al mercato del lavoro, un migliore equilibrio tra lavoro e vita privata, compreso l'accesso all'assistenza all'infanzia, un ambiente di lavoro sano e adeguato che tiene conto dei rischi per la salute, l'adattamento dei lavoratori, delle imprese e degli imprenditori ai cambiamenti e un invecchiamento attivo e sano</w:t>
            </w:r>
          </w:p>
        </w:tc>
        <w:tc>
          <w:tcPr>
            <w:tcW w:w="1108" w:type="dxa"/>
            <w:noWrap/>
            <w:hideMark/>
          </w:tcPr>
          <w:p w:rsidR="005B476B" w:rsidRPr="009D6508" w:rsidRDefault="005B476B" w:rsidP="004573E8">
            <w:pPr>
              <w:spacing w:before="840"/>
              <w:jc w:val="center"/>
              <w:rPr>
                <w:rFonts w:cstheme="minorHAnsi"/>
                <w:sz w:val="20"/>
                <w:szCs w:val="20"/>
              </w:rPr>
            </w:pPr>
            <w:r w:rsidRPr="009D6508">
              <w:rPr>
                <w:rFonts w:cstheme="minorHAnsi"/>
                <w:sz w:val="20"/>
                <w:szCs w:val="20"/>
              </w:rPr>
              <w:t>FSE</w:t>
            </w:r>
          </w:p>
        </w:tc>
      </w:tr>
      <w:tr w:rsidR="009A2332" w:rsidRPr="009D6508" w:rsidTr="009A2332">
        <w:trPr>
          <w:trHeight w:val="586"/>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360"/>
              <w:jc w:val="center"/>
              <w:rPr>
                <w:rFonts w:cstheme="minorHAnsi"/>
                <w:sz w:val="20"/>
                <w:szCs w:val="20"/>
              </w:rPr>
            </w:pPr>
            <w:r w:rsidRPr="009D6508">
              <w:rPr>
                <w:rFonts w:cstheme="minorHAnsi"/>
                <w:sz w:val="20"/>
                <w:szCs w:val="20"/>
              </w:rPr>
              <w:t>4</w:t>
            </w:r>
          </w:p>
        </w:tc>
        <w:tc>
          <w:tcPr>
            <w:tcW w:w="5625" w:type="dxa"/>
            <w:hideMark/>
          </w:tcPr>
          <w:p w:rsidR="005B476B" w:rsidRPr="009D6508" w:rsidRDefault="005B476B">
            <w:pPr>
              <w:rPr>
                <w:rFonts w:cstheme="minorHAnsi"/>
                <w:sz w:val="20"/>
                <w:szCs w:val="20"/>
              </w:rPr>
            </w:pPr>
            <w:r w:rsidRPr="009D6508">
              <w:rPr>
                <w:rFonts w:cstheme="minorHAnsi"/>
                <w:sz w:val="20"/>
                <w:szCs w:val="20"/>
              </w:rPr>
              <w:t>migliorare la qualità, l'efficacia e la rilevanza per il mercato del lavoro dei sistemi di istruzione e di formazione, per sostenere l'acquisizione delle competenze chiave, comprese le competenze digitali</w:t>
            </w:r>
          </w:p>
        </w:tc>
        <w:tc>
          <w:tcPr>
            <w:tcW w:w="1108" w:type="dxa"/>
            <w:noWrap/>
            <w:hideMark/>
          </w:tcPr>
          <w:p w:rsidR="005B476B" w:rsidRPr="009D6508" w:rsidRDefault="005B476B" w:rsidP="004573E8">
            <w:pPr>
              <w:spacing w:before="360"/>
              <w:jc w:val="center"/>
              <w:rPr>
                <w:rFonts w:cstheme="minorHAnsi"/>
                <w:sz w:val="20"/>
                <w:szCs w:val="20"/>
              </w:rPr>
            </w:pPr>
            <w:r w:rsidRPr="009D6508">
              <w:rPr>
                <w:rFonts w:cstheme="minorHAnsi"/>
                <w:sz w:val="20"/>
                <w:szCs w:val="20"/>
              </w:rPr>
              <w:t>FSE</w:t>
            </w:r>
          </w:p>
        </w:tc>
      </w:tr>
      <w:tr w:rsidR="009A2332" w:rsidRPr="009D6508" w:rsidTr="009A2332">
        <w:trPr>
          <w:trHeight w:val="1024"/>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840"/>
              <w:jc w:val="center"/>
              <w:rPr>
                <w:rFonts w:cstheme="minorHAnsi"/>
                <w:sz w:val="20"/>
                <w:szCs w:val="20"/>
              </w:rPr>
            </w:pPr>
            <w:r w:rsidRPr="009D6508">
              <w:rPr>
                <w:rFonts w:cstheme="minorHAnsi"/>
                <w:sz w:val="20"/>
                <w:szCs w:val="20"/>
              </w:rPr>
              <w:t>5</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 parità di accesso e di completamento di un'istruzione e una formazione inclusive e di qualità, in particolare per i gruppi svantaggiati, dall'educazione e dall'assistenza prescolare, attraverso l'istruzione e la formazione generale e professionale, fino al livello terziario e all'istruzione e all'apprendimento in età adulta, anche agevolando la mobilità a fini di apprendimento per tutti</w:t>
            </w:r>
          </w:p>
        </w:tc>
        <w:tc>
          <w:tcPr>
            <w:tcW w:w="1108" w:type="dxa"/>
            <w:noWrap/>
            <w:hideMark/>
          </w:tcPr>
          <w:p w:rsidR="005B476B" w:rsidRPr="009D6508" w:rsidRDefault="005B476B" w:rsidP="004573E8">
            <w:pPr>
              <w:spacing w:before="840"/>
              <w:jc w:val="center"/>
              <w:rPr>
                <w:rFonts w:cstheme="minorHAnsi"/>
                <w:sz w:val="20"/>
                <w:szCs w:val="20"/>
              </w:rPr>
            </w:pPr>
            <w:r w:rsidRPr="009D6508">
              <w:rPr>
                <w:rFonts w:cstheme="minorHAnsi"/>
                <w:sz w:val="20"/>
                <w:szCs w:val="20"/>
              </w:rPr>
              <w:t>FSE</w:t>
            </w:r>
          </w:p>
        </w:tc>
      </w:tr>
      <w:tr w:rsidR="009A2332" w:rsidRPr="009D6508" w:rsidTr="009A2332">
        <w:trPr>
          <w:trHeight w:val="1027"/>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840"/>
              <w:jc w:val="center"/>
              <w:rPr>
                <w:rFonts w:cstheme="minorHAnsi"/>
                <w:sz w:val="20"/>
                <w:szCs w:val="20"/>
              </w:rPr>
            </w:pPr>
            <w:r w:rsidRPr="009D6508">
              <w:rPr>
                <w:rFonts w:cstheme="minorHAnsi"/>
                <w:sz w:val="20"/>
                <w:szCs w:val="20"/>
              </w:rPr>
              <w:t>6</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l'apprendimento lungo tutto l'arco della vita, in particolare le opportunità di perfezionamento e di riqualificazione flessibili per tutti, tenendo conto delle competenze digitali, anticipando meglio il cambiamento e le nuove competenze richieste sulla base delle esigenze del mercato del lavoro, facilitando il riorientamento professionale e promuovendo la mobilità professionale</w:t>
            </w:r>
          </w:p>
        </w:tc>
        <w:tc>
          <w:tcPr>
            <w:tcW w:w="1108" w:type="dxa"/>
            <w:noWrap/>
            <w:hideMark/>
          </w:tcPr>
          <w:p w:rsidR="005B476B" w:rsidRPr="009D6508" w:rsidRDefault="005B476B" w:rsidP="004573E8">
            <w:pPr>
              <w:spacing w:before="840"/>
              <w:jc w:val="center"/>
              <w:rPr>
                <w:rFonts w:cstheme="minorHAnsi"/>
                <w:sz w:val="20"/>
                <w:szCs w:val="20"/>
              </w:rPr>
            </w:pPr>
            <w:r w:rsidRPr="009D6508">
              <w:rPr>
                <w:rFonts w:cstheme="minorHAnsi"/>
                <w:sz w:val="20"/>
                <w:szCs w:val="20"/>
              </w:rPr>
              <w:t>FSE</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240"/>
              <w:jc w:val="center"/>
              <w:rPr>
                <w:rFonts w:cstheme="minorHAnsi"/>
                <w:sz w:val="20"/>
                <w:szCs w:val="20"/>
              </w:rPr>
            </w:pPr>
            <w:r w:rsidRPr="009D6508">
              <w:rPr>
                <w:rFonts w:cstheme="minorHAnsi"/>
                <w:sz w:val="20"/>
                <w:szCs w:val="20"/>
              </w:rPr>
              <w:t>7</w:t>
            </w:r>
          </w:p>
        </w:tc>
        <w:tc>
          <w:tcPr>
            <w:tcW w:w="5625" w:type="dxa"/>
            <w:hideMark/>
          </w:tcPr>
          <w:p w:rsidR="005B476B" w:rsidRPr="009D6508" w:rsidRDefault="005B476B">
            <w:pPr>
              <w:rPr>
                <w:rFonts w:cstheme="minorHAnsi"/>
                <w:sz w:val="20"/>
                <w:szCs w:val="20"/>
              </w:rPr>
            </w:pPr>
            <w:r w:rsidRPr="009D6508">
              <w:rPr>
                <w:rFonts w:cstheme="minorHAnsi"/>
                <w:sz w:val="20"/>
                <w:szCs w:val="20"/>
              </w:rPr>
              <w:t>incentivare l'inclusione attiva, per promuovere le pari opportunità e la partecipazione attiva, e migliorare l'occupabilità</w:t>
            </w:r>
          </w:p>
        </w:tc>
        <w:tc>
          <w:tcPr>
            <w:tcW w:w="1108" w:type="dxa"/>
            <w:noWrap/>
            <w:hideMark/>
          </w:tcPr>
          <w:p w:rsidR="005B476B" w:rsidRPr="009D6508" w:rsidRDefault="005B476B" w:rsidP="003142D9">
            <w:pPr>
              <w:spacing w:before="200"/>
              <w:jc w:val="center"/>
              <w:rPr>
                <w:rFonts w:cstheme="minorHAnsi"/>
                <w:sz w:val="20"/>
                <w:szCs w:val="20"/>
              </w:rPr>
            </w:pPr>
            <w:r w:rsidRPr="009D6508">
              <w:rPr>
                <w:rFonts w:cstheme="minorHAnsi"/>
                <w:sz w:val="20"/>
                <w:szCs w:val="20"/>
              </w:rPr>
              <w:t>FSE</w:t>
            </w:r>
          </w:p>
        </w:tc>
      </w:tr>
      <w:tr w:rsidR="009A2332" w:rsidRPr="009D6508" w:rsidTr="009A2332">
        <w:trPr>
          <w:trHeight w:val="295"/>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9A2332">
            <w:pPr>
              <w:spacing w:before="120"/>
              <w:jc w:val="center"/>
              <w:rPr>
                <w:rFonts w:cstheme="minorHAnsi"/>
                <w:sz w:val="20"/>
                <w:szCs w:val="20"/>
              </w:rPr>
            </w:pPr>
            <w:r w:rsidRPr="009D6508">
              <w:rPr>
                <w:rFonts w:cstheme="minorHAnsi"/>
                <w:sz w:val="20"/>
                <w:szCs w:val="20"/>
              </w:rPr>
              <w:t>8</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l'integrazione socioeconomica di cittadini di paesi terzi e delle comunità emarginate come i rom</w:t>
            </w:r>
          </w:p>
        </w:tc>
        <w:tc>
          <w:tcPr>
            <w:tcW w:w="1108" w:type="dxa"/>
            <w:noWrap/>
            <w:hideMark/>
          </w:tcPr>
          <w:p w:rsidR="005B476B" w:rsidRPr="009D6508" w:rsidRDefault="005B476B" w:rsidP="003142D9">
            <w:pPr>
              <w:spacing w:before="120"/>
              <w:jc w:val="center"/>
              <w:rPr>
                <w:rFonts w:cstheme="minorHAnsi"/>
                <w:sz w:val="20"/>
                <w:szCs w:val="20"/>
              </w:rPr>
            </w:pPr>
            <w:r w:rsidRPr="009D6508">
              <w:rPr>
                <w:rFonts w:cstheme="minorHAnsi"/>
                <w:sz w:val="20"/>
                <w:szCs w:val="20"/>
              </w:rPr>
              <w:t>FSE</w:t>
            </w:r>
          </w:p>
        </w:tc>
      </w:tr>
      <w:tr w:rsidR="009A2332" w:rsidRPr="009D6508" w:rsidTr="009A2332">
        <w:trPr>
          <w:trHeight w:val="826"/>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600"/>
              <w:jc w:val="center"/>
              <w:rPr>
                <w:rFonts w:cstheme="minorHAnsi"/>
                <w:sz w:val="20"/>
                <w:szCs w:val="20"/>
              </w:rPr>
            </w:pPr>
            <w:r w:rsidRPr="009D6508">
              <w:rPr>
                <w:rFonts w:cstheme="minorHAnsi"/>
                <w:sz w:val="20"/>
                <w:szCs w:val="20"/>
              </w:rPr>
              <w:t>9</w:t>
            </w:r>
          </w:p>
        </w:tc>
        <w:tc>
          <w:tcPr>
            <w:tcW w:w="5625" w:type="dxa"/>
            <w:hideMark/>
          </w:tcPr>
          <w:p w:rsidR="005B476B" w:rsidRPr="009D6508" w:rsidRDefault="005B476B">
            <w:pPr>
              <w:rPr>
                <w:rFonts w:cstheme="minorHAnsi"/>
                <w:sz w:val="20"/>
                <w:szCs w:val="20"/>
              </w:rPr>
            </w:pPr>
            <w:r w:rsidRPr="009D6508">
              <w:rPr>
                <w:rFonts w:cstheme="minorHAnsi"/>
                <w:sz w:val="20"/>
                <w:szCs w:val="20"/>
              </w:rPr>
              <w:t>migliorare l'accesso paritario e tempestivo a servizi di qualità, sostenibili e a prezzi accessibili; modernizzare i sistemi di protezione sociale, anche promuovendo l'accesso alla protezione sociale; migliorare l'accessibilità, l'efficacia e la resilienza dei sistemi sanitari e dei servizi di assistenza di lunga durata</w:t>
            </w:r>
          </w:p>
        </w:tc>
        <w:tc>
          <w:tcPr>
            <w:tcW w:w="1108" w:type="dxa"/>
            <w:noWrap/>
            <w:hideMark/>
          </w:tcPr>
          <w:p w:rsidR="005B476B" w:rsidRPr="009D6508" w:rsidRDefault="005B476B" w:rsidP="004573E8">
            <w:pPr>
              <w:spacing w:before="600"/>
              <w:jc w:val="center"/>
              <w:rPr>
                <w:rFonts w:cstheme="minorHAnsi"/>
                <w:sz w:val="20"/>
                <w:szCs w:val="20"/>
              </w:rPr>
            </w:pPr>
            <w:r w:rsidRPr="009D6508">
              <w:rPr>
                <w:rFonts w:cstheme="minorHAnsi"/>
                <w:sz w:val="20"/>
                <w:szCs w:val="20"/>
              </w:rPr>
              <w:t>FSE</w:t>
            </w:r>
          </w:p>
        </w:tc>
      </w:tr>
      <w:tr w:rsidR="009A2332" w:rsidRPr="009D6508" w:rsidTr="009A2332">
        <w:trPr>
          <w:trHeight w:val="539"/>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240"/>
              <w:jc w:val="center"/>
              <w:rPr>
                <w:rFonts w:cstheme="minorHAnsi"/>
                <w:sz w:val="20"/>
                <w:szCs w:val="20"/>
              </w:rPr>
            </w:pPr>
            <w:r w:rsidRPr="009D6508">
              <w:rPr>
                <w:rFonts w:cstheme="minorHAnsi"/>
                <w:sz w:val="20"/>
                <w:szCs w:val="20"/>
              </w:rPr>
              <w:t>10</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l'integrazione sociale delle persone a rischio di povertà o di esclusione sociale, compresi gli indigenti e i bambini</w:t>
            </w:r>
          </w:p>
        </w:tc>
        <w:tc>
          <w:tcPr>
            <w:tcW w:w="1108" w:type="dxa"/>
            <w:noWrap/>
            <w:hideMark/>
          </w:tcPr>
          <w:p w:rsidR="005B476B" w:rsidRPr="009D6508" w:rsidRDefault="005B476B" w:rsidP="004573E8">
            <w:pPr>
              <w:spacing w:before="200"/>
              <w:jc w:val="center"/>
              <w:rPr>
                <w:rFonts w:cstheme="minorHAnsi"/>
                <w:sz w:val="20"/>
                <w:szCs w:val="20"/>
              </w:rPr>
            </w:pPr>
            <w:r w:rsidRPr="009D6508">
              <w:rPr>
                <w:rFonts w:cstheme="minorHAnsi"/>
                <w:sz w:val="20"/>
                <w:szCs w:val="20"/>
              </w:rPr>
              <w:t>FSE</w:t>
            </w:r>
          </w:p>
        </w:tc>
      </w:tr>
      <w:tr w:rsidR="009A2332" w:rsidRPr="009D6508" w:rsidTr="009A2332">
        <w:trPr>
          <w:trHeight w:val="550"/>
        </w:trPr>
        <w:tc>
          <w:tcPr>
            <w:tcW w:w="665" w:type="dxa"/>
            <w:vMerge/>
            <w:noWrap/>
            <w:hideMark/>
          </w:tcPr>
          <w:p w:rsidR="005B476B" w:rsidRPr="009D6508" w:rsidRDefault="005B476B" w:rsidP="000A7DDB">
            <w:pPr>
              <w:rPr>
                <w:rFonts w:cstheme="minorHAnsi"/>
                <w:sz w:val="20"/>
                <w:szCs w:val="20"/>
              </w:rPr>
            </w:pPr>
          </w:p>
        </w:tc>
        <w:tc>
          <w:tcPr>
            <w:tcW w:w="2114" w:type="dxa"/>
            <w:vMerge/>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240"/>
              <w:jc w:val="center"/>
              <w:rPr>
                <w:rFonts w:cstheme="minorHAnsi"/>
                <w:sz w:val="20"/>
                <w:szCs w:val="20"/>
              </w:rPr>
            </w:pPr>
            <w:r w:rsidRPr="009D6508">
              <w:rPr>
                <w:rFonts w:cstheme="minorHAnsi"/>
                <w:sz w:val="20"/>
                <w:szCs w:val="20"/>
              </w:rPr>
              <w:t>11</w:t>
            </w:r>
          </w:p>
        </w:tc>
        <w:tc>
          <w:tcPr>
            <w:tcW w:w="5625" w:type="dxa"/>
            <w:hideMark/>
          </w:tcPr>
          <w:p w:rsidR="005B476B" w:rsidRPr="009D6508" w:rsidRDefault="005B476B">
            <w:pPr>
              <w:rPr>
                <w:rFonts w:cstheme="minorHAnsi"/>
                <w:sz w:val="20"/>
                <w:szCs w:val="20"/>
              </w:rPr>
            </w:pPr>
            <w:r w:rsidRPr="009D6508">
              <w:rPr>
                <w:rFonts w:cstheme="minorHAnsi"/>
                <w:sz w:val="20"/>
                <w:szCs w:val="20"/>
              </w:rPr>
              <w:t>contrastare la deprivazione materiale mediante prodotti alimentari e assistenza materiale di base agli indigenti, con misure di accompagnamento</w:t>
            </w:r>
          </w:p>
        </w:tc>
        <w:tc>
          <w:tcPr>
            <w:tcW w:w="1108" w:type="dxa"/>
            <w:noWrap/>
            <w:hideMark/>
          </w:tcPr>
          <w:p w:rsidR="005B476B" w:rsidRPr="009D6508" w:rsidRDefault="005B476B" w:rsidP="004573E8">
            <w:pPr>
              <w:spacing w:before="200"/>
              <w:jc w:val="center"/>
              <w:rPr>
                <w:rFonts w:cstheme="minorHAnsi"/>
                <w:sz w:val="20"/>
                <w:szCs w:val="20"/>
              </w:rPr>
            </w:pPr>
            <w:r w:rsidRPr="009D6508">
              <w:rPr>
                <w:rFonts w:cstheme="minorHAnsi"/>
                <w:sz w:val="20"/>
                <w:szCs w:val="20"/>
              </w:rPr>
              <w:t>FSE</w:t>
            </w:r>
          </w:p>
        </w:tc>
      </w:tr>
      <w:tr w:rsidR="009A2332" w:rsidRPr="009D6508" w:rsidTr="009A2332">
        <w:trPr>
          <w:trHeight w:val="495"/>
        </w:trPr>
        <w:tc>
          <w:tcPr>
            <w:tcW w:w="665" w:type="dxa"/>
            <w:vMerge w:val="restart"/>
            <w:noWrap/>
            <w:hideMark/>
          </w:tcPr>
          <w:p w:rsidR="005B476B" w:rsidRPr="009D6508" w:rsidRDefault="005B476B" w:rsidP="00EF4F49">
            <w:pPr>
              <w:jc w:val="center"/>
              <w:rPr>
                <w:rFonts w:cstheme="minorHAnsi"/>
                <w:sz w:val="20"/>
                <w:szCs w:val="20"/>
              </w:rPr>
            </w:pPr>
            <w:r w:rsidRPr="009D6508">
              <w:rPr>
                <w:rFonts w:cstheme="minorHAnsi"/>
                <w:sz w:val="20"/>
                <w:szCs w:val="20"/>
              </w:rPr>
              <w:t>5</w:t>
            </w:r>
          </w:p>
        </w:tc>
        <w:tc>
          <w:tcPr>
            <w:tcW w:w="2114" w:type="dxa"/>
            <w:vMerge w:val="restart"/>
            <w:hideMark/>
          </w:tcPr>
          <w:p w:rsidR="005B476B" w:rsidRPr="009D6508" w:rsidRDefault="005B476B" w:rsidP="00B56041">
            <w:pPr>
              <w:rPr>
                <w:rFonts w:cstheme="minorHAnsi"/>
                <w:sz w:val="20"/>
                <w:szCs w:val="20"/>
              </w:rPr>
            </w:pPr>
            <w:r w:rsidRPr="009D6508">
              <w:rPr>
                <w:rFonts w:cstheme="minorHAnsi"/>
                <w:sz w:val="20"/>
                <w:szCs w:val="20"/>
              </w:rPr>
              <w:t>Europa più vicina ai cittadini</w:t>
            </w:r>
            <w:r w:rsidR="00B56041">
              <w:rPr>
                <w:rStyle w:val="Rimandonotaapidipagina"/>
                <w:rFonts w:cstheme="minorHAnsi"/>
                <w:sz w:val="20"/>
                <w:szCs w:val="20"/>
              </w:rPr>
              <w:footnoteReference w:id="5"/>
            </w:r>
          </w:p>
        </w:tc>
        <w:tc>
          <w:tcPr>
            <w:tcW w:w="663" w:type="dxa"/>
            <w:noWrap/>
            <w:hideMark/>
          </w:tcPr>
          <w:p w:rsidR="005B476B" w:rsidRPr="009D6508" w:rsidRDefault="005B476B" w:rsidP="00BE6E36">
            <w:pPr>
              <w:spacing w:before="240"/>
              <w:jc w:val="center"/>
              <w:rPr>
                <w:rFonts w:cstheme="minorHAnsi"/>
                <w:sz w:val="20"/>
                <w:szCs w:val="20"/>
              </w:rPr>
            </w:pPr>
            <w:r w:rsidRPr="009D6508">
              <w:rPr>
                <w:rFonts w:cstheme="minorHAnsi"/>
                <w:sz w:val="20"/>
                <w:szCs w:val="20"/>
              </w:rPr>
              <w:t>e1</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lo sviluppo sociale, economico e ambientale integrato, il patrimonio culturale e la sicurezza nelle aree urbane</w:t>
            </w:r>
          </w:p>
        </w:tc>
        <w:tc>
          <w:tcPr>
            <w:tcW w:w="1108" w:type="dxa"/>
            <w:noWrap/>
            <w:hideMark/>
          </w:tcPr>
          <w:p w:rsidR="005B476B" w:rsidRPr="009D6508" w:rsidRDefault="005B476B" w:rsidP="004573E8">
            <w:pPr>
              <w:spacing w:before="200"/>
              <w:jc w:val="center"/>
              <w:rPr>
                <w:rFonts w:cstheme="minorHAnsi"/>
                <w:sz w:val="20"/>
                <w:szCs w:val="20"/>
              </w:rPr>
            </w:pPr>
            <w:r w:rsidRPr="009D6508">
              <w:rPr>
                <w:rFonts w:cstheme="minorHAnsi"/>
                <w:sz w:val="20"/>
                <w:szCs w:val="20"/>
              </w:rPr>
              <w:t>FESR</w:t>
            </w:r>
          </w:p>
        </w:tc>
      </w:tr>
      <w:tr w:rsidR="009A2332" w:rsidRPr="009D6508" w:rsidTr="009A2332">
        <w:trPr>
          <w:trHeight w:val="782"/>
        </w:trPr>
        <w:tc>
          <w:tcPr>
            <w:tcW w:w="665" w:type="dxa"/>
            <w:vMerge/>
            <w:noWrap/>
            <w:hideMark/>
          </w:tcPr>
          <w:p w:rsidR="005B476B" w:rsidRPr="009D6508" w:rsidRDefault="005B476B" w:rsidP="000A7DDB">
            <w:pPr>
              <w:rPr>
                <w:rFonts w:cstheme="minorHAnsi"/>
                <w:sz w:val="20"/>
                <w:szCs w:val="20"/>
              </w:rPr>
            </w:pPr>
          </w:p>
        </w:tc>
        <w:tc>
          <w:tcPr>
            <w:tcW w:w="2114" w:type="dxa"/>
            <w:vMerge/>
            <w:hideMark/>
          </w:tcPr>
          <w:p w:rsidR="005B476B" w:rsidRPr="009D6508" w:rsidRDefault="005B476B">
            <w:pPr>
              <w:rPr>
                <w:rFonts w:cstheme="minorHAnsi"/>
                <w:sz w:val="20"/>
                <w:szCs w:val="20"/>
              </w:rPr>
            </w:pPr>
          </w:p>
        </w:tc>
        <w:tc>
          <w:tcPr>
            <w:tcW w:w="663" w:type="dxa"/>
            <w:noWrap/>
            <w:hideMark/>
          </w:tcPr>
          <w:p w:rsidR="005B476B" w:rsidRPr="009D6508" w:rsidRDefault="005B476B" w:rsidP="00BE6E36">
            <w:pPr>
              <w:spacing w:before="420"/>
              <w:jc w:val="center"/>
              <w:rPr>
                <w:rFonts w:cstheme="minorHAnsi"/>
                <w:sz w:val="20"/>
                <w:szCs w:val="20"/>
              </w:rPr>
            </w:pPr>
            <w:r w:rsidRPr="009D6508">
              <w:rPr>
                <w:rFonts w:cstheme="minorHAnsi"/>
                <w:sz w:val="20"/>
                <w:szCs w:val="20"/>
              </w:rPr>
              <w:t>e2</w:t>
            </w:r>
          </w:p>
        </w:tc>
        <w:tc>
          <w:tcPr>
            <w:tcW w:w="5625" w:type="dxa"/>
            <w:hideMark/>
          </w:tcPr>
          <w:p w:rsidR="005B476B" w:rsidRPr="009D6508" w:rsidRDefault="005B476B">
            <w:pPr>
              <w:rPr>
                <w:rFonts w:cstheme="minorHAnsi"/>
                <w:sz w:val="20"/>
                <w:szCs w:val="20"/>
              </w:rPr>
            </w:pPr>
            <w:r w:rsidRPr="009D6508">
              <w:rPr>
                <w:rFonts w:cstheme="minorHAnsi"/>
                <w:sz w:val="20"/>
                <w:szCs w:val="20"/>
              </w:rPr>
              <w:t>promuovere lo sviluppo sociale, economico e ambientale integrato a livello locale, il patrimonio culturale e la sicurezza, anche per le aree rurali e costiere, tra l'altro mediante iniziative di sviluppo locale di tipo partecipativo</w:t>
            </w:r>
          </w:p>
        </w:tc>
        <w:tc>
          <w:tcPr>
            <w:tcW w:w="1108" w:type="dxa"/>
            <w:noWrap/>
            <w:hideMark/>
          </w:tcPr>
          <w:p w:rsidR="005B476B" w:rsidRPr="009D6508" w:rsidRDefault="005B476B" w:rsidP="004573E8">
            <w:pPr>
              <w:spacing w:before="420"/>
              <w:jc w:val="center"/>
              <w:rPr>
                <w:rFonts w:cstheme="minorHAnsi"/>
                <w:sz w:val="20"/>
                <w:szCs w:val="20"/>
              </w:rPr>
            </w:pPr>
            <w:r w:rsidRPr="009D6508">
              <w:rPr>
                <w:rFonts w:cstheme="minorHAnsi"/>
                <w:sz w:val="20"/>
                <w:szCs w:val="20"/>
              </w:rPr>
              <w:t>FESR</w:t>
            </w:r>
          </w:p>
        </w:tc>
      </w:tr>
    </w:tbl>
    <w:p w:rsidR="009A6D2A" w:rsidRPr="00072ED0" w:rsidRDefault="009A6D2A" w:rsidP="00C27026">
      <w:pPr>
        <w:jc w:val="both"/>
        <w:rPr>
          <w:rFonts w:asciiTheme="minorHAnsi" w:hAnsiTheme="minorHAnsi" w:cstheme="minorHAnsi"/>
          <w:noProof/>
          <w:sz w:val="24"/>
          <w:szCs w:val="24"/>
        </w:rPr>
      </w:pPr>
    </w:p>
    <w:sectPr w:rsidR="009A6D2A" w:rsidRPr="00072ED0" w:rsidSect="003F5BAC">
      <w:headerReference w:type="default" r:id="rId20"/>
      <w:pgSz w:w="11906" w:h="16838"/>
      <w:pgMar w:top="1276" w:right="991" w:bottom="720" w:left="993"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D1D" w:rsidRDefault="00F92D1D">
      <w:pPr>
        <w:spacing w:after="0" w:line="240" w:lineRule="auto"/>
      </w:pPr>
      <w:r>
        <w:separator/>
      </w:r>
    </w:p>
  </w:endnote>
  <w:endnote w:type="continuationSeparator" w:id="0">
    <w:p w:rsidR="00F92D1D" w:rsidRDefault="00F9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1D" w:rsidRDefault="006C4D1D" w:rsidP="00D86693">
    <w:pPr>
      <w:pStyle w:val="Pidipa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19D" w:rsidRDefault="0035119D">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976775"/>
      <w:docPartObj>
        <w:docPartGallery w:val="Page Numbers (Bottom of Page)"/>
        <w:docPartUnique/>
      </w:docPartObj>
    </w:sdtPr>
    <w:sdtEndPr/>
    <w:sdtContent>
      <w:p w:rsidR="00D86693" w:rsidRDefault="00D86693" w:rsidP="00D86693">
        <w:pPr>
          <w:pStyle w:val="Pidipagina"/>
          <w:jc w:val="right"/>
        </w:pPr>
        <w:r>
          <w:fldChar w:fldCharType="begin"/>
        </w:r>
        <w:r>
          <w:instrText>PAGE   \* MERGEFORMAT</w:instrText>
        </w:r>
        <w:r>
          <w:fldChar w:fldCharType="separate"/>
        </w:r>
        <w:r w:rsidR="00A23153">
          <w:rPr>
            <w:noProof/>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19D" w:rsidRDefault="0035119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D1D" w:rsidRDefault="00F92D1D">
      <w:pPr>
        <w:spacing w:after="0" w:line="240" w:lineRule="auto"/>
      </w:pPr>
      <w:r>
        <w:rPr>
          <w:color w:val="000000"/>
        </w:rPr>
        <w:separator/>
      </w:r>
    </w:p>
  </w:footnote>
  <w:footnote w:type="continuationSeparator" w:id="0">
    <w:p w:rsidR="00F92D1D" w:rsidRDefault="00F92D1D">
      <w:pPr>
        <w:spacing w:after="0" w:line="240" w:lineRule="auto"/>
      </w:pPr>
      <w:r>
        <w:continuationSeparator/>
      </w:r>
    </w:p>
  </w:footnote>
  <w:footnote w:id="1">
    <w:p w:rsidR="00597752" w:rsidRDefault="00597752" w:rsidP="00855427">
      <w:pPr>
        <w:pStyle w:val="Testonotaapidipagina"/>
        <w:ind w:left="142" w:hanging="142"/>
      </w:pPr>
      <w:r>
        <w:rPr>
          <w:rStyle w:val="Rimandonotaapidipagina"/>
        </w:rPr>
        <w:footnoteRef/>
      </w:r>
      <w:r>
        <w:t xml:space="preserve"> </w:t>
      </w:r>
      <w:r w:rsidRPr="00140E3E">
        <w:rPr>
          <w:sz w:val="18"/>
          <w:szCs w:val="18"/>
        </w:rPr>
        <w:t>Si evidenzia che il termine “</w:t>
      </w:r>
      <w:r w:rsidR="00B56041">
        <w:rPr>
          <w:sz w:val="18"/>
          <w:szCs w:val="18"/>
        </w:rPr>
        <w:t>O</w:t>
      </w:r>
      <w:r w:rsidRPr="00140E3E">
        <w:rPr>
          <w:sz w:val="18"/>
          <w:szCs w:val="18"/>
        </w:rPr>
        <w:t xml:space="preserve">biettivo di </w:t>
      </w:r>
      <w:r w:rsidR="00B56041">
        <w:rPr>
          <w:sz w:val="18"/>
          <w:szCs w:val="18"/>
        </w:rPr>
        <w:t>P</w:t>
      </w:r>
      <w:r w:rsidRPr="00140E3E">
        <w:rPr>
          <w:sz w:val="18"/>
          <w:szCs w:val="18"/>
        </w:rPr>
        <w:t>olicy” è equivalente al termine “</w:t>
      </w:r>
      <w:r w:rsidR="00B56041">
        <w:rPr>
          <w:sz w:val="18"/>
          <w:szCs w:val="18"/>
        </w:rPr>
        <w:t>O</w:t>
      </w:r>
      <w:r w:rsidRPr="00140E3E">
        <w:rPr>
          <w:sz w:val="18"/>
          <w:szCs w:val="18"/>
        </w:rPr>
        <w:t xml:space="preserve">biettivo </w:t>
      </w:r>
      <w:r w:rsidR="00B56041">
        <w:rPr>
          <w:sz w:val="18"/>
          <w:szCs w:val="18"/>
        </w:rPr>
        <w:t>S</w:t>
      </w:r>
      <w:r w:rsidRPr="00140E3E">
        <w:rPr>
          <w:sz w:val="18"/>
          <w:szCs w:val="18"/>
        </w:rPr>
        <w:t>trategico” utilizzato nella traduzione italiana del</w:t>
      </w:r>
      <w:r w:rsidR="00B56041">
        <w:rPr>
          <w:sz w:val="18"/>
          <w:szCs w:val="18"/>
        </w:rPr>
        <w:t>la proposta di</w:t>
      </w:r>
      <w:r w:rsidRPr="00140E3E">
        <w:rPr>
          <w:sz w:val="18"/>
          <w:szCs w:val="18"/>
        </w:rPr>
        <w:t xml:space="preserve"> </w:t>
      </w:r>
      <w:r w:rsidR="00855427" w:rsidRPr="00140E3E">
        <w:rPr>
          <w:sz w:val="18"/>
          <w:szCs w:val="18"/>
        </w:rPr>
        <w:t>Regolamento recante disposizioni comuni</w:t>
      </w:r>
      <w:r w:rsidR="00B56041">
        <w:rPr>
          <w:sz w:val="18"/>
          <w:szCs w:val="18"/>
        </w:rPr>
        <w:t xml:space="preserve"> per il periodo 2021-2027</w:t>
      </w:r>
      <w:r w:rsidR="00855427" w:rsidRPr="00140E3E">
        <w:rPr>
          <w:sz w:val="18"/>
          <w:szCs w:val="18"/>
        </w:rPr>
        <w:t xml:space="preserve"> COM(2018)375.</w:t>
      </w:r>
    </w:p>
  </w:footnote>
  <w:footnote w:id="2">
    <w:p w:rsidR="00513266" w:rsidRPr="00D47947" w:rsidRDefault="00513266">
      <w:pPr>
        <w:pStyle w:val="Testonotaapidipagina"/>
        <w:rPr>
          <w:sz w:val="18"/>
          <w:szCs w:val="18"/>
        </w:rPr>
      </w:pPr>
      <w:r>
        <w:rPr>
          <w:rStyle w:val="Rimandonotaapidipagina"/>
        </w:rPr>
        <w:footnoteRef/>
      </w:r>
      <w:r>
        <w:t xml:space="preserve"> </w:t>
      </w:r>
      <w:r w:rsidR="00300FCD" w:rsidRPr="00D47947">
        <w:rPr>
          <w:sz w:val="18"/>
          <w:szCs w:val="18"/>
        </w:rPr>
        <w:t>Le t</w:t>
      </w:r>
      <w:r w:rsidRPr="00D47947">
        <w:rPr>
          <w:sz w:val="18"/>
          <w:szCs w:val="18"/>
        </w:rPr>
        <w:t xml:space="preserve">ipologie di territori </w:t>
      </w:r>
      <w:r w:rsidR="00300FCD" w:rsidRPr="00D47947">
        <w:rPr>
          <w:sz w:val="18"/>
          <w:szCs w:val="18"/>
        </w:rPr>
        <w:t xml:space="preserve">sono </w:t>
      </w:r>
      <w:r w:rsidRPr="00D47947">
        <w:rPr>
          <w:sz w:val="18"/>
          <w:szCs w:val="18"/>
        </w:rPr>
        <w:t xml:space="preserve">individuate nella Tavola 3 dell’Allegato 1 alla </w:t>
      </w:r>
      <w:r w:rsidR="00300FCD" w:rsidRPr="00D47947">
        <w:rPr>
          <w:sz w:val="18"/>
          <w:szCs w:val="18"/>
        </w:rPr>
        <w:t xml:space="preserve">proposta del Regolamento Comune (CPR). </w:t>
      </w:r>
    </w:p>
  </w:footnote>
  <w:footnote w:id="3">
    <w:p w:rsidR="00D47947" w:rsidRDefault="00D47947">
      <w:pPr>
        <w:pStyle w:val="Testonotaapidipagina"/>
      </w:pPr>
      <w:r w:rsidRPr="00D47947">
        <w:rPr>
          <w:rStyle w:val="Rimandonotaapidipagina"/>
        </w:rPr>
        <w:footnoteRef/>
      </w:r>
      <w:r w:rsidRPr="00D47947">
        <w:t xml:space="preserve"> </w:t>
      </w:r>
      <w:r w:rsidRPr="00D47947">
        <w:rPr>
          <w:sz w:val="18"/>
          <w:szCs w:val="18"/>
        </w:rPr>
        <w:t>Altre tipologie di territori possono essere, ad esempio, aree di crisi, oppure unioni di comuni di Distretti socio-assistenziali.</w:t>
      </w:r>
    </w:p>
  </w:footnote>
  <w:footnote w:id="4">
    <w:p w:rsidR="00140E3E" w:rsidRPr="00140E3E" w:rsidRDefault="00140E3E" w:rsidP="00282AB1">
      <w:pPr>
        <w:pStyle w:val="Testonotaapidipagina"/>
        <w:jc w:val="both"/>
        <w:rPr>
          <w:sz w:val="18"/>
          <w:szCs w:val="18"/>
        </w:rPr>
      </w:pPr>
      <w:r>
        <w:rPr>
          <w:rStyle w:val="Rimandonotaapidipagina"/>
        </w:rPr>
        <w:footnoteRef/>
      </w:r>
      <w:r>
        <w:t xml:space="preserve"> </w:t>
      </w:r>
      <w:r w:rsidRPr="00140E3E">
        <w:rPr>
          <w:sz w:val="18"/>
          <w:szCs w:val="18"/>
        </w:rPr>
        <w:t>Su tutte le proposte di regolamento della Commissione UE si sta svolgendo la negoziazione con gli Stati membri in seno al Consiglio UE. Al momento i lavori sono in stato avanzato, essendo stata approvata una posizione di compromesso comune agli Stati membri per la quasi totalità dei regolamenti del pacchetto coesione (CPR, FESR/FC, FSE+, CTE), con proposte di modifica ai testi della Commissione. Terminata questa fase, inizierà la negoziazione a trilogo tra le proposte della Commissione, la posizione assunta dagli Stati membri in Consiglio UE e quella del Parlamento europeo (il Parlamento uscente ha già approvato la propria posizione e i relativi emendamenti alle proposte della Commissione; tale posizione potrà essere confermata o modificata dal Parlamento eletto a seguito delle elezioni di maggio 2019), dalla quale scaturiranno i testi finali.</w:t>
      </w:r>
    </w:p>
  </w:footnote>
  <w:footnote w:id="5">
    <w:p w:rsidR="003A26D1" w:rsidRPr="007750EB" w:rsidRDefault="00B56041" w:rsidP="00282AB1">
      <w:pPr>
        <w:pStyle w:val="Testonotaapidipagina"/>
        <w:jc w:val="both"/>
        <w:rPr>
          <w:sz w:val="18"/>
          <w:szCs w:val="18"/>
        </w:rPr>
      </w:pPr>
      <w:r>
        <w:rPr>
          <w:rStyle w:val="Rimandonotaapidipagina"/>
        </w:rPr>
        <w:footnoteRef/>
      </w:r>
      <w:r>
        <w:t xml:space="preserve"> </w:t>
      </w:r>
      <w:r w:rsidRPr="007750EB">
        <w:rPr>
          <w:sz w:val="18"/>
          <w:szCs w:val="18"/>
        </w:rPr>
        <w:t>Per questo Obiettivo di Policy 5 può essere utile tenere presente la versione degli O</w:t>
      </w:r>
      <w:r w:rsidR="0023217F" w:rsidRPr="007750EB">
        <w:rPr>
          <w:sz w:val="18"/>
          <w:szCs w:val="18"/>
        </w:rPr>
        <w:t xml:space="preserve">biettivi </w:t>
      </w:r>
      <w:r w:rsidRPr="007750EB">
        <w:rPr>
          <w:sz w:val="18"/>
          <w:szCs w:val="18"/>
        </w:rPr>
        <w:t>S</w:t>
      </w:r>
      <w:r w:rsidR="0023217F" w:rsidRPr="007750EB">
        <w:rPr>
          <w:sz w:val="18"/>
          <w:szCs w:val="18"/>
        </w:rPr>
        <w:t>trategici</w:t>
      </w:r>
      <w:r w:rsidRPr="007750EB">
        <w:rPr>
          <w:sz w:val="18"/>
          <w:szCs w:val="18"/>
        </w:rPr>
        <w:t xml:space="preserve"> definita nel negoziato interno al Consiglio e che </w:t>
      </w:r>
      <w:r w:rsidR="003A26D1" w:rsidRPr="007750EB">
        <w:rPr>
          <w:sz w:val="18"/>
          <w:szCs w:val="18"/>
        </w:rPr>
        <w:t>è definita come di seguito</w:t>
      </w:r>
      <w:r w:rsidRPr="007750EB">
        <w:rPr>
          <w:sz w:val="18"/>
          <w:szCs w:val="18"/>
        </w:rPr>
        <w:t xml:space="preserve">: </w:t>
      </w:r>
    </w:p>
    <w:p w:rsidR="00B56041" w:rsidRPr="007750EB" w:rsidRDefault="00B56041" w:rsidP="00282AB1">
      <w:pPr>
        <w:pStyle w:val="Testonotaapidipagina"/>
        <w:jc w:val="both"/>
        <w:rPr>
          <w:sz w:val="18"/>
          <w:szCs w:val="18"/>
        </w:rPr>
      </w:pPr>
      <w:r w:rsidRPr="007750EB">
        <w:rPr>
          <w:sz w:val="18"/>
          <w:szCs w:val="18"/>
        </w:rPr>
        <w:t xml:space="preserve">OS-e1 </w:t>
      </w:r>
      <w:r w:rsidRPr="007750EB">
        <w:rPr>
          <w:i/>
          <w:sz w:val="18"/>
          <w:szCs w:val="18"/>
        </w:rPr>
        <w:t>“promuovere lo sviluppo sociale, economico e ambientale</w:t>
      </w:r>
      <w:r w:rsidR="003A26D1" w:rsidRPr="007750EB">
        <w:rPr>
          <w:i/>
          <w:sz w:val="18"/>
          <w:szCs w:val="18"/>
        </w:rPr>
        <w:t xml:space="preserve"> </w:t>
      </w:r>
      <w:r w:rsidRPr="007750EB">
        <w:rPr>
          <w:i/>
          <w:sz w:val="18"/>
          <w:szCs w:val="18"/>
        </w:rPr>
        <w:t>integrato a livello locale, il patrimonio culturale, il turismo e la sicurezza nelle aree urbane”</w:t>
      </w:r>
      <w:r w:rsidRPr="007750EB">
        <w:rPr>
          <w:sz w:val="18"/>
          <w:szCs w:val="18"/>
        </w:rPr>
        <w:t xml:space="preserve">; OS-e2 </w:t>
      </w:r>
      <w:r w:rsidRPr="007750EB">
        <w:rPr>
          <w:i/>
          <w:sz w:val="18"/>
          <w:szCs w:val="18"/>
        </w:rPr>
        <w:t>“promuovere lo sviluppo sociale, economico e ambientale integrato a livello locale, il patrimonio culturale, il turismo e la sicurezza in territori diversi dalle aree urbane”.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19D" w:rsidRDefault="0035119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1ED" w:rsidRDefault="006961ED" w:rsidP="00D86693">
    <w:pPr>
      <w:rPr>
        <w:b/>
        <w:sz w:val="28"/>
        <w:szCs w:val="28"/>
      </w:rPr>
    </w:pPr>
  </w:p>
  <w:p w:rsidR="006961ED" w:rsidRDefault="006961ED" w:rsidP="00D86693">
    <w:pPr>
      <w:rPr>
        <w:b/>
        <w:sz w:val="28"/>
        <w:szCs w:val="28"/>
      </w:rPr>
    </w:pPr>
  </w:p>
  <w:p w:rsidR="00D86693" w:rsidRPr="000901DC" w:rsidRDefault="00D86693" w:rsidP="00684CEB">
    <w:pPr>
      <w:rPr>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19D" w:rsidRDefault="0035119D">
    <w:pPr>
      <w:pStyle w:val="Intestazio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1DC" w:rsidRPr="000901DC" w:rsidRDefault="000901DC" w:rsidP="00D86693">
    <w:pPr>
      <w:rPr>
        <w:b/>
        <w:sz w:val="27"/>
        <w:szCs w:val="27"/>
      </w:rPr>
    </w:pPr>
    <w:r w:rsidRPr="000901DC">
      <w:rPr>
        <w:b/>
        <w:sz w:val="27"/>
        <w:szCs w:val="27"/>
      </w:rPr>
      <w:t xml:space="preserve">Programmazione della politica di coesione 2021 - 2027 </w:t>
    </w:r>
    <w:r>
      <w:rPr>
        <w:b/>
        <w:sz w:val="27"/>
        <w:szCs w:val="27"/>
      </w:rPr>
      <w:t xml:space="preserve"> </w:t>
    </w:r>
    <w:r w:rsidRPr="000901DC">
      <w:rPr>
        <w:b/>
        <w:sz w:val="27"/>
        <w:szCs w:val="27"/>
      </w:rPr>
      <w:t xml:space="preserve"> </w:t>
    </w:r>
    <w:r w:rsidRPr="000901DC">
      <w:rPr>
        <w:b/>
        <w:i/>
        <w:sz w:val="27"/>
        <w:szCs w:val="27"/>
      </w:rPr>
      <w:t xml:space="preserve">Scheda </w:t>
    </w:r>
    <w:r w:rsidR="009631CB">
      <w:rPr>
        <w:b/>
        <w:i/>
        <w:sz w:val="27"/>
        <w:szCs w:val="27"/>
      </w:rPr>
      <w:t>presentazione</w:t>
    </w:r>
    <w:r w:rsidRPr="000901DC">
      <w:rPr>
        <w:b/>
        <w:i/>
        <w:sz w:val="27"/>
        <w:szCs w:val="27"/>
      </w:rPr>
      <w:t xml:space="preserve"> contributi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1DC" w:rsidRPr="000901DC" w:rsidRDefault="000901DC" w:rsidP="00D86693">
    <w:pPr>
      <w:rPr>
        <w:b/>
        <w:sz w:val="28"/>
        <w:szCs w:val="28"/>
      </w:rPr>
    </w:pPr>
    <w:r w:rsidRPr="000901DC">
      <w:rPr>
        <w:b/>
        <w:sz w:val="28"/>
        <w:szCs w:val="28"/>
      </w:rPr>
      <w:t>Programmazione della politica di coesione 2021 - 2027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D2BA2"/>
    <w:multiLevelType w:val="multilevel"/>
    <w:tmpl w:val="2A381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B131F0"/>
    <w:multiLevelType w:val="hybridMultilevel"/>
    <w:tmpl w:val="804AFE4A"/>
    <w:lvl w:ilvl="0" w:tplc="FD08A250">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17000E0C"/>
    <w:multiLevelType w:val="hybridMultilevel"/>
    <w:tmpl w:val="41DE6196"/>
    <w:lvl w:ilvl="0" w:tplc="0562FD2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893C30"/>
    <w:multiLevelType w:val="hybridMultilevel"/>
    <w:tmpl w:val="641C1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2B240B4"/>
    <w:multiLevelType w:val="hybridMultilevel"/>
    <w:tmpl w:val="DE24BB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42110AC"/>
    <w:multiLevelType w:val="hybridMultilevel"/>
    <w:tmpl w:val="859A03B8"/>
    <w:lvl w:ilvl="0" w:tplc="0562FD2E">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AF724D"/>
    <w:multiLevelType w:val="hybridMultilevel"/>
    <w:tmpl w:val="756631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25D1A70"/>
    <w:multiLevelType w:val="hybridMultilevel"/>
    <w:tmpl w:val="061A7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EF6694C"/>
    <w:multiLevelType w:val="hybridMultilevel"/>
    <w:tmpl w:val="AF98EBDC"/>
    <w:lvl w:ilvl="0" w:tplc="0562FD2E">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5CD5282"/>
    <w:multiLevelType w:val="hybridMultilevel"/>
    <w:tmpl w:val="754E917C"/>
    <w:lvl w:ilvl="0" w:tplc="EA76592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02B1A11"/>
    <w:multiLevelType w:val="hybridMultilevel"/>
    <w:tmpl w:val="855C86B2"/>
    <w:lvl w:ilvl="0" w:tplc="CB645BD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6D54D2B"/>
    <w:multiLevelType w:val="hybridMultilevel"/>
    <w:tmpl w:val="CBEEF20A"/>
    <w:lvl w:ilvl="0" w:tplc="9702B83E">
      <w:start w:val="2"/>
      <w:numFmt w:val="decimal"/>
      <w:lvlText w:val="%1."/>
      <w:lvlJc w:val="left"/>
      <w:pPr>
        <w:ind w:left="567" w:hanging="360"/>
      </w:pPr>
      <w:rPr>
        <w:rFonts w:hint="default"/>
        <w:b/>
      </w:rPr>
    </w:lvl>
    <w:lvl w:ilvl="1" w:tplc="04100019" w:tentative="1">
      <w:start w:val="1"/>
      <w:numFmt w:val="lowerLetter"/>
      <w:lvlText w:val="%2."/>
      <w:lvlJc w:val="left"/>
      <w:pPr>
        <w:ind w:left="1287" w:hanging="360"/>
      </w:pPr>
    </w:lvl>
    <w:lvl w:ilvl="2" w:tplc="0410001B" w:tentative="1">
      <w:start w:val="1"/>
      <w:numFmt w:val="lowerRoman"/>
      <w:lvlText w:val="%3."/>
      <w:lvlJc w:val="right"/>
      <w:pPr>
        <w:ind w:left="2007" w:hanging="180"/>
      </w:pPr>
    </w:lvl>
    <w:lvl w:ilvl="3" w:tplc="0410000F" w:tentative="1">
      <w:start w:val="1"/>
      <w:numFmt w:val="decimal"/>
      <w:lvlText w:val="%4."/>
      <w:lvlJc w:val="left"/>
      <w:pPr>
        <w:ind w:left="2727" w:hanging="360"/>
      </w:pPr>
    </w:lvl>
    <w:lvl w:ilvl="4" w:tplc="04100019" w:tentative="1">
      <w:start w:val="1"/>
      <w:numFmt w:val="lowerLetter"/>
      <w:lvlText w:val="%5."/>
      <w:lvlJc w:val="left"/>
      <w:pPr>
        <w:ind w:left="3447" w:hanging="360"/>
      </w:pPr>
    </w:lvl>
    <w:lvl w:ilvl="5" w:tplc="0410001B" w:tentative="1">
      <w:start w:val="1"/>
      <w:numFmt w:val="lowerRoman"/>
      <w:lvlText w:val="%6."/>
      <w:lvlJc w:val="right"/>
      <w:pPr>
        <w:ind w:left="4167" w:hanging="180"/>
      </w:pPr>
    </w:lvl>
    <w:lvl w:ilvl="6" w:tplc="0410000F" w:tentative="1">
      <w:start w:val="1"/>
      <w:numFmt w:val="decimal"/>
      <w:lvlText w:val="%7."/>
      <w:lvlJc w:val="left"/>
      <w:pPr>
        <w:ind w:left="4887" w:hanging="360"/>
      </w:pPr>
    </w:lvl>
    <w:lvl w:ilvl="7" w:tplc="04100019" w:tentative="1">
      <w:start w:val="1"/>
      <w:numFmt w:val="lowerLetter"/>
      <w:lvlText w:val="%8."/>
      <w:lvlJc w:val="left"/>
      <w:pPr>
        <w:ind w:left="5607" w:hanging="360"/>
      </w:pPr>
    </w:lvl>
    <w:lvl w:ilvl="8" w:tplc="0410001B" w:tentative="1">
      <w:start w:val="1"/>
      <w:numFmt w:val="lowerRoman"/>
      <w:lvlText w:val="%9."/>
      <w:lvlJc w:val="right"/>
      <w:pPr>
        <w:ind w:left="6327" w:hanging="180"/>
      </w:pPr>
    </w:lvl>
  </w:abstractNum>
  <w:abstractNum w:abstractNumId="12">
    <w:nsid w:val="72446908"/>
    <w:multiLevelType w:val="hybridMultilevel"/>
    <w:tmpl w:val="512429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F7B6201"/>
    <w:multiLevelType w:val="hybridMultilevel"/>
    <w:tmpl w:val="22B61C80"/>
    <w:lvl w:ilvl="0" w:tplc="C2944BE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10"/>
  </w:num>
  <w:num w:numId="5">
    <w:abstractNumId w:val="9"/>
  </w:num>
  <w:num w:numId="6">
    <w:abstractNumId w:val="13"/>
  </w:num>
  <w:num w:numId="7">
    <w:abstractNumId w:val="12"/>
  </w:num>
  <w:num w:numId="8">
    <w:abstractNumId w:val="3"/>
  </w:num>
  <w:num w:numId="9">
    <w:abstractNumId w:val="11"/>
  </w:num>
  <w:num w:numId="10">
    <w:abstractNumId w:val="6"/>
  </w:num>
  <w:num w:numId="11">
    <w:abstractNumId w:val="5"/>
  </w:num>
  <w:num w:numId="12">
    <w:abstractNumId w:val="8"/>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93B"/>
    <w:rsid w:val="0000282C"/>
    <w:rsid w:val="00004E25"/>
    <w:rsid w:val="00020FD3"/>
    <w:rsid w:val="00027D9A"/>
    <w:rsid w:val="0004493B"/>
    <w:rsid w:val="000627E4"/>
    <w:rsid w:val="00071D71"/>
    <w:rsid w:val="0007294A"/>
    <w:rsid w:val="00072ED0"/>
    <w:rsid w:val="000901DC"/>
    <w:rsid w:val="00096116"/>
    <w:rsid w:val="000A7DDB"/>
    <w:rsid w:val="0012010B"/>
    <w:rsid w:val="00123287"/>
    <w:rsid w:val="00133E6B"/>
    <w:rsid w:val="00135E63"/>
    <w:rsid w:val="00140E3E"/>
    <w:rsid w:val="001533FC"/>
    <w:rsid w:val="00170C3E"/>
    <w:rsid w:val="0018254D"/>
    <w:rsid w:val="0019688A"/>
    <w:rsid w:val="001D3B9C"/>
    <w:rsid w:val="0023217F"/>
    <w:rsid w:val="00232E0E"/>
    <w:rsid w:val="002403E1"/>
    <w:rsid w:val="002433FE"/>
    <w:rsid w:val="00247096"/>
    <w:rsid w:val="00255166"/>
    <w:rsid w:val="002749C4"/>
    <w:rsid w:val="00282AB1"/>
    <w:rsid w:val="002872EA"/>
    <w:rsid w:val="002A3F7E"/>
    <w:rsid w:val="002B57A6"/>
    <w:rsid w:val="002E5C7A"/>
    <w:rsid w:val="00300E83"/>
    <w:rsid w:val="00300FCD"/>
    <w:rsid w:val="0030600D"/>
    <w:rsid w:val="003142D9"/>
    <w:rsid w:val="00317AE6"/>
    <w:rsid w:val="0033245D"/>
    <w:rsid w:val="003333AA"/>
    <w:rsid w:val="0035119D"/>
    <w:rsid w:val="00376CC7"/>
    <w:rsid w:val="00390CEF"/>
    <w:rsid w:val="00392582"/>
    <w:rsid w:val="00394338"/>
    <w:rsid w:val="00394DFE"/>
    <w:rsid w:val="003A26D1"/>
    <w:rsid w:val="003D2924"/>
    <w:rsid w:val="003E1201"/>
    <w:rsid w:val="003E51A2"/>
    <w:rsid w:val="003F5BAC"/>
    <w:rsid w:val="00400769"/>
    <w:rsid w:val="0041672D"/>
    <w:rsid w:val="004341E6"/>
    <w:rsid w:val="0043471C"/>
    <w:rsid w:val="004425A2"/>
    <w:rsid w:val="004573E8"/>
    <w:rsid w:val="004877D8"/>
    <w:rsid w:val="00487E9C"/>
    <w:rsid w:val="004E4485"/>
    <w:rsid w:val="00500DEE"/>
    <w:rsid w:val="00506635"/>
    <w:rsid w:val="00513266"/>
    <w:rsid w:val="00516347"/>
    <w:rsid w:val="0054216D"/>
    <w:rsid w:val="00546540"/>
    <w:rsid w:val="0055288B"/>
    <w:rsid w:val="00555435"/>
    <w:rsid w:val="005568B0"/>
    <w:rsid w:val="00564536"/>
    <w:rsid w:val="00577203"/>
    <w:rsid w:val="005808BB"/>
    <w:rsid w:val="00597752"/>
    <w:rsid w:val="005A3799"/>
    <w:rsid w:val="005B1D40"/>
    <w:rsid w:val="005B476B"/>
    <w:rsid w:val="005C461F"/>
    <w:rsid w:val="005E2AC7"/>
    <w:rsid w:val="00613110"/>
    <w:rsid w:val="00614BB2"/>
    <w:rsid w:val="00675311"/>
    <w:rsid w:val="00676A4C"/>
    <w:rsid w:val="00684CEB"/>
    <w:rsid w:val="006961ED"/>
    <w:rsid w:val="006A7339"/>
    <w:rsid w:val="006B79F1"/>
    <w:rsid w:val="006C4D1D"/>
    <w:rsid w:val="006D7060"/>
    <w:rsid w:val="006F7A5B"/>
    <w:rsid w:val="00706352"/>
    <w:rsid w:val="00710F95"/>
    <w:rsid w:val="00711577"/>
    <w:rsid w:val="007130DE"/>
    <w:rsid w:val="007560E5"/>
    <w:rsid w:val="007750EB"/>
    <w:rsid w:val="007C2273"/>
    <w:rsid w:val="007C6576"/>
    <w:rsid w:val="007D1BCA"/>
    <w:rsid w:val="007F72BF"/>
    <w:rsid w:val="0080741D"/>
    <w:rsid w:val="00823C7C"/>
    <w:rsid w:val="0083074D"/>
    <w:rsid w:val="008524A7"/>
    <w:rsid w:val="00855427"/>
    <w:rsid w:val="008613F1"/>
    <w:rsid w:val="008750A6"/>
    <w:rsid w:val="008A2B3B"/>
    <w:rsid w:val="008B34EA"/>
    <w:rsid w:val="008C094F"/>
    <w:rsid w:val="008C3972"/>
    <w:rsid w:val="008F56D8"/>
    <w:rsid w:val="009071C8"/>
    <w:rsid w:val="0091226A"/>
    <w:rsid w:val="0091793F"/>
    <w:rsid w:val="009631CB"/>
    <w:rsid w:val="0096611A"/>
    <w:rsid w:val="0096662E"/>
    <w:rsid w:val="0097225B"/>
    <w:rsid w:val="0097375B"/>
    <w:rsid w:val="009742DE"/>
    <w:rsid w:val="009777E8"/>
    <w:rsid w:val="00985FB7"/>
    <w:rsid w:val="009A2332"/>
    <w:rsid w:val="009A6D2A"/>
    <w:rsid w:val="009B3A0F"/>
    <w:rsid w:val="009B5FE5"/>
    <w:rsid w:val="009C3EC8"/>
    <w:rsid w:val="009D436E"/>
    <w:rsid w:val="009D51FE"/>
    <w:rsid w:val="009D6508"/>
    <w:rsid w:val="009E464F"/>
    <w:rsid w:val="00A00638"/>
    <w:rsid w:val="00A16C07"/>
    <w:rsid w:val="00A23153"/>
    <w:rsid w:val="00A4263D"/>
    <w:rsid w:val="00A43B60"/>
    <w:rsid w:val="00A66EA3"/>
    <w:rsid w:val="00A711BB"/>
    <w:rsid w:val="00A7486F"/>
    <w:rsid w:val="00AB3C8B"/>
    <w:rsid w:val="00AC0094"/>
    <w:rsid w:val="00AD3318"/>
    <w:rsid w:val="00B05FE2"/>
    <w:rsid w:val="00B13616"/>
    <w:rsid w:val="00B174A7"/>
    <w:rsid w:val="00B24677"/>
    <w:rsid w:val="00B31870"/>
    <w:rsid w:val="00B35C94"/>
    <w:rsid w:val="00B37AAC"/>
    <w:rsid w:val="00B54D6F"/>
    <w:rsid w:val="00B56041"/>
    <w:rsid w:val="00B62DA4"/>
    <w:rsid w:val="00B64B09"/>
    <w:rsid w:val="00B67407"/>
    <w:rsid w:val="00BA43C4"/>
    <w:rsid w:val="00BE4993"/>
    <w:rsid w:val="00BE6E36"/>
    <w:rsid w:val="00C23264"/>
    <w:rsid w:val="00C27026"/>
    <w:rsid w:val="00C517CF"/>
    <w:rsid w:val="00C5768C"/>
    <w:rsid w:val="00C62238"/>
    <w:rsid w:val="00C96008"/>
    <w:rsid w:val="00CA7CA1"/>
    <w:rsid w:val="00CB6E4B"/>
    <w:rsid w:val="00CD60CE"/>
    <w:rsid w:val="00CF15A1"/>
    <w:rsid w:val="00D1611F"/>
    <w:rsid w:val="00D27E21"/>
    <w:rsid w:val="00D40A72"/>
    <w:rsid w:val="00D47947"/>
    <w:rsid w:val="00D64BAE"/>
    <w:rsid w:val="00D86693"/>
    <w:rsid w:val="00DA5A01"/>
    <w:rsid w:val="00DB1AE0"/>
    <w:rsid w:val="00DB4161"/>
    <w:rsid w:val="00DB5F86"/>
    <w:rsid w:val="00DD4A50"/>
    <w:rsid w:val="00DF7CB8"/>
    <w:rsid w:val="00E17CED"/>
    <w:rsid w:val="00E40ED3"/>
    <w:rsid w:val="00E427B0"/>
    <w:rsid w:val="00E61667"/>
    <w:rsid w:val="00E83831"/>
    <w:rsid w:val="00EA5F71"/>
    <w:rsid w:val="00ED2BFD"/>
    <w:rsid w:val="00EF4F49"/>
    <w:rsid w:val="00F14003"/>
    <w:rsid w:val="00F167EF"/>
    <w:rsid w:val="00F30817"/>
    <w:rsid w:val="00F85DE3"/>
    <w:rsid w:val="00F92D1D"/>
    <w:rsid w:val="00FA20C6"/>
    <w:rsid w:val="00FC2144"/>
    <w:rsid w:val="00FE05BA"/>
    <w:rsid w:val="00FE78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pPr>
      <w:spacing w:after="0" w:line="240" w:lineRule="auto"/>
    </w:pPr>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styleId="Paragrafoelenco">
    <w:name w:val="List Paragraph"/>
    <w:basedOn w:val="Normale"/>
    <w:pPr>
      <w:ind w:left="720"/>
    </w:pPr>
  </w:style>
  <w:style w:type="paragraph" w:styleId="Testofumetto">
    <w:name w:val="Balloon Text"/>
    <w:basedOn w:val="Normale"/>
    <w:link w:val="TestofumettoCarattere"/>
    <w:uiPriority w:val="99"/>
    <w:semiHidden/>
    <w:unhideWhenUsed/>
    <w:rsid w:val="005B1D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1D40"/>
    <w:rPr>
      <w:rFonts w:ascii="Tahoma" w:hAnsi="Tahoma" w:cs="Tahoma"/>
      <w:sz w:val="16"/>
      <w:szCs w:val="16"/>
    </w:rPr>
  </w:style>
  <w:style w:type="paragraph" w:customStyle="1" w:styleId="Point1">
    <w:name w:val="Point 1"/>
    <w:basedOn w:val="Normale"/>
    <w:rsid w:val="00564536"/>
    <w:pPr>
      <w:suppressAutoHyphens w:val="0"/>
      <w:autoSpaceDN/>
      <w:spacing w:before="120" w:after="120" w:line="240" w:lineRule="auto"/>
      <w:ind w:left="1417" w:hanging="567"/>
      <w:jc w:val="both"/>
      <w:textAlignment w:val="auto"/>
    </w:pPr>
    <w:rPr>
      <w:rFonts w:ascii="Times New Roman" w:eastAsiaTheme="minorHAnsi" w:hAnsi="Times New Roman"/>
      <w:sz w:val="24"/>
      <w:lang w:eastAsia="it-IT" w:bidi="it-IT"/>
    </w:rPr>
  </w:style>
  <w:style w:type="paragraph" w:customStyle="1" w:styleId="Point2">
    <w:name w:val="Point 2"/>
    <w:basedOn w:val="Normale"/>
    <w:rsid w:val="00564536"/>
    <w:pPr>
      <w:suppressAutoHyphens w:val="0"/>
      <w:autoSpaceDN/>
      <w:spacing w:before="120" w:after="120" w:line="240" w:lineRule="auto"/>
      <w:ind w:left="1984" w:hanging="567"/>
      <w:jc w:val="both"/>
      <w:textAlignment w:val="auto"/>
    </w:pPr>
    <w:rPr>
      <w:rFonts w:ascii="Times New Roman" w:eastAsiaTheme="minorHAnsi" w:hAnsi="Times New Roman"/>
      <w:sz w:val="24"/>
      <w:lang w:eastAsia="it-IT" w:bidi="it-IT"/>
    </w:rPr>
  </w:style>
  <w:style w:type="paragraph" w:customStyle="1" w:styleId="ManualNumPar1">
    <w:name w:val="Manual NumPar 1"/>
    <w:basedOn w:val="Normale"/>
    <w:next w:val="Normale"/>
    <w:rsid w:val="00564536"/>
    <w:pPr>
      <w:suppressAutoHyphens w:val="0"/>
      <w:autoSpaceDN/>
      <w:spacing w:before="120" w:after="120" w:line="240" w:lineRule="auto"/>
      <w:ind w:left="850" w:hanging="850"/>
      <w:jc w:val="both"/>
      <w:textAlignment w:val="auto"/>
    </w:pPr>
    <w:rPr>
      <w:rFonts w:ascii="Times New Roman" w:eastAsiaTheme="minorHAnsi" w:hAnsi="Times New Roman"/>
      <w:sz w:val="24"/>
      <w:lang w:eastAsia="it-IT" w:bidi="it-IT"/>
    </w:rPr>
  </w:style>
  <w:style w:type="paragraph" w:customStyle="1" w:styleId="Titrearticle">
    <w:name w:val="Titre article"/>
    <w:basedOn w:val="Normale"/>
    <w:next w:val="Normale"/>
    <w:rsid w:val="00564536"/>
    <w:pPr>
      <w:keepNext/>
      <w:suppressAutoHyphens w:val="0"/>
      <w:autoSpaceDN/>
      <w:spacing w:before="360" w:after="120" w:line="240" w:lineRule="auto"/>
      <w:jc w:val="center"/>
      <w:textAlignment w:val="auto"/>
    </w:pPr>
    <w:rPr>
      <w:rFonts w:ascii="Times New Roman" w:eastAsiaTheme="minorHAnsi" w:hAnsi="Times New Roman"/>
      <w:i/>
      <w:sz w:val="24"/>
      <w:lang w:eastAsia="it-IT" w:bidi="it-IT"/>
    </w:rPr>
  </w:style>
  <w:style w:type="table" w:styleId="Grigliatabella">
    <w:name w:val="Table Grid"/>
    <w:basedOn w:val="Tabellanormale"/>
    <w:uiPriority w:val="39"/>
    <w:rsid w:val="00564536"/>
    <w:pPr>
      <w:autoSpaceDN/>
      <w:spacing w:after="0" w:line="240" w:lineRule="auto"/>
      <w:textAlignment w:val="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e"/>
    <w:rsid w:val="00564536"/>
    <w:pPr>
      <w:suppressAutoHyphens w:val="0"/>
      <w:autoSpaceDN/>
      <w:spacing w:before="120" w:after="120" w:line="240" w:lineRule="auto"/>
      <w:ind w:left="850"/>
      <w:jc w:val="both"/>
      <w:textAlignment w:val="auto"/>
    </w:pPr>
    <w:rPr>
      <w:rFonts w:ascii="Times New Roman" w:eastAsiaTheme="minorHAnsi" w:hAnsi="Times New Roman"/>
      <w:sz w:val="24"/>
      <w:lang w:eastAsia="it-IT" w:bidi="it-IT"/>
    </w:rPr>
  </w:style>
  <w:style w:type="paragraph" w:styleId="Intestazione">
    <w:name w:val="header"/>
    <w:basedOn w:val="Normale"/>
    <w:link w:val="IntestazioneCarattere"/>
    <w:uiPriority w:val="99"/>
    <w:unhideWhenUsed/>
    <w:rsid w:val="00D866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6693"/>
  </w:style>
  <w:style w:type="paragraph" w:styleId="Pidipagina">
    <w:name w:val="footer"/>
    <w:basedOn w:val="Normale"/>
    <w:link w:val="PidipaginaCarattere"/>
    <w:uiPriority w:val="99"/>
    <w:unhideWhenUsed/>
    <w:rsid w:val="00D866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6693"/>
  </w:style>
  <w:style w:type="character" w:styleId="Collegamentoipertestuale">
    <w:name w:val="Hyperlink"/>
    <w:basedOn w:val="Carpredefinitoparagrafo"/>
    <w:uiPriority w:val="99"/>
    <w:unhideWhenUsed/>
    <w:rsid w:val="001533FC"/>
    <w:rPr>
      <w:color w:val="0000FF" w:themeColor="hyperlink"/>
      <w:u w:val="single"/>
    </w:rPr>
  </w:style>
  <w:style w:type="paragraph" w:styleId="Revisione">
    <w:name w:val="Revision"/>
    <w:hidden/>
    <w:uiPriority w:val="99"/>
    <w:semiHidden/>
    <w:rsid w:val="00F167EF"/>
    <w:pPr>
      <w:autoSpaceDN/>
      <w:spacing w:after="0" w:line="240" w:lineRule="auto"/>
      <w:textAlignment w:val="auto"/>
    </w:pPr>
  </w:style>
  <w:style w:type="paragraph" w:styleId="NormaleWeb">
    <w:name w:val="Normal (Web)"/>
    <w:basedOn w:val="Normale"/>
    <w:uiPriority w:val="99"/>
    <w:semiHidden/>
    <w:unhideWhenUsed/>
    <w:rsid w:val="006961ED"/>
    <w:pPr>
      <w:suppressAutoHyphens w:val="0"/>
      <w:autoSpaceDN/>
      <w:spacing w:before="100" w:beforeAutospacing="1" w:after="100" w:afterAutospacing="1" w:line="240" w:lineRule="auto"/>
      <w:textAlignment w:val="auto"/>
    </w:pPr>
    <w:rPr>
      <w:rFonts w:ascii="Times New Roman" w:eastAsiaTheme="minorEastAsia" w:hAnsi="Times New Roman"/>
      <w:sz w:val="24"/>
      <w:szCs w:val="24"/>
      <w:lang w:eastAsia="it-IT"/>
    </w:rPr>
  </w:style>
  <w:style w:type="character" w:customStyle="1" w:styleId="Menzionenonrisolta1">
    <w:name w:val="Menzione non risolta1"/>
    <w:basedOn w:val="Carpredefinitoparagrafo"/>
    <w:uiPriority w:val="99"/>
    <w:semiHidden/>
    <w:unhideWhenUsed/>
    <w:rsid w:val="00DB5F86"/>
    <w:rPr>
      <w:color w:val="605E5C"/>
      <w:shd w:val="clear" w:color="auto" w:fill="E1DFDD"/>
    </w:rPr>
  </w:style>
  <w:style w:type="character" w:styleId="Enfasigrassetto">
    <w:name w:val="Strong"/>
    <w:uiPriority w:val="22"/>
    <w:qFormat/>
    <w:rsid w:val="0007294A"/>
    <w:rPr>
      <w:rFonts w:asciiTheme="minorHAnsi" w:hAnsiTheme="minorHAnsi"/>
      <w:b/>
      <w:color w:val="C0504D" w:themeColor="accent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pPr>
      <w:spacing w:after="0" w:line="240" w:lineRule="auto"/>
    </w:pPr>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styleId="Paragrafoelenco">
    <w:name w:val="List Paragraph"/>
    <w:basedOn w:val="Normale"/>
    <w:pPr>
      <w:ind w:left="720"/>
    </w:pPr>
  </w:style>
  <w:style w:type="paragraph" w:styleId="Testofumetto">
    <w:name w:val="Balloon Text"/>
    <w:basedOn w:val="Normale"/>
    <w:link w:val="TestofumettoCarattere"/>
    <w:uiPriority w:val="99"/>
    <w:semiHidden/>
    <w:unhideWhenUsed/>
    <w:rsid w:val="005B1D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1D40"/>
    <w:rPr>
      <w:rFonts w:ascii="Tahoma" w:hAnsi="Tahoma" w:cs="Tahoma"/>
      <w:sz w:val="16"/>
      <w:szCs w:val="16"/>
    </w:rPr>
  </w:style>
  <w:style w:type="paragraph" w:customStyle="1" w:styleId="Point1">
    <w:name w:val="Point 1"/>
    <w:basedOn w:val="Normale"/>
    <w:rsid w:val="00564536"/>
    <w:pPr>
      <w:suppressAutoHyphens w:val="0"/>
      <w:autoSpaceDN/>
      <w:spacing w:before="120" w:after="120" w:line="240" w:lineRule="auto"/>
      <w:ind w:left="1417" w:hanging="567"/>
      <w:jc w:val="both"/>
      <w:textAlignment w:val="auto"/>
    </w:pPr>
    <w:rPr>
      <w:rFonts w:ascii="Times New Roman" w:eastAsiaTheme="minorHAnsi" w:hAnsi="Times New Roman"/>
      <w:sz w:val="24"/>
      <w:lang w:eastAsia="it-IT" w:bidi="it-IT"/>
    </w:rPr>
  </w:style>
  <w:style w:type="paragraph" w:customStyle="1" w:styleId="Point2">
    <w:name w:val="Point 2"/>
    <w:basedOn w:val="Normale"/>
    <w:rsid w:val="00564536"/>
    <w:pPr>
      <w:suppressAutoHyphens w:val="0"/>
      <w:autoSpaceDN/>
      <w:spacing w:before="120" w:after="120" w:line="240" w:lineRule="auto"/>
      <w:ind w:left="1984" w:hanging="567"/>
      <w:jc w:val="both"/>
      <w:textAlignment w:val="auto"/>
    </w:pPr>
    <w:rPr>
      <w:rFonts w:ascii="Times New Roman" w:eastAsiaTheme="minorHAnsi" w:hAnsi="Times New Roman"/>
      <w:sz w:val="24"/>
      <w:lang w:eastAsia="it-IT" w:bidi="it-IT"/>
    </w:rPr>
  </w:style>
  <w:style w:type="paragraph" w:customStyle="1" w:styleId="ManualNumPar1">
    <w:name w:val="Manual NumPar 1"/>
    <w:basedOn w:val="Normale"/>
    <w:next w:val="Normale"/>
    <w:rsid w:val="00564536"/>
    <w:pPr>
      <w:suppressAutoHyphens w:val="0"/>
      <w:autoSpaceDN/>
      <w:spacing w:before="120" w:after="120" w:line="240" w:lineRule="auto"/>
      <w:ind w:left="850" w:hanging="850"/>
      <w:jc w:val="both"/>
      <w:textAlignment w:val="auto"/>
    </w:pPr>
    <w:rPr>
      <w:rFonts w:ascii="Times New Roman" w:eastAsiaTheme="minorHAnsi" w:hAnsi="Times New Roman"/>
      <w:sz w:val="24"/>
      <w:lang w:eastAsia="it-IT" w:bidi="it-IT"/>
    </w:rPr>
  </w:style>
  <w:style w:type="paragraph" w:customStyle="1" w:styleId="Titrearticle">
    <w:name w:val="Titre article"/>
    <w:basedOn w:val="Normale"/>
    <w:next w:val="Normale"/>
    <w:rsid w:val="00564536"/>
    <w:pPr>
      <w:keepNext/>
      <w:suppressAutoHyphens w:val="0"/>
      <w:autoSpaceDN/>
      <w:spacing w:before="360" w:after="120" w:line="240" w:lineRule="auto"/>
      <w:jc w:val="center"/>
      <w:textAlignment w:val="auto"/>
    </w:pPr>
    <w:rPr>
      <w:rFonts w:ascii="Times New Roman" w:eastAsiaTheme="minorHAnsi" w:hAnsi="Times New Roman"/>
      <w:i/>
      <w:sz w:val="24"/>
      <w:lang w:eastAsia="it-IT" w:bidi="it-IT"/>
    </w:rPr>
  </w:style>
  <w:style w:type="table" w:styleId="Grigliatabella">
    <w:name w:val="Table Grid"/>
    <w:basedOn w:val="Tabellanormale"/>
    <w:uiPriority w:val="39"/>
    <w:rsid w:val="00564536"/>
    <w:pPr>
      <w:autoSpaceDN/>
      <w:spacing w:after="0" w:line="240" w:lineRule="auto"/>
      <w:textAlignment w:val="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e"/>
    <w:rsid w:val="00564536"/>
    <w:pPr>
      <w:suppressAutoHyphens w:val="0"/>
      <w:autoSpaceDN/>
      <w:spacing w:before="120" w:after="120" w:line="240" w:lineRule="auto"/>
      <w:ind w:left="850"/>
      <w:jc w:val="both"/>
      <w:textAlignment w:val="auto"/>
    </w:pPr>
    <w:rPr>
      <w:rFonts w:ascii="Times New Roman" w:eastAsiaTheme="minorHAnsi" w:hAnsi="Times New Roman"/>
      <w:sz w:val="24"/>
      <w:lang w:eastAsia="it-IT" w:bidi="it-IT"/>
    </w:rPr>
  </w:style>
  <w:style w:type="paragraph" w:styleId="Intestazione">
    <w:name w:val="header"/>
    <w:basedOn w:val="Normale"/>
    <w:link w:val="IntestazioneCarattere"/>
    <w:uiPriority w:val="99"/>
    <w:unhideWhenUsed/>
    <w:rsid w:val="00D866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6693"/>
  </w:style>
  <w:style w:type="paragraph" w:styleId="Pidipagina">
    <w:name w:val="footer"/>
    <w:basedOn w:val="Normale"/>
    <w:link w:val="PidipaginaCarattere"/>
    <w:uiPriority w:val="99"/>
    <w:unhideWhenUsed/>
    <w:rsid w:val="00D866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6693"/>
  </w:style>
  <w:style w:type="character" w:styleId="Collegamentoipertestuale">
    <w:name w:val="Hyperlink"/>
    <w:basedOn w:val="Carpredefinitoparagrafo"/>
    <w:uiPriority w:val="99"/>
    <w:unhideWhenUsed/>
    <w:rsid w:val="001533FC"/>
    <w:rPr>
      <w:color w:val="0000FF" w:themeColor="hyperlink"/>
      <w:u w:val="single"/>
    </w:rPr>
  </w:style>
  <w:style w:type="paragraph" w:styleId="Revisione">
    <w:name w:val="Revision"/>
    <w:hidden/>
    <w:uiPriority w:val="99"/>
    <w:semiHidden/>
    <w:rsid w:val="00F167EF"/>
    <w:pPr>
      <w:autoSpaceDN/>
      <w:spacing w:after="0" w:line="240" w:lineRule="auto"/>
      <w:textAlignment w:val="auto"/>
    </w:pPr>
  </w:style>
  <w:style w:type="paragraph" w:styleId="NormaleWeb">
    <w:name w:val="Normal (Web)"/>
    <w:basedOn w:val="Normale"/>
    <w:uiPriority w:val="99"/>
    <w:semiHidden/>
    <w:unhideWhenUsed/>
    <w:rsid w:val="006961ED"/>
    <w:pPr>
      <w:suppressAutoHyphens w:val="0"/>
      <w:autoSpaceDN/>
      <w:spacing w:before="100" w:beforeAutospacing="1" w:after="100" w:afterAutospacing="1" w:line="240" w:lineRule="auto"/>
      <w:textAlignment w:val="auto"/>
    </w:pPr>
    <w:rPr>
      <w:rFonts w:ascii="Times New Roman" w:eastAsiaTheme="minorEastAsia" w:hAnsi="Times New Roman"/>
      <w:sz w:val="24"/>
      <w:szCs w:val="24"/>
      <w:lang w:eastAsia="it-IT"/>
    </w:rPr>
  </w:style>
  <w:style w:type="character" w:customStyle="1" w:styleId="Menzionenonrisolta1">
    <w:name w:val="Menzione non risolta1"/>
    <w:basedOn w:val="Carpredefinitoparagrafo"/>
    <w:uiPriority w:val="99"/>
    <w:semiHidden/>
    <w:unhideWhenUsed/>
    <w:rsid w:val="00DB5F86"/>
    <w:rPr>
      <w:color w:val="605E5C"/>
      <w:shd w:val="clear" w:color="auto" w:fill="E1DFDD"/>
    </w:rPr>
  </w:style>
  <w:style w:type="character" w:styleId="Enfasigrassetto">
    <w:name w:val="Strong"/>
    <w:uiPriority w:val="22"/>
    <w:qFormat/>
    <w:rsid w:val="0007294A"/>
    <w:rPr>
      <w:rFonts w:asciiTheme="minorHAnsi" w:hAnsiTheme="minorHAnsi"/>
      <w:b/>
      <w:color w:val="C0504D" w:themeColor="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20266">
      <w:bodyDiv w:val="1"/>
      <w:marLeft w:val="0"/>
      <w:marRight w:val="0"/>
      <w:marTop w:val="0"/>
      <w:marBottom w:val="0"/>
      <w:divBdr>
        <w:top w:val="none" w:sz="0" w:space="0" w:color="auto"/>
        <w:left w:val="none" w:sz="0" w:space="0" w:color="auto"/>
        <w:bottom w:val="none" w:sz="0" w:space="0" w:color="auto"/>
        <w:right w:val="none" w:sz="0" w:space="0" w:color="auto"/>
      </w:divBdr>
    </w:div>
    <w:div w:id="583612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eatoriginal.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rfesrlearning@regione.umbria.it"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progcomunitaria@regione.umbria.it"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6D3D3-3AA6-45AF-86AB-D8F5BA9F1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3440</Words>
  <Characters>19609</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Boffo</dc:creator>
  <cp:lastModifiedBy>RLORobertoM</cp:lastModifiedBy>
  <cp:revision>2</cp:revision>
  <cp:lastPrinted>2019-09-30T15:36:00Z</cp:lastPrinted>
  <dcterms:created xsi:type="dcterms:W3CDTF">2019-10-04T07:12:00Z</dcterms:created>
  <dcterms:modified xsi:type="dcterms:W3CDTF">2019-10-04T07:12:00Z</dcterms:modified>
</cp:coreProperties>
</file>