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F4" w:rsidRPr="00534FF4" w:rsidRDefault="00534FF4" w:rsidP="00534FF4">
      <w:pPr>
        <w:tabs>
          <w:tab w:val="left" w:pos="3360"/>
        </w:tabs>
        <w:spacing w:after="60" w:line="288" w:lineRule="auto"/>
        <w:jc w:val="both"/>
        <w:rPr>
          <w:sz w:val="40"/>
          <w:szCs w:val="40"/>
        </w:rPr>
      </w:pPr>
      <w:r>
        <w:rPr>
          <w:sz w:val="24"/>
          <w:szCs w:val="24"/>
        </w:rPr>
        <w:tab/>
      </w:r>
      <w:r w:rsidRPr="00534FF4">
        <w:rPr>
          <w:sz w:val="40"/>
          <w:szCs w:val="40"/>
        </w:rPr>
        <w:t>Contributo INFN</w:t>
      </w:r>
    </w:p>
    <w:p w:rsidR="000901DC" w:rsidRPr="00534FF4" w:rsidRDefault="00534FF4" w:rsidP="00534FF4">
      <w:pPr>
        <w:tabs>
          <w:tab w:val="left" w:pos="3360"/>
        </w:tabs>
        <w:rPr>
          <w:sz w:val="24"/>
          <w:szCs w:val="24"/>
        </w:rPr>
        <w:sectPr w:rsidR="000901DC" w:rsidRPr="00534FF4" w:rsidSect="006961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991" w:bottom="720" w:left="993" w:header="907" w:footer="720" w:gutter="0"/>
          <w:cols w:space="720"/>
          <w:docGrid w:linePitch="299"/>
        </w:sectPr>
      </w:pPr>
      <w:r>
        <w:rPr>
          <w:sz w:val="24"/>
          <w:szCs w:val="24"/>
        </w:rPr>
        <w:tab/>
      </w:r>
    </w:p>
    <w:tbl>
      <w:tblPr>
        <w:tblStyle w:val="Grigliatabella"/>
        <w:tblW w:w="10550" w:type="dxa"/>
        <w:tblInd w:w="-289" w:type="dxa"/>
        <w:tblLook w:val="04A0" w:firstRow="1" w:lastRow="0" w:firstColumn="1" w:lastColumn="0" w:noHBand="0" w:noVBand="1"/>
      </w:tblPr>
      <w:tblGrid>
        <w:gridCol w:w="8127"/>
        <w:gridCol w:w="2423"/>
      </w:tblGrid>
      <w:tr w:rsidR="00392582" w:rsidRPr="00555435" w:rsidTr="00D47947">
        <w:trPr>
          <w:trHeight w:val="407"/>
        </w:trPr>
        <w:tc>
          <w:tcPr>
            <w:tcW w:w="8127" w:type="dxa"/>
          </w:tcPr>
          <w:p w:rsidR="00392582" w:rsidRPr="00555435" w:rsidRDefault="00555435" w:rsidP="00CB6E4B">
            <w:pPr>
              <w:spacing w:line="220" w:lineRule="exact"/>
              <w:jc w:val="both"/>
            </w:pPr>
            <w:r w:rsidRPr="00555435">
              <w:lastRenderedPageBreak/>
              <w:t>ENTE/ORGANIZZAZIONE</w:t>
            </w:r>
            <w:r w:rsidR="00392582" w:rsidRPr="00555435">
              <w:t>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>(specificare</w:t>
            </w:r>
            <w:r w:rsidRPr="00534FF4">
              <w:rPr>
                <w:i/>
                <w:sz w:val="28"/>
                <w:szCs w:val="28"/>
              </w:rPr>
              <w:t>)</w:t>
            </w:r>
            <w:r w:rsidR="007A742E" w:rsidRPr="00534FF4">
              <w:rPr>
                <w:i/>
                <w:sz w:val="28"/>
                <w:szCs w:val="28"/>
              </w:rPr>
              <w:t xml:space="preserve">  </w:t>
            </w:r>
            <w:r w:rsidR="007A742E" w:rsidRPr="00534FF4">
              <w:rPr>
                <w:i/>
                <w:sz w:val="24"/>
                <w:szCs w:val="24"/>
              </w:rPr>
              <w:t>ISTITUTO NA</w:t>
            </w:r>
            <w:r w:rsidR="00534FF4" w:rsidRPr="00534FF4">
              <w:rPr>
                <w:i/>
                <w:sz w:val="24"/>
                <w:szCs w:val="24"/>
              </w:rPr>
              <w:t>ZIONALE DI FISICA NUCLEARE (INFN</w:t>
            </w:r>
            <w:r w:rsidR="007A742E" w:rsidRPr="00534FF4">
              <w:rPr>
                <w:i/>
                <w:sz w:val="24"/>
                <w:szCs w:val="24"/>
              </w:rPr>
              <w:t>)</w:t>
            </w:r>
            <w:r w:rsidR="007A742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3" w:type="dxa"/>
          </w:tcPr>
          <w:p w:rsidR="00392582" w:rsidRPr="00555435" w:rsidRDefault="00555435" w:rsidP="00555435">
            <w:pPr>
              <w:jc w:val="both"/>
            </w:pPr>
            <w:r w:rsidRPr="00555435">
              <w:t>DATA:</w:t>
            </w:r>
            <w:r w:rsidR="00392582" w:rsidRPr="00555435">
              <w:t xml:space="preserve"> </w:t>
            </w:r>
            <w:r w:rsidR="00CE25D5">
              <w:t>20/09/2019</w:t>
            </w:r>
          </w:p>
        </w:tc>
      </w:tr>
      <w:tr w:rsidR="0096662E" w:rsidRPr="00555435" w:rsidTr="00EA5F71">
        <w:trPr>
          <w:trHeight w:val="407"/>
        </w:trPr>
        <w:tc>
          <w:tcPr>
            <w:tcW w:w="10550" w:type="dxa"/>
            <w:gridSpan w:val="2"/>
          </w:tcPr>
          <w:p w:rsidR="0096662E" w:rsidRPr="00555435" w:rsidRDefault="00555435" w:rsidP="00CB6E4B">
            <w:pPr>
              <w:spacing w:line="220" w:lineRule="exact"/>
              <w:rPr>
                <w:sz w:val="18"/>
                <w:szCs w:val="18"/>
              </w:rPr>
            </w:pPr>
            <w:r w:rsidRPr="00555435">
              <w:t>RESPONSABILE DELLA COMPILAZIONE:</w:t>
            </w:r>
            <w:r w:rsidR="00CB6E4B">
              <w:br/>
            </w:r>
            <w:r w:rsidRPr="00123287">
              <w:rPr>
                <w:i/>
                <w:sz w:val="20"/>
                <w:szCs w:val="20"/>
              </w:rPr>
              <w:t xml:space="preserve">(specificare nominativo ed indirizzo </w:t>
            </w:r>
            <w:r w:rsidR="00EA5F71">
              <w:rPr>
                <w:i/>
                <w:sz w:val="20"/>
                <w:szCs w:val="20"/>
              </w:rPr>
              <w:t>e</w:t>
            </w:r>
            <w:r w:rsidRPr="00123287">
              <w:rPr>
                <w:i/>
                <w:sz w:val="20"/>
                <w:szCs w:val="20"/>
              </w:rPr>
              <w:t>mail)</w:t>
            </w:r>
            <w:r w:rsidR="007A742E">
              <w:rPr>
                <w:i/>
                <w:sz w:val="20"/>
                <w:szCs w:val="20"/>
              </w:rPr>
              <w:t xml:space="preserve"> </w:t>
            </w:r>
            <w:r w:rsidR="007A742E" w:rsidRPr="00534FF4">
              <w:rPr>
                <w:i/>
                <w:sz w:val="24"/>
                <w:szCs w:val="24"/>
              </w:rPr>
              <w:t>DOTT. BRUNO CHECCUCCI EMAIL BRUNO.CHECCUCCI@PG.INFN.IT</w:t>
            </w:r>
          </w:p>
        </w:tc>
      </w:tr>
      <w:tr w:rsidR="00555435" w:rsidRPr="00555435" w:rsidTr="00EA5F71">
        <w:trPr>
          <w:trHeight w:val="407"/>
        </w:trPr>
        <w:tc>
          <w:tcPr>
            <w:tcW w:w="10550" w:type="dxa"/>
            <w:gridSpan w:val="2"/>
          </w:tcPr>
          <w:p w:rsidR="00555435" w:rsidRPr="00555435" w:rsidRDefault="00555435" w:rsidP="00CB6E4B">
            <w:pPr>
              <w:spacing w:line="220" w:lineRule="exact"/>
            </w:pPr>
            <w:r w:rsidRPr="00555435">
              <w:t xml:space="preserve">OBIETTIVO DI POLICY: </w:t>
            </w:r>
            <w:r w:rsidR="00CB6E4B">
              <w:br/>
            </w:r>
            <w:r w:rsidR="00CB6E4B">
              <w:rPr>
                <w:i/>
                <w:sz w:val="20"/>
                <w:szCs w:val="20"/>
              </w:rPr>
              <w:t>(</w:t>
            </w:r>
            <w:r w:rsidRPr="00123287">
              <w:rPr>
                <w:i/>
                <w:sz w:val="20"/>
                <w:szCs w:val="20"/>
              </w:rPr>
              <w:t>specificare)</w:t>
            </w:r>
            <w:r w:rsidR="007A742E">
              <w:rPr>
                <w:i/>
                <w:sz w:val="20"/>
                <w:szCs w:val="20"/>
              </w:rPr>
              <w:t xml:space="preserve"> </w:t>
            </w:r>
            <w:r w:rsidR="007A742E" w:rsidRPr="00534FF4">
              <w:rPr>
                <w:i/>
                <w:sz w:val="24"/>
                <w:szCs w:val="24"/>
              </w:rPr>
              <w:t>1 EUROPA PIU’ INTELLIGENTE</w:t>
            </w:r>
          </w:p>
        </w:tc>
      </w:tr>
      <w:tr w:rsidR="006D7060" w:rsidRPr="00555435" w:rsidTr="00EA5F71">
        <w:trPr>
          <w:trHeight w:val="427"/>
        </w:trPr>
        <w:tc>
          <w:tcPr>
            <w:tcW w:w="10550" w:type="dxa"/>
            <w:gridSpan w:val="2"/>
          </w:tcPr>
          <w:p w:rsidR="006D7060" w:rsidRPr="005A3799" w:rsidRDefault="00597752" w:rsidP="00CB6E4B">
            <w:pPr>
              <w:spacing w:line="220" w:lineRule="exact"/>
            </w:pPr>
            <w:r w:rsidRPr="005A3799">
              <w:t>OBIETTIVO SPECIFICO:</w:t>
            </w:r>
            <w:r w:rsidR="00555435" w:rsidRPr="005A3799">
              <w:t xml:space="preserve"> </w:t>
            </w:r>
            <w:r w:rsidR="00CB6E4B" w:rsidRPr="005A3799">
              <w:br/>
            </w:r>
            <w:r w:rsidR="00555435" w:rsidRPr="005A3799">
              <w:rPr>
                <w:i/>
                <w:sz w:val="20"/>
                <w:szCs w:val="20"/>
              </w:rPr>
              <w:t>(specificare)</w:t>
            </w:r>
            <w:r w:rsidR="00AD2B07" w:rsidRPr="00534FF4">
              <w:rPr>
                <w:i/>
                <w:sz w:val="24"/>
                <w:szCs w:val="24"/>
              </w:rPr>
              <w:t xml:space="preserve"> A3</w:t>
            </w:r>
          </w:p>
        </w:tc>
      </w:tr>
      <w:tr w:rsidR="00C5768C" w:rsidRPr="00A16C07" w:rsidTr="00EA5F71">
        <w:trPr>
          <w:trHeight w:val="532"/>
        </w:trPr>
        <w:tc>
          <w:tcPr>
            <w:tcW w:w="10550" w:type="dxa"/>
            <w:gridSpan w:val="2"/>
          </w:tcPr>
          <w:p w:rsidR="00C5768C" w:rsidRPr="005A3799" w:rsidRDefault="00B31870" w:rsidP="00D47947">
            <w:pPr>
              <w:pStyle w:val="Paragrafoelenco"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A3799">
              <w:rPr>
                <w:b/>
                <w:i/>
              </w:rPr>
              <w:t>A)</w:t>
            </w:r>
            <w:r w:rsidR="00675311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>Quali esperienze di politiche pubbliche, tipologie di interventi</w:t>
            </w:r>
            <w:r w:rsidR="00376CC7" w:rsidRPr="005A3799">
              <w:rPr>
                <w:i/>
              </w:rPr>
              <w:t xml:space="preserve"> </w:t>
            </w:r>
            <w:r w:rsidR="00C5768C" w:rsidRPr="005A3799">
              <w:rPr>
                <w:i/>
              </w:rPr>
              <w:t xml:space="preserve">e strumenti è utile </w:t>
            </w:r>
            <w:r w:rsidR="00855427" w:rsidRPr="005A3799">
              <w:rPr>
                <w:i/>
              </w:rPr>
              <w:t>proporre</w:t>
            </w:r>
            <w:r w:rsidR="00555435" w:rsidRPr="005A3799">
              <w:rPr>
                <w:i/>
              </w:rPr>
              <w:t xml:space="preserve"> in quanto</w:t>
            </w:r>
            <w:r w:rsidR="005E2AC7" w:rsidRPr="005A3799">
              <w:rPr>
                <w:i/>
              </w:rPr>
              <w:t xml:space="preserve"> coerenti e</w:t>
            </w:r>
            <w:r w:rsidR="00555435" w:rsidRPr="005A3799">
              <w:rPr>
                <w:i/>
              </w:rPr>
              <w:t xml:space="preserve"> promettenti? Specificare le motivazioni.</w:t>
            </w:r>
            <w:r w:rsidR="0096611A" w:rsidRPr="005A3799">
              <w:rPr>
                <w:i/>
              </w:rPr>
              <w:t xml:space="preserve"> Quali sono i risultati attesi delle azioni che si propongono?</w:t>
            </w:r>
          </w:p>
        </w:tc>
      </w:tr>
      <w:tr w:rsidR="00555435" w:rsidRPr="00555435" w:rsidTr="00EA5F71">
        <w:trPr>
          <w:trHeight w:val="3194"/>
        </w:trPr>
        <w:tc>
          <w:tcPr>
            <w:tcW w:w="10550" w:type="dxa"/>
            <w:gridSpan w:val="2"/>
          </w:tcPr>
          <w:p w:rsidR="003E573D" w:rsidRPr="00253EC3" w:rsidRDefault="00FA6AE4" w:rsidP="003E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3EC3">
              <w:rPr>
                <w:rFonts w:ascii="Times New Roman" w:hAnsi="Times New Roman" w:cs="Times New Roman"/>
                <w:color w:val="686464"/>
                <w:sz w:val="24"/>
                <w:szCs w:val="24"/>
                <w:shd w:val="clear" w:color="auto" w:fill="FFFFFF"/>
              </w:rPr>
              <w:t xml:space="preserve">Si vuole proporre </w:t>
            </w:r>
            <w:r w:rsidR="00F649B7" w:rsidRPr="00253EC3">
              <w:rPr>
                <w:rFonts w:ascii="Times New Roman" w:hAnsi="Times New Roman" w:cs="Times New Roman"/>
                <w:color w:val="686464"/>
                <w:sz w:val="24"/>
                <w:szCs w:val="24"/>
                <w:shd w:val="clear" w:color="auto" w:fill="FFFFFF"/>
              </w:rPr>
              <w:t>l’</w:t>
            </w:r>
            <w:r w:rsidR="003E573D" w:rsidRPr="00253EC3">
              <w:rPr>
                <w:rFonts w:ascii="Times New Roman" w:hAnsi="Times New Roman" w:cs="Times New Roman"/>
                <w:color w:val="686464"/>
                <w:sz w:val="24"/>
                <w:szCs w:val="24"/>
                <w:shd w:val="clear" w:color="auto" w:fill="FFFFFF"/>
              </w:rPr>
              <w:t xml:space="preserve">esperienza </w:t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dello strumento dell’appalto pre-commerciale- PCP.</w:t>
            </w:r>
          </w:p>
          <w:p w:rsidR="003E573D" w:rsidRPr="00253EC3" w:rsidRDefault="003E573D" w:rsidP="003E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Strumento che lo scrivente ritiene utile nell’obiettivo A3.  </w:t>
            </w:r>
          </w:p>
          <w:p w:rsidR="003D2924" w:rsidRPr="00253EC3" w:rsidRDefault="00253EC3" w:rsidP="003E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</w:t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on esso si può procedere l’individuazione delle esigenze di innovazione (i cosiddetti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fabbisogni tecnologici”) e poi </w:t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attivare le procedure di gara PCP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E573D" w:rsidRPr="00253EC3">
              <w:rPr>
                <w:rFonts w:ascii="Consolas" w:hAnsi="Consolas"/>
                <w:color w:val="000000"/>
                <w:sz w:val="24"/>
                <w:szCs w:val="24"/>
              </w:rPr>
              <w:br/>
            </w:r>
            <w:r w:rsidR="003E573D" w:rsidRPr="00253EC3">
              <w:rPr>
                <w:rFonts w:ascii="Consolas" w:hAnsi="Consolas"/>
                <w:color w:val="000000"/>
                <w:sz w:val="24"/>
                <w:szCs w:val="24"/>
              </w:rPr>
              <w:br/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 questa ottica sarà l’ente pubblico a pagare la ricerca, lo sviluppo e la sperimentazione per arrivare alla tecnologia chiamata a soddisfare i fabbisogni indicati nell’appalto pre-commerciale che si andrà a sottoscrivere.</w:t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E573D"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La particolarità dell’iter sta nella formulazione del bando: a chi risponderà, la Regione come risultati attesi non chiede prodotti o servizi disponibili sul mercato, quanto la ricerca e lo sviluppo di soluzioni innovativo o ex novo a partire dalle indicazioni che addetti ai lavori hanno sottoposto all’ente pubblico in una fase precedente.</w:t>
            </w:r>
          </w:p>
          <w:p w:rsidR="003E573D" w:rsidRPr="00253EC3" w:rsidRDefault="003E573D" w:rsidP="003E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E573D" w:rsidRPr="00253EC3" w:rsidRDefault="003E573D" w:rsidP="003E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Questa tipol</w:t>
            </w:r>
            <w:r w:rsidR="00253EC3"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ogia d’esperienza (attuata in</w:t>
            </w:r>
            <w:r w:rsidRPr="00253E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Regione Lombardia, ma non solo, rif. punto 4) è a giudizio dello scrivente particolarmente utili e proponibile anche nel nostro territorio.</w:t>
            </w:r>
          </w:p>
          <w:p w:rsidR="00D01B0E" w:rsidRPr="00253EC3" w:rsidRDefault="00D01B0E" w:rsidP="003E5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>NB: Secondo la Commissione europea i progetti PCP possono generare il doppio di R&amp;D rispetto ai progetti di Ricerca e sviluppo tradizionali (European Commission, 2015).</w:t>
            </w:r>
          </w:p>
          <w:p w:rsidR="003D2924" w:rsidRDefault="003D292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EC3" w:rsidRPr="00253EC3" w:rsidRDefault="00253EC3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24" w:rsidRPr="00253EC3" w:rsidRDefault="00534FF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 xml:space="preserve">ALTRA TIPOLOGIA DI STRUMENTO </w:t>
            </w:r>
            <w:r w:rsidR="00253EC3" w:rsidRPr="00253EC3">
              <w:rPr>
                <w:rFonts w:ascii="Times New Roman" w:hAnsi="Times New Roman" w:cs="Times New Roman"/>
                <w:sz w:val="24"/>
                <w:szCs w:val="24"/>
              </w:rPr>
              <w:t xml:space="preserve">INTERESSANTE </w:t>
            </w: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>POTREBBE ESS</w:t>
            </w:r>
            <w:r w:rsidR="00253EC3" w:rsidRPr="00253EC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>RE QUELLA DEI “Matching Fund” da attivarsi attraverso Sviluppumbria in analogia a quanto realizzato dalla società Trentino Sviluppo.</w:t>
            </w:r>
          </w:p>
          <w:p w:rsidR="00534FF4" w:rsidRPr="00253EC3" w:rsidRDefault="00534FF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F4" w:rsidRPr="00253EC3" w:rsidRDefault="00534FF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 xml:space="preserve"> “Matching Fund” è un modello che prevede un intervento di sostegno in equity,  che dovrà andare a sommarsi ad un investimento di pari importo apportato da un investitore privato (cofinanziamento). Per “Matching Fund” quindi si intende un meccanismo di finanziamento congiunto, pubblico – privato. </w:t>
            </w:r>
            <w:r w:rsidRPr="00253E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Questo strumento, si pone l’obiettivo di sostenere le piccole imprese del territorio nella fase di sviluppo</w:t>
            </w: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>, promuovendo in questo modo l’innovazione, la crescita del capitale umano, lo sviluppo del tessuto imprenditoriale e la competitività della regione. L’attivazione di questo strumento ha l’obiettivo di generare importanti ricadute sul territorio in termini di:</w:t>
            </w:r>
          </w:p>
          <w:p w:rsidR="00534FF4" w:rsidRPr="00253EC3" w:rsidRDefault="00534FF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EC3">
              <w:rPr>
                <w:rFonts w:ascii="Segoe UI Symbol" w:hAnsi="Segoe UI Symbol" w:cs="Segoe UI Symbol"/>
                <w:sz w:val="24"/>
                <w:szCs w:val="24"/>
              </w:rPr>
              <w:t>❖</w:t>
            </w: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 xml:space="preserve"> valorizzazione dell’innovazione e della ricerca; </w:t>
            </w:r>
          </w:p>
          <w:p w:rsidR="00534FF4" w:rsidRPr="00253EC3" w:rsidRDefault="00534FF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C3">
              <w:rPr>
                <w:rFonts w:ascii="Segoe UI Symbol" w:hAnsi="Segoe UI Symbol" w:cs="Segoe UI Symbol"/>
                <w:sz w:val="24"/>
                <w:szCs w:val="24"/>
              </w:rPr>
              <w:t>❖</w:t>
            </w: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 xml:space="preserve"> valorizzazione delle figure manageriali umbre; </w:t>
            </w:r>
          </w:p>
          <w:p w:rsidR="00534FF4" w:rsidRDefault="00534FF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EC3">
              <w:rPr>
                <w:rFonts w:ascii="Segoe UI Symbol" w:hAnsi="Segoe UI Symbol" w:cs="Segoe UI Symbol"/>
                <w:sz w:val="24"/>
                <w:szCs w:val="24"/>
              </w:rPr>
              <w:t>❖</w:t>
            </w:r>
            <w:r w:rsidRPr="00253EC3">
              <w:rPr>
                <w:rFonts w:ascii="Times New Roman" w:hAnsi="Times New Roman" w:cs="Times New Roman"/>
                <w:sz w:val="24"/>
                <w:szCs w:val="24"/>
              </w:rPr>
              <w:t xml:space="preserve"> opportunità occupazionali.</w:t>
            </w:r>
          </w:p>
          <w:p w:rsidR="00253EC3" w:rsidRDefault="00253EC3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24" w:rsidRDefault="00253EC3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Nel caso di suggerimenti di iniziative tematiche specifiche,</w:t>
            </w:r>
            <w:r w:rsidR="00CE2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scrivente intende riconfermare l’importanza strategica di progetti </w:t>
            </w:r>
            <w:r w:rsidR="00CE25D5">
              <w:rPr>
                <w:rFonts w:ascii="Times New Roman" w:hAnsi="Times New Roman" w:cs="Times New Roman"/>
                <w:sz w:val="24"/>
                <w:szCs w:val="24"/>
              </w:rPr>
              <w:t>attuativi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 settore della salute</w:t>
            </w:r>
            <w:r w:rsidR="00CE25D5">
              <w:rPr>
                <w:rFonts w:ascii="Times New Roman" w:hAnsi="Times New Roman" w:cs="Times New Roman"/>
                <w:sz w:val="24"/>
                <w:szCs w:val="24"/>
              </w:rPr>
              <w:t>, in particolare nelle scienze omiche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 tal fine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Pr="0044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 vuole proporre l’esperienza di politica pubblica attuata dalla Regione Piemonte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 </w:t>
            </w:r>
            <w:r w:rsidRPr="0044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il progetto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44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44346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Parco della salute della ricerca e dell’innovazione della città di Torino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come esperienza da seguire</w:t>
            </w:r>
            <w:r w:rsidRPr="004434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 materia di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obiettivi di policy 1 e 4.</w:t>
            </w:r>
            <w:r w:rsidR="00CE25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E25D5" w:rsidRPr="00D15938">
              <w:rPr>
                <w:rFonts w:ascii="Times New Roman" w:hAnsi="Times New Roman" w:cs="Times New Roman"/>
                <w:sz w:val="24"/>
                <w:szCs w:val="24"/>
              </w:rPr>
              <w:t>Posto che nel territorio già esistono notevoli competenze in materia, sia a livello universitario che imprenditoriale</w:t>
            </w:r>
            <w:r w:rsidR="00CE25D5">
              <w:rPr>
                <w:rFonts w:ascii="Times New Roman" w:hAnsi="Times New Roman" w:cs="Times New Roman"/>
                <w:sz w:val="24"/>
                <w:szCs w:val="24"/>
              </w:rPr>
              <w:t xml:space="preserve">, la creazione di un Centro di ricerca umbro in materia potrebbe svolgere un enorme azione di sviluppo sia del sistema sanitario regionale che di sviluppo del sistema imprenditoriale. </w:t>
            </w:r>
            <w:r w:rsidR="00CE25D5" w:rsidRPr="006164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Nello specifico si rimanda alla presentazione dell’iniziativa da parte dell’Università degli Studi di Perugia.</w:t>
            </w:r>
          </w:p>
          <w:p w:rsidR="0061642C" w:rsidRDefault="0061642C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1642C" w:rsidRPr="0061642C" w:rsidRDefault="0061642C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bookmarkStart w:id="0" w:name="_GoBack"/>
            <w:bookmarkEnd w:id="0"/>
          </w:p>
          <w:p w:rsidR="003D2924" w:rsidRPr="00253EC3" w:rsidRDefault="003D292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24" w:rsidRPr="00253EC3" w:rsidRDefault="003D292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35" w:rsidRPr="00253EC3" w:rsidRDefault="00555435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70" w:rsidRPr="003D2924" w:rsidTr="00EA5F71">
        <w:trPr>
          <w:trHeight w:val="4199"/>
        </w:trPr>
        <w:tc>
          <w:tcPr>
            <w:tcW w:w="10550" w:type="dxa"/>
            <w:gridSpan w:val="2"/>
          </w:tcPr>
          <w:p w:rsidR="00E427B0" w:rsidRPr="00513266" w:rsidRDefault="00B31870" w:rsidP="00D47947">
            <w:pPr>
              <w:jc w:val="both"/>
              <w:rPr>
                <w:i/>
              </w:rPr>
            </w:pPr>
            <w:r w:rsidRPr="0023217F">
              <w:rPr>
                <w:b/>
                <w:i/>
              </w:rPr>
              <w:lastRenderedPageBreak/>
              <w:t>1.</w:t>
            </w:r>
            <w:r w:rsidR="00D47947">
              <w:rPr>
                <w:b/>
                <w:i/>
              </w:rPr>
              <w:t xml:space="preserve">  </w:t>
            </w:r>
            <w:r w:rsidRPr="0023217F">
              <w:rPr>
                <w:b/>
                <w:i/>
              </w:rPr>
              <w:t>B)</w:t>
            </w:r>
            <w:r>
              <w:rPr>
                <w:i/>
              </w:rPr>
              <w:t xml:space="preserve"> </w:t>
            </w:r>
            <w:r w:rsidR="00675311" w:rsidRPr="00513266">
              <w:rPr>
                <w:i/>
              </w:rPr>
              <w:t xml:space="preserve">Nel caso dell’Obiettivo di Policy 5 </w:t>
            </w:r>
            <w:r w:rsidR="00E427B0" w:rsidRPr="00513266">
              <w:rPr>
                <w:i/>
              </w:rPr>
              <w:t>è possibile segnalare</w:t>
            </w:r>
            <w:r w:rsidR="00E427B0" w:rsidRPr="00282AB1">
              <w:rPr>
                <w:i/>
              </w:rPr>
              <w:t xml:space="preserve"> quali esperienze significative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piani</w:t>
            </w:r>
            <w:r w:rsidR="0023217F">
              <w:rPr>
                <w:i/>
              </w:rPr>
              <w:t>,</w:t>
            </w:r>
            <w:r w:rsidR="00E427B0" w:rsidRPr="00282AB1">
              <w:rPr>
                <w:i/>
              </w:rPr>
              <w:t xml:space="preserve"> progetti territoriali o modalità di intervento dedicate a specifiche aree territoriali. Per ciascuna esperienza indicare</w:t>
            </w:r>
            <w:r w:rsidR="002749C4">
              <w:rPr>
                <w:i/>
              </w:rPr>
              <w:t>:</w:t>
            </w:r>
          </w:p>
          <w:p w:rsidR="00675311" w:rsidRPr="0023217F" w:rsidRDefault="00675311" w:rsidP="00282AB1">
            <w:pPr>
              <w:pStyle w:val="Paragrafoelenco"/>
              <w:numPr>
                <w:ilvl w:val="0"/>
                <w:numId w:val="13"/>
              </w:numPr>
              <w:ind w:left="290" w:hanging="284"/>
              <w:jc w:val="both"/>
              <w:rPr>
                <w:b/>
                <w:i/>
              </w:rPr>
            </w:pPr>
            <w:r w:rsidRPr="00513266">
              <w:rPr>
                <w:i/>
              </w:rPr>
              <w:t>qual è il tipo di territorio interessato (possibile segnalare più di una tipologia)</w:t>
            </w:r>
            <w:r w:rsidR="00513266">
              <w:rPr>
                <w:rStyle w:val="Rimandonotaapidipagina"/>
                <w:i/>
              </w:rPr>
              <w:footnoteReference w:id="1"/>
            </w:r>
            <w:r w:rsidRPr="00513266">
              <w:rPr>
                <w:i/>
              </w:rPr>
              <w:t>: (i) quartiere/periferia; (ii) intero Comune; (iii) zona funzionale urbana o extraurbana; (iv) zona di montagna; (v) zona costiera o isole; (vi) zona a rischio spopolamento; (vii) altra tipologia di territori</w:t>
            </w:r>
            <w:r w:rsidR="00D47947">
              <w:rPr>
                <w:rStyle w:val="Rimandonotaapidipagina"/>
                <w:i/>
              </w:rPr>
              <w:footnoteReference w:id="2"/>
            </w:r>
            <w:r w:rsidRPr="00513266">
              <w:rPr>
                <w:i/>
              </w:rPr>
              <w:t xml:space="preserve">. </w:t>
            </w:r>
          </w:p>
          <w:p w:rsidR="00675311" w:rsidRPr="00513266" w:rsidRDefault="00675311" w:rsidP="00282AB1">
            <w:pPr>
              <w:ind w:left="290" w:hanging="284"/>
              <w:jc w:val="both"/>
              <w:rPr>
                <w:i/>
              </w:rPr>
            </w:pPr>
          </w:p>
          <w:p w:rsidR="00675311" w:rsidRPr="00282AB1" w:rsidRDefault="00D47947" w:rsidP="00282AB1">
            <w:pPr>
              <w:pStyle w:val="Paragrafoelenco"/>
              <w:numPr>
                <w:ilvl w:val="0"/>
                <w:numId w:val="12"/>
              </w:numPr>
              <w:ind w:left="290" w:hanging="284"/>
              <w:jc w:val="both"/>
            </w:pPr>
            <w:r>
              <w:rPr>
                <w:i/>
              </w:rPr>
              <w:t>la/le</w:t>
            </w:r>
            <w:r w:rsidR="00675311" w:rsidRPr="00282AB1">
              <w:rPr>
                <w:i/>
              </w:rPr>
              <w:t xml:space="preserve"> </w:t>
            </w:r>
            <w:r>
              <w:rPr>
                <w:i/>
              </w:rPr>
              <w:t>t</w:t>
            </w:r>
            <w:r w:rsidR="00675311" w:rsidRPr="00282AB1">
              <w:rPr>
                <w:i/>
              </w:rPr>
              <w:t>ema</w:t>
            </w:r>
            <w:r>
              <w:rPr>
                <w:i/>
              </w:rPr>
              <w:t>tica/e interessata</w:t>
            </w:r>
            <w:r w:rsidR="00675311" w:rsidRPr="00282AB1">
              <w:rPr>
                <w:i/>
              </w:rPr>
              <w:t>/e</w:t>
            </w:r>
            <w:r>
              <w:rPr>
                <w:i/>
              </w:rPr>
              <w:t xml:space="preserve"> e</w:t>
            </w:r>
            <w:r w:rsidR="00675311" w:rsidRPr="00282AB1">
              <w:rPr>
                <w:i/>
              </w:rPr>
              <w:t xml:space="preserve">, laddove possibile, l’Obiettivo/i </w:t>
            </w:r>
            <w:r>
              <w:rPr>
                <w:i/>
              </w:rPr>
              <w:t>S</w:t>
            </w:r>
            <w:r w:rsidR="00675311" w:rsidRPr="00282AB1">
              <w:rPr>
                <w:i/>
              </w:rPr>
              <w:t xml:space="preserve">pecifico/i </w:t>
            </w:r>
            <w:r w:rsidR="00E427B0" w:rsidRPr="00282AB1">
              <w:rPr>
                <w:i/>
              </w:rPr>
              <w:t xml:space="preserve">anche </w:t>
            </w:r>
            <w:r w:rsidR="00675311" w:rsidRPr="00282AB1">
              <w:rPr>
                <w:i/>
              </w:rPr>
              <w:t>a valere sugli altri quat</w:t>
            </w:r>
            <w:r>
              <w:rPr>
                <w:i/>
              </w:rPr>
              <w:t>tro Obiettivi di Policy connessi</w:t>
            </w:r>
            <w:r w:rsidR="00675311" w:rsidRPr="00282AB1">
              <w:rPr>
                <w:i/>
              </w:rPr>
              <w:t xml:space="preserve"> all’esperienza</w:t>
            </w:r>
            <w:r w:rsidR="0055288B" w:rsidRPr="00282AB1">
              <w:rPr>
                <w:i/>
              </w:rPr>
              <w:t>/proposta</w:t>
            </w:r>
            <w:r w:rsidR="00675311" w:rsidRPr="00282AB1">
              <w:rPr>
                <w:i/>
              </w:rPr>
              <w:t xml:space="preserve"> segnalata</w:t>
            </w:r>
            <w:r w:rsidR="00513266" w:rsidRPr="00282AB1">
              <w:rPr>
                <w:i/>
              </w:rPr>
              <w:t>.</w:t>
            </w:r>
          </w:p>
          <w:p w:rsidR="00675311" w:rsidRPr="00B31870" w:rsidRDefault="00675311" w:rsidP="00675311">
            <w:pPr>
              <w:jc w:val="both"/>
              <w:rPr>
                <w:i/>
              </w:rPr>
            </w:pPr>
          </w:p>
        </w:tc>
      </w:tr>
      <w:tr w:rsidR="00555435" w:rsidRPr="003D2924" w:rsidTr="00EA5F71">
        <w:trPr>
          <w:trHeight w:val="568"/>
        </w:trPr>
        <w:tc>
          <w:tcPr>
            <w:tcW w:w="10550" w:type="dxa"/>
            <w:gridSpan w:val="2"/>
          </w:tcPr>
          <w:p w:rsidR="00555435" w:rsidRPr="003D2924" w:rsidRDefault="003D2924" w:rsidP="00AC0094">
            <w:pPr>
              <w:pStyle w:val="Paragrafoelenco"/>
              <w:numPr>
                <w:ilvl w:val="0"/>
                <w:numId w:val="9"/>
              </w:numPr>
              <w:jc w:val="both"/>
              <w:rPr>
                <w:i/>
              </w:rPr>
            </w:pPr>
            <w:r w:rsidRPr="00555435">
              <w:rPr>
                <w:i/>
              </w:rPr>
              <w:t xml:space="preserve">Quali esperienze di politiche pubbliche, tipologie di interventi e strumenti </w:t>
            </w:r>
            <w:r>
              <w:rPr>
                <w:i/>
              </w:rPr>
              <w:t>andrebbero abbandonati in quanto hanno dimostrato di non essere efficaci</w:t>
            </w:r>
            <w:r w:rsidRPr="00555435">
              <w:rPr>
                <w:i/>
              </w:rPr>
              <w:t xml:space="preserve">? Specificare </w:t>
            </w:r>
            <w:r>
              <w:rPr>
                <w:i/>
              </w:rPr>
              <w:t>le criticità di contesto.</w:t>
            </w:r>
          </w:p>
        </w:tc>
      </w:tr>
      <w:tr w:rsidR="00C5768C" w:rsidRPr="00A16C07" w:rsidTr="00EA5F71">
        <w:trPr>
          <w:trHeight w:val="70"/>
        </w:trPr>
        <w:tc>
          <w:tcPr>
            <w:tcW w:w="10550" w:type="dxa"/>
            <w:gridSpan w:val="2"/>
          </w:tcPr>
          <w:p w:rsidR="003D2924" w:rsidRPr="00534FF4" w:rsidRDefault="003D292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924" w:rsidRPr="00534FF4" w:rsidRDefault="00534FF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F4">
              <w:rPr>
                <w:rFonts w:ascii="Times New Roman" w:hAnsi="Times New Roman" w:cs="Times New Roman"/>
                <w:sz w:val="24"/>
                <w:szCs w:val="24"/>
              </w:rPr>
              <w:t>Riteniamo NON</w:t>
            </w:r>
            <w:r w:rsidR="00551F33" w:rsidRPr="00534FF4">
              <w:rPr>
                <w:rFonts w:ascii="Times New Roman" w:hAnsi="Times New Roman" w:cs="Times New Roman"/>
                <w:sz w:val="24"/>
                <w:szCs w:val="24"/>
              </w:rPr>
              <w:t xml:space="preserve"> utili tipologie d’intervento dirette al sostegno di attività di ricerca e sviluppo rivolte ad aziende classificate come micro e piccole imprese. La criticità del contesto è riferibile alla sostanziale mancanza di capacità di attuazione di progetti di R&amp;D da parte di aziende prive di una reale struttura interna di ricerca e sviluppo. Concretamente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551F33" w:rsidRPr="00534FF4">
              <w:rPr>
                <w:rFonts w:ascii="Times New Roman" w:hAnsi="Times New Roman" w:cs="Times New Roman"/>
                <w:sz w:val="24"/>
                <w:szCs w:val="24"/>
              </w:rPr>
              <w:t>osta la tipologia di aziende del nostro territorio dominato da aziende con un numero di dipendenti inferiore a 10 unità (oltre il 96%) occorre focalizzare tipologie di aiuti su sistemi di cl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>uster aziendali dove al centro c</w:t>
            </w:r>
            <w:r w:rsidR="00551F33" w:rsidRPr="00534FF4">
              <w:rPr>
                <w:rFonts w:ascii="Times New Roman" w:hAnsi="Times New Roman" w:cs="Times New Roman"/>
                <w:sz w:val="24"/>
                <w:szCs w:val="24"/>
              </w:rPr>
              <w:t xml:space="preserve">i sia una 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>grande/</w:t>
            </w:r>
            <w:r w:rsidR="00551F33" w:rsidRPr="00534FF4">
              <w:rPr>
                <w:rFonts w:ascii="Times New Roman" w:hAnsi="Times New Roman" w:cs="Times New Roman"/>
                <w:sz w:val="24"/>
                <w:szCs w:val="24"/>
              </w:rPr>
              <w:t>medio impresa che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33" w:rsidRPr="00534FF4">
              <w:rPr>
                <w:rFonts w:ascii="Times New Roman" w:hAnsi="Times New Roman" w:cs="Times New Roman"/>
                <w:sz w:val="24"/>
                <w:szCs w:val="24"/>
              </w:rPr>
              <w:t>funga da traino e catalizzatore di azien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>de più</w:t>
            </w:r>
            <w:r w:rsidR="00551F33" w:rsidRPr="00534FF4">
              <w:rPr>
                <w:rFonts w:ascii="Times New Roman" w:hAnsi="Times New Roman" w:cs="Times New Roman"/>
                <w:sz w:val="24"/>
                <w:szCs w:val="24"/>
              </w:rPr>
              <w:t xml:space="preserve"> piccole che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33" w:rsidRPr="00534FF4">
              <w:rPr>
                <w:rFonts w:ascii="Times New Roman" w:hAnsi="Times New Roman" w:cs="Times New Roman"/>
                <w:sz w:val="24"/>
                <w:szCs w:val="24"/>
              </w:rPr>
              <w:t>agiscono come dei satelliti.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 xml:space="preserve"> La virtuosità del sistema deve prevedere </w:t>
            </w:r>
            <w:r w:rsidRPr="00534FF4">
              <w:rPr>
                <w:rFonts w:ascii="Times New Roman" w:hAnsi="Times New Roman" w:cs="Times New Roman"/>
                <w:sz w:val="24"/>
                <w:szCs w:val="24"/>
              </w:rPr>
              <w:t>che le aziende satelliti DEBBONO</w:t>
            </w:r>
            <w:r w:rsidR="00AA409C" w:rsidRPr="00534FF4">
              <w:rPr>
                <w:rFonts w:ascii="Times New Roman" w:hAnsi="Times New Roman" w:cs="Times New Roman"/>
                <w:sz w:val="24"/>
                <w:szCs w:val="24"/>
              </w:rPr>
              <w:t xml:space="preserve"> partecipare attivamente ai progetti in parola immaginando nel contesto un percorso di crescita e sviluppo.</w:t>
            </w:r>
          </w:p>
          <w:p w:rsidR="003D2924" w:rsidRPr="00534FF4" w:rsidRDefault="003D2924" w:rsidP="003D2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8C" w:rsidRPr="003D2924" w:rsidTr="00EA5F71">
        <w:trPr>
          <w:trHeight w:val="532"/>
        </w:trPr>
        <w:tc>
          <w:tcPr>
            <w:tcW w:w="10550" w:type="dxa"/>
            <w:gridSpan w:val="2"/>
          </w:tcPr>
          <w:p w:rsidR="00C5768C" w:rsidRPr="003D2924" w:rsidRDefault="0097225B" w:rsidP="0097225B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>
              <w:t>Quali impegni si ritiene utile/opportuno che si assuma il partenariato, sia in fase di programmazione che di attuazione? Quali sono le modalità di coinvolgimento che si ritengono più efficaci?</w:t>
            </w:r>
          </w:p>
        </w:tc>
      </w:tr>
      <w:tr w:rsidR="00C5768C" w:rsidRPr="00A16C07" w:rsidTr="00EA5F71">
        <w:trPr>
          <w:trHeight w:val="4018"/>
        </w:trPr>
        <w:tc>
          <w:tcPr>
            <w:tcW w:w="10550" w:type="dxa"/>
            <w:gridSpan w:val="2"/>
          </w:tcPr>
          <w:p w:rsidR="00D01B0E" w:rsidRPr="00A16C07" w:rsidRDefault="00D01B0E" w:rsidP="00A16C07">
            <w:pPr>
              <w:jc w:val="both"/>
            </w:pPr>
            <w:r>
              <w:lastRenderedPageBreak/>
              <w:t>Il presente strumento sembra essere già un’iniziativa utile al fine di raccogliere concrete proposte da parte</w:t>
            </w:r>
            <w:r w:rsidR="00534FF4">
              <w:t xml:space="preserve"> dei partecipanti. Occorre però</w:t>
            </w:r>
            <w:r>
              <w:t xml:space="preserve"> che le proposte siano chiare e concrete e che magari abbiano dei riferimenti normativi ed attuativi al fine di verificare la loro concreta cantierabilità e quindi attuazione.</w:t>
            </w:r>
          </w:p>
        </w:tc>
      </w:tr>
      <w:tr w:rsidR="00C5768C" w:rsidRPr="003D2924" w:rsidTr="00EA5F71">
        <w:trPr>
          <w:trHeight w:val="547"/>
        </w:trPr>
        <w:tc>
          <w:tcPr>
            <w:tcW w:w="10550" w:type="dxa"/>
            <w:gridSpan w:val="2"/>
          </w:tcPr>
          <w:p w:rsidR="00C5768C" w:rsidRPr="003D2924" w:rsidRDefault="0097225B" w:rsidP="002749C4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>Segnalare eventuali esperienze, analisi, studi, ricerche, da cui trarre informazioni per l’impostazione della programmazione (fonte, titolo, anno, link da cui acquisire documentazione pertinente</w:t>
            </w:r>
            <w:r w:rsidRPr="00123287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5768C" w:rsidRPr="00A16C07" w:rsidTr="00EA5F71">
        <w:trPr>
          <w:trHeight w:val="2862"/>
        </w:trPr>
        <w:tc>
          <w:tcPr>
            <w:tcW w:w="10550" w:type="dxa"/>
            <w:gridSpan w:val="2"/>
          </w:tcPr>
          <w:p w:rsidR="00C5768C" w:rsidRDefault="009864CA" w:rsidP="00A16C07">
            <w:pPr>
              <w:jc w:val="both"/>
              <w:rPr>
                <w:rStyle w:val="Collegamentoipertestuale"/>
              </w:rPr>
            </w:pPr>
            <w:hyperlink r:id="rId14" w:history="1">
              <w:r w:rsidR="00D01B0E">
                <w:rPr>
                  <w:rStyle w:val="Collegamentoipertestuale"/>
                </w:rPr>
                <w:t>https://www.fesr.regione.lombardia.it/wps/portal/PROUE/FESR/Eventi/DettaglioEvento/presentazione-appalto-pre-commerciale-2018</w:t>
              </w:r>
            </w:hyperlink>
          </w:p>
          <w:p w:rsidR="00534FF4" w:rsidRDefault="00534FF4" w:rsidP="00A16C07">
            <w:pPr>
              <w:jc w:val="both"/>
              <w:rPr>
                <w:rStyle w:val="Collegamentoipertestuale"/>
              </w:rPr>
            </w:pPr>
          </w:p>
          <w:p w:rsidR="00534FF4" w:rsidRDefault="00DA564B" w:rsidP="00A16C07">
            <w:pPr>
              <w:jc w:val="both"/>
              <w:rPr>
                <w:rStyle w:val="Collegamentoipertestua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Per </w:t>
            </w:r>
            <w:r w:rsidRPr="00534F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piccole imprese del territorio nella fase di sviluppo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strumento del “Matching Fund”.</w:t>
            </w:r>
          </w:p>
          <w:p w:rsidR="00534FF4" w:rsidRPr="00534FF4" w:rsidRDefault="009864CA" w:rsidP="00A16C07">
            <w:pPr>
              <w:jc w:val="both"/>
            </w:pPr>
            <w:hyperlink r:id="rId15" w:history="1">
              <w:r w:rsidR="00534FF4">
                <w:rPr>
                  <w:rStyle w:val="Collegamentoipertestuale"/>
                </w:rPr>
                <w:t>https://www.trentinosviluppo.it/public/file/matching%20fund/2019-07-26_Avviso_pubblico_rettificato.pdf</w:t>
              </w:r>
            </w:hyperlink>
          </w:p>
        </w:tc>
      </w:tr>
      <w:tr w:rsidR="00C5768C" w:rsidRPr="00123287" w:rsidTr="00EA5F71">
        <w:trPr>
          <w:trHeight w:val="532"/>
        </w:trPr>
        <w:tc>
          <w:tcPr>
            <w:tcW w:w="10550" w:type="dxa"/>
            <w:gridSpan w:val="2"/>
          </w:tcPr>
          <w:p w:rsidR="00C5768C" w:rsidRPr="00123287" w:rsidRDefault="0097225B" w:rsidP="00123287">
            <w:pPr>
              <w:pStyle w:val="Paragrafoelenco"/>
              <w:numPr>
                <w:ilvl w:val="0"/>
                <w:numId w:val="9"/>
              </w:numPr>
              <w:ind w:left="321"/>
              <w:jc w:val="both"/>
              <w:rPr>
                <w:i/>
              </w:rPr>
            </w:pPr>
            <w:r w:rsidRPr="00123287">
              <w:rPr>
                <w:i/>
              </w:rPr>
              <w:t xml:space="preserve">Eventuali </w:t>
            </w:r>
            <w:r>
              <w:rPr>
                <w:i/>
              </w:rPr>
              <w:t>ulteriori osservazioni.</w:t>
            </w:r>
          </w:p>
        </w:tc>
      </w:tr>
      <w:tr w:rsidR="0096611A" w:rsidRPr="00A16C07" w:rsidTr="007D5C71">
        <w:trPr>
          <w:trHeight w:val="5606"/>
        </w:trPr>
        <w:tc>
          <w:tcPr>
            <w:tcW w:w="10550" w:type="dxa"/>
            <w:gridSpan w:val="2"/>
          </w:tcPr>
          <w:p w:rsidR="0096611A" w:rsidRPr="003D2924" w:rsidRDefault="0096611A" w:rsidP="003D2924">
            <w:pPr>
              <w:jc w:val="both"/>
              <w:rPr>
                <w:b/>
                <w:i/>
              </w:rPr>
            </w:pPr>
          </w:p>
        </w:tc>
      </w:tr>
    </w:tbl>
    <w:p w:rsidR="000901DC" w:rsidRDefault="000901DC" w:rsidP="00564536">
      <w:pPr>
        <w:pStyle w:val="Titrearticle"/>
        <w:jc w:val="left"/>
        <w:rPr>
          <w:b/>
          <w:noProof/>
          <w:u w:val="single"/>
        </w:rPr>
        <w:sectPr w:rsidR="000901DC" w:rsidSect="003F5BAC">
          <w:headerReference w:type="default" r:id="rId16"/>
          <w:pgSz w:w="11906" w:h="16838"/>
          <w:pgMar w:top="1276" w:right="991" w:bottom="720" w:left="993" w:header="720" w:footer="720" w:gutter="0"/>
          <w:cols w:space="720"/>
          <w:docGrid w:linePitch="299"/>
        </w:sectPr>
      </w:pPr>
    </w:p>
    <w:p w:rsidR="00564536" w:rsidRPr="00072ED0" w:rsidRDefault="00564536" w:rsidP="00564536">
      <w:pPr>
        <w:pStyle w:val="Titrearticle"/>
        <w:jc w:val="left"/>
        <w:rPr>
          <w:rFonts w:asciiTheme="minorHAnsi" w:hAnsiTheme="minorHAnsi" w:cstheme="minorHAnsi"/>
          <w:b/>
          <w:noProof/>
          <w:szCs w:val="24"/>
          <w:u w:val="single"/>
        </w:rPr>
      </w:pPr>
      <w:r w:rsidRPr="00072ED0">
        <w:rPr>
          <w:rFonts w:asciiTheme="minorHAnsi" w:hAnsiTheme="minorHAnsi" w:cstheme="minorHAnsi"/>
          <w:b/>
          <w:noProof/>
          <w:szCs w:val="24"/>
          <w:u w:val="single"/>
        </w:rPr>
        <w:lastRenderedPageBreak/>
        <w:t>Allegato 1</w:t>
      </w:r>
    </w:p>
    <w:p w:rsidR="00564536" w:rsidRPr="00072ED0" w:rsidRDefault="00564536" w:rsidP="00564536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</w:pP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Elenco degli </w:t>
      </w:r>
      <w:r w:rsidR="00AC0094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Obiettivi S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pecifici, come indicati nelle proposte 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di 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r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egolamenti 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della Commissione COM(2018)372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(FESR</w:t>
      </w:r>
      <w:r w:rsidR="009071C8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/</w:t>
      </w:r>
      <w:r w:rsidR="009D51FE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FC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)</w:t>
      </w:r>
      <w:r w:rsidRPr="00072ED0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>, COM(2018)382</w:t>
      </w:r>
      <w:r w:rsidR="00CB6E4B">
        <w:rPr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t xml:space="preserve"> (FSE+)</w:t>
      </w:r>
      <w:r w:rsidR="00140E3E">
        <w:rPr>
          <w:rStyle w:val="Rimandonotaapidipagina"/>
          <w:rFonts w:asciiTheme="minorHAnsi" w:hAnsiTheme="minorHAnsi" w:cstheme="minorHAnsi"/>
          <w:b/>
          <w:noProof/>
          <w:sz w:val="24"/>
          <w:szCs w:val="24"/>
          <w:u w:val="single"/>
          <w:lang w:eastAsia="it-IT" w:bidi="it-IT"/>
        </w:rPr>
        <w:footnoteReference w:id="3"/>
      </w:r>
    </w:p>
    <w:p w:rsidR="00564536" w:rsidRPr="0000282C" w:rsidRDefault="00564536" w:rsidP="0000282C">
      <w:pPr>
        <w:pStyle w:val="Titrearticle"/>
        <w:keepNext w:val="0"/>
        <w:spacing w:before="120"/>
        <w:jc w:val="left"/>
        <w:rPr>
          <w:rFonts w:asciiTheme="minorHAnsi" w:hAnsiTheme="minorHAnsi" w:cstheme="minorHAnsi"/>
          <w:i w:val="0"/>
          <w:noProof/>
          <w:szCs w:val="24"/>
        </w:rPr>
      </w:pPr>
      <w:r w:rsidRPr="0000282C">
        <w:rPr>
          <w:rFonts w:asciiTheme="minorHAnsi" w:hAnsiTheme="minorHAnsi" w:cstheme="minorHAnsi"/>
          <w:i w:val="0"/>
          <w:noProof/>
          <w:szCs w:val="24"/>
        </w:rPr>
        <w:t xml:space="preserve">Obiettivi </w:t>
      </w:r>
      <w:r w:rsidR="00B35C94">
        <w:rPr>
          <w:rFonts w:asciiTheme="minorHAnsi" w:hAnsiTheme="minorHAnsi" w:cstheme="minorHAnsi"/>
          <w:i w:val="0"/>
          <w:noProof/>
          <w:szCs w:val="24"/>
        </w:rPr>
        <w:t>S</w:t>
      </w:r>
      <w:r w:rsidRPr="0000282C">
        <w:rPr>
          <w:rFonts w:asciiTheme="minorHAnsi" w:hAnsiTheme="minorHAnsi" w:cstheme="minorHAnsi"/>
          <w:i w:val="0"/>
          <w:noProof/>
          <w:szCs w:val="24"/>
        </w:rPr>
        <w:t>pecifici per il FESR e il Fondo di coesione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 xml:space="preserve"> 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(</w:t>
      </w:r>
      <w:r w:rsidR="003E51A2" w:rsidRPr="0000282C">
        <w:rPr>
          <w:rFonts w:asciiTheme="minorHAnsi" w:hAnsiTheme="minorHAnsi" w:cstheme="minorHAnsi"/>
          <w:i w:val="0"/>
          <w:noProof/>
          <w:szCs w:val="24"/>
        </w:rPr>
        <w:t>Articolo 2 Regolamento FESR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)</w:t>
      </w:r>
    </w:p>
    <w:p w:rsidR="00072ED0" w:rsidRPr="0000282C" w:rsidRDefault="00B35C94" w:rsidP="0000282C">
      <w:pPr>
        <w:pStyle w:val="Titrearticle"/>
        <w:keepNext w:val="0"/>
        <w:spacing w:before="120"/>
        <w:jc w:val="both"/>
        <w:rPr>
          <w:rFonts w:asciiTheme="minorHAnsi" w:hAnsiTheme="minorHAnsi" w:cstheme="minorHAnsi"/>
          <w:i w:val="0"/>
          <w:noProof/>
          <w:szCs w:val="24"/>
        </w:rPr>
      </w:pPr>
      <w:r>
        <w:rPr>
          <w:rFonts w:asciiTheme="minorHAnsi" w:hAnsiTheme="minorHAnsi" w:cstheme="minorHAnsi"/>
          <w:i w:val="0"/>
          <w:noProof/>
          <w:szCs w:val="24"/>
        </w:rPr>
        <w:t>Obiettivi S</w:t>
      </w:r>
      <w:r w:rsidR="00072ED0" w:rsidRPr="0000282C">
        <w:rPr>
          <w:rFonts w:asciiTheme="minorHAnsi" w:hAnsiTheme="minorHAnsi" w:cstheme="minorHAnsi"/>
          <w:i w:val="0"/>
          <w:noProof/>
          <w:szCs w:val="24"/>
        </w:rPr>
        <w:t>pecifici per il FSE+ (Articolo 4 Regolamento FSE+)</w:t>
      </w:r>
    </w:p>
    <w:p w:rsidR="000A7DDB" w:rsidRPr="009D6508" w:rsidRDefault="000A7DDB">
      <w:pPr>
        <w:suppressAutoHyphens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175" w:type="dxa"/>
        <w:tblLook w:val="04A0" w:firstRow="1" w:lastRow="0" w:firstColumn="1" w:lastColumn="0" w:noHBand="0" w:noVBand="1"/>
      </w:tblPr>
      <w:tblGrid>
        <w:gridCol w:w="665"/>
        <w:gridCol w:w="2114"/>
        <w:gridCol w:w="663"/>
        <w:gridCol w:w="5625"/>
        <w:gridCol w:w="1108"/>
      </w:tblGrid>
      <w:tr w:rsidR="00EF4F49" w:rsidRPr="009D6508" w:rsidTr="00232E0E">
        <w:trPr>
          <w:trHeight w:val="357"/>
          <w:tblHeader/>
        </w:trPr>
        <w:tc>
          <w:tcPr>
            <w:tcW w:w="2779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di Policy</w:t>
            </w:r>
          </w:p>
        </w:tc>
        <w:tc>
          <w:tcPr>
            <w:tcW w:w="6288" w:type="dxa"/>
            <w:gridSpan w:val="2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Obiettivo Specifico</w:t>
            </w:r>
          </w:p>
        </w:tc>
        <w:tc>
          <w:tcPr>
            <w:tcW w:w="1108" w:type="dxa"/>
            <w:hideMark/>
          </w:tcPr>
          <w:p w:rsidR="00EF4F49" w:rsidRPr="009D6508" w:rsidRDefault="00EF4F49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FONDO</w:t>
            </w:r>
          </w:p>
        </w:tc>
      </w:tr>
      <w:tr w:rsidR="0043471C" w:rsidRPr="009D6508" w:rsidTr="00232E0E">
        <w:trPr>
          <w:trHeight w:val="310"/>
          <w:tblHeader/>
        </w:trPr>
        <w:tc>
          <w:tcPr>
            <w:tcW w:w="665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2114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63" w:type="dxa"/>
          </w:tcPr>
          <w:p w:rsidR="0043471C" w:rsidRPr="009D6508" w:rsidRDefault="009A2332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Cod.</w:t>
            </w:r>
          </w:p>
        </w:tc>
        <w:tc>
          <w:tcPr>
            <w:tcW w:w="5625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D6508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108" w:type="dxa"/>
          </w:tcPr>
          <w:p w:rsidR="0043471C" w:rsidRPr="009D6508" w:rsidRDefault="0043471C" w:rsidP="00EF4F4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EF4F49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intelligente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le capacità di ricerca e di innovazione e l'introduzione di tecnologie avanzate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permettere ai cittadini, alle imprese e alle amministrazioni pubbliche di cogliere i vantaggi della digitalizzazione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crescita e la competitività delle PMI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le competenze per la specializzazione intelligente, la transizione industriale e l'imprenditorialità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verde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misure di efficienza energetica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le energie rinnovabili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sistemi, reti e impianti di stoccaggio energetici intelligenti a livello locale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l'adattamento ai cambiamenti climatici, la prevenzione dei rischi e la resilienza alle catastrofi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gestione sostenibile dell'acqua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transizione verso un'economia circolare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b7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biodiversità, le infrastrutture verdi nell'ambiente urbano e ridurre l'inquinamento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connessa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la connettività digitale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 w:rsidP="00937ED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rete TEN-T intermodale, sicura, intelligente, resiliente ai cambiamenti climatici 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sviluppare una mobilità locale, regionale e nazionale, intelligente, intermodale, resiliente ai cambiamenti climatici e sostenibile, migliorando l'accesso alla rete TEN-T e la mobilità transfrontaliera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mobilità urbana multimodale sostenibile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sociale</w:t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rafforzare l'efficacia dei mercati del lavoro e l'accesso a un'occupazione di qualità, mediante lo sviluppo dell'innovazione e delle infrastrutture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 servizi di qualità e inclusivi nel campo dell'istruzione, della formazione e dell'apprendimento permanente, mediante lo sviluppo di infrastrutture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d3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aumentare l'integrazione socioeconomica delle comunità emarginate, dei migranti e dei gruppi svantaggiati, mediante misure integrate riguardanti alloggi e servizi sociali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d4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garantire la parità di accesso all'assistenza sanitaria mediante lo sviluppo di infrastrutture, compresa l'assistenza sanitaria di base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58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all'occupazione di tutte le persone in cerca di lavoro, in particolare i giovani e i disoccupati di lungo periodo, e delle persone inattive, promuovendo il lavoro autonomo e l'economia sociale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763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modernizzare le istituzioni e i servizi del mercato del lavoro per valutare e anticipare le esigenze in termini di competenze e garantire un'assistenza e un sostegno tempestivi e su misura nel contesto dell'incontro della domanda e dell'offerta, delle transizioni e della mobilità nel mercato del lavoro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48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partecipazione delle donne al mercato del lavoro, un migliore equilibrio tra lavoro e vita privata, compreso l'accesso all'assistenza all'infanzia, un ambiente di lavoro sano e adeguato che tiene conto dei rischi per la salute, l'adattamento dei lavoratori, delle imprese e degli imprenditori ai cambiamenti e un invecchiamento attivo e sano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8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la qualità, l'efficacia e la rilevanza per il mercato del lavoro dei sistemi di istruzione e di formazione, per sostenere l'acquisizione delle competenze chiave, comprese le competenze digitali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36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4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la parità di accesso e di completamento di un'istruzione e una formazione inclusive e di qualità, in particolare per i gruppi svantaggiati, dall'educazione e dall'assistenza prescolare, attraverso l'istruzione e la formazione generale e professionale, fino al livello terziario e all'istruzione e all'apprendimento in età adulta, anche agevolando la mobilità a fini di apprendimento per tutti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1027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l'apprendimento lungo tutto l'arco della vita, in particolare le opportunità di perfezionamento e di riqualificazione flessibili per tutti, tenendo conto delle competenze digitali, anticipando meglio il cambiamento e le nuove competenze richieste sulla base delle esigenze del mercato del lavoro, facilitando il riorientamento professionale e promuovendo la mobilità professionale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8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incentivare l'inclusione attiva, per promuovere le pari opportunità e la partecipazione attiva, e migliorare l'occupabilità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295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9A2332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socioeconomica di cittadini di paesi terzi e delle comunità emarginate come i rom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3142D9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826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migliorare l'accesso paritario e tempestivo a servizi di qualità, sostenibili e a prezzi accessibili; modernizzare i sistemi di protezione sociale, anche promuovendo l'accesso alla protezione sociale; migliorare l'accessibilità, l'efficacia e la resilienza dei sistemi sanitari e dei servizi di assistenza di lunga durata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6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39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l'integrazione sociale delle persone a rischio di povertà o di esclusione sociale, compresi gli indigenti e i bambini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550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contrastare la deprivazione materiale mediante prodotti alimentari e assistenza materiale di base agli indigenti, con misure di accompagnamento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FSE</w:t>
            </w:r>
          </w:p>
        </w:tc>
      </w:tr>
      <w:tr w:rsidR="009A2332" w:rsidRPr="009D6508" w:rsidTr="009A2332">
        <w:trPr>
          <w:trHeight w:val="495"/>
        </w:trPr>
        <w:tc>
          <w:tcPr>
            <w:tcW w:w="665" w:type="dxa"/>
            <w:vMerge w:val="restart"/>
            <w:noWrap/>
            <w:hideMark/>
          </w:tcPr>
          <w:p w:rsidR="005B476B" w:rsidRPr="009D6508" w:rsidRDefault="005B476B" w:rsidP="00EF4F4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14" w:type="dxa"/>
            <w:vMerge w:val="restart"/>
            <w:hideMark/>
          </w:tcPr>
          <w:p w:rsidR="005B476B" w:rsidRPr="009D6508" w:rsidRDefault="005B476B" w:rsidP="00B56041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Europa più vicina ai cittadini</w:t>
            </w:r>
            <w:r w:rsidR="00B56041">
              <w:rPr>
                <w:rStyle w:val="Rimandonotaapidipagina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24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e1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integrato, il patrimonio culturale e la sicurezza nelle aree urbane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20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  <w:tr w:rsidR="009A2332" w:rsidRPr="009D6508" w:rsidTr="009A2332">
        <w:trPr>
          <w:trHeight w:val="782"/>
        </w:trPr>
        <w:tc>
          <w:tcPr>
            <w:tcW w:w="665" w:type="dxa"/>
            <w:vMerge/>
            <w:noWrap/>
            <w:hideMark/>
          </w:tcPr>
          <w:p w:rsidR="005B476B" w:rsidRPr="009D6508" w:rsidRDefault="005B476B" w:rsidP="000A7D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4" w:type="dxa"/>
            <w:vMerge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3" w:type="dxa"/>
            <w:noWrap/>
            <w:hideMark/>
          </w:tcPr>
          <w:p w:rsidR="005B476B" w:rsidRPr="009D6508" w:rsidRDefault="005B476B" w:rsidP="00BE6E36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e2</w:t>
            </w:r>
          </w:p>
        </w:tc>
        <w:tc>
          <w:tcPr>
            <w:tcW w:w="5625" w:type="dxa"/>
            <w:hideMark/>
          </w:tcPr>
          <w:p w:rsidR="005B476B" w:rsidRPr="009D6508" w:rsidRDefault="005B476B">
            <w:pPr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promuovere lo sviluppo sociale, economico e ambientale integrato a livello locale, il patrimonio culturale e la sicurezza, anche per le aree rurali e costiere, tra l'altro mediante iniziative di sviluppo locale di tipo partecipativo</w:t>
            </w:r>
          </w:p>
        </w:tc>
        <w:tc>
          <w:tcPr>
            <w:tcW w:w="1108" w:type="dxa"/>
            <w:noWrap/>
            <w:hideMark/>
          </w:tcPr>
          <w:p w:rsidR="005B476B" w:rsidRPr="009D6508" w:rsidRDefault="005B476B" w:rsidP="004573E8">
            <w:pPr>
              <w:spacing w:before="420"/>
              <w:jc w:val="center"/>
              <w:rPr>
                <w:rFonts w:cstheme="minorHAnsi"/>
                <w:sz w:val="20"/>
                <w:szCs w:val="20"/>
              </w:rPr>
            </w:pPr>
            <w:r w:rsidRPr="009D6508">
              <w:rPr>
                <w:rFonts w:cstheme="minorHAnsi"/>
                <w:sz w:val="20"/>
                <w:szCs w:val="20"/>
              </w:rPr>
              <w:t>FESR</w:t>
            </w:r>
          </w:p>
        </w:tc>
      </w:tr>
    </w:tbl>
    <w:p w:rsidR="009A6D2A" w:rsidRPr="00072ED0" w:rsidRDefault="009A6D2A" w:rsidP="00C27026">
      <w:pPr>
        <w:jc w:val="both"/>
        <w:rPr>
          <w:rFonts w:asciiTheme="minorHAnsi" w:hAnsiTheme="minorHAnsi" w:cstheme="minorHAnsi"/>
          <w:noProof/>
          <w:sz w:val="24"/>
          <w:szCs w:val="24"/>
        </w:rPr>
      </w:pPr>
    </w:p>
    <w:sectPr w:rsidR="009A6D2A" w:rsidRPr="00072ED0" w:rsidSect="003F5BAC">
      <w:headerReference w:type="default" r:id="rId17"/>
      <w:pgSz w:w="11906" w:h="16838"/>
      <w:pgMar w:top="1276" w:right="991" w:bottom="72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4CA" w:rsidRDefault="009864CA">
      <w:pPr>
        <w:spacing w:after="0" w:line="240" w:lineRule="auto"/>
      </w:pPr>
      <w:r>
        <w:separator/>
      </w:r>
    </w:p>
  </w:endnote>
  <w:endnote w:type="continuationSeparator" w:id="0">
    <w:p w:rsidR="009864CA" w:rsidRDefault="0098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9D" w:rsidRDefault="003511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976775"/>
      <w:docPartObj>
        <w:docPartGallery w:val="Page Numbers (Bottom of Page)"/>
        <w:docPartUnique/>
      </w:docPartObj>
    </w:sdtPr>
    <w:sdtEndPr/>
    <w:sdtContent>
      <w:p w:rsidR="00D86693" w:rsidRDefault="00D86693" w:rsidP="00D866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42C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9D" w:rsidRDefault="003511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4CA" w:rsidRDefault="009864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864CA" w:rsidRDefault="009864CA">
      <w:pPr>
        <w:spacing w:after="0" w:line="240" w:lineRule="auto"/>
      </w:pPr>
      <w:r>
        <w:continuationSeparator/>
      </w:r>
    </w:p>
  </w:footnote>
  <w:footnote w:id="1">
    <w:p w:rsidR="00513266" w:rsidRPr="00D47947" w:rsidRDefault="0051326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="00300FCD" w:rsidRPr="00D47947">
        <w:rPr>
          <w:sz w:val="18"/>
          <w:szCs w:val="18"/>
        </w:rPr>
        <w:t>Le t</w:t>
      </w:r>
      <w:r w:rsidRPr="00D47947">
        <w:rPr>
          <w:sz w:val="18"/>
          <w:szCs w:val="18"/>
        </w:rPr>
        <w:t xml:space="preserve">ipologie di territori </w:t>
      </w:r>
      <w:r w:rsidR="00300FCD" w:rsidRPr="00D47947">
        <w:rPr>
          <w:sz w:val="18"/>
          <w:szCs w:val="18"/>
        </w:rPr>
        <w:t xml:space="preserve">sono </w:t>
      </w:r>
      <w:r w:rsidRPr="00D47947">
        <w:rPr>
          <w:sz w:val="18"/>
          <w:szCs w:val="18"/>
        </w:rPr>
        <w:t xml:space="preserve">individuate nella Tavola 3 dell’Allegato 1 alla </w:t>
      </w:r>
      <w:r w:rsidR="00300FCD" w:rsidRPr="00D47947">
        <w:rPr>
          <w:sz w:val="18"/>
          <w:szCs w:val="18"/>
        </w:rPr>
        <w:t xml:space="preserve">proposta del Regolamento Comune (CPR). </w:t>
      </w:r>
    </w:p>
  </w:footnote>
  <w:footnote w:id="2">
    <w:p w:rsidR="00D47947" w:rsidRDefault="00D47947">
      <w:pPr>
        <w:pStyle w:val="Testonotaapidipagina"/>
      </w:pPr>
      <w:r w:rsidRPr="00D47947">
        <w:rPr>
          <w:rStyle w:val="Rimandonotaapidipagina"/>
        </w:rPr>
        <w:footnoteRef/>
      </w:r>
      <w:r w:rsidRPr="00D47947">
        <w:t xml:space="preserve"> </w:t>
      </w:r>
      <w:r w:rsidRPr="00D47947">
        <w:rPr>
          <w:sz w:val="18"/>
          <w:szCs w:val="18"/>
        </w:rPr>
        <w:t>Altre tipologie di territori possono essere, ad esempio, aree di crisi, oppure unioni di comuni di Distretti socio-assistenziali.</w:t>
      </w:r>
    </w:p>
  </w:footnote>
  <w:footnote w:id="3">
    <w:p w:rsidR="00140E3E" w:rsidRPr="00140E3E" w:rsidRDefault="00140E3E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40E3E">
        <w:rPr>
          <w:sz w:val="18"/>
          <w:szCs w:val="18"/>
        </w:rPr>
        <w:t>Su tutte le proposte di regolamento della Commissione UE si sta svolgendo la negoziazione con gli Stati membri in seno al Consiglio UE. Al momento i lavori sono in stato avanzato, essendo stata approvata una posizione di compromesso comune agli Stati membri per la quasi totalità dei regolamenti del pacchetto coesione (CPR, FESR/FC, FSE+, CTE), con proposte di modifica ai testi della Commissione. Terminata questa fase, inizierà la negoziazione a trilogo tra le proposte della Commissione, la posizione assunta dagli Stati membri in Consiglio UE e quella del Parlamento europeo (il Parlamento uscente ha già approvato la propria posizione e i relativi emendamenti alle proposte della Commissione; tale posizione potrà essere confermata o modificata dal Parlamento eletto a seguito delle elezioni di maggio 2019), dalla quale scaturiranno i testi finali.</w:t>
      </w:r>
    </w:p>
  </w:footnote>
  <w:footnote w:id="4">
    <w:p w:rsidR="003A26D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750EB">
        <w:rPr>
          <w:sz w:val="18"/>
          <w:szCs w:val="18"/>
        </w:rPr>
        <w:t>Per questo Obiettivo di Policy 5 può essere utile tenere presente la versione degli O</w:t>
      </w:r>
      <w:r w:rsidR="0023217F" w:rsidRPr="007750EB">
        <w:rPr>
          <w:sz w:val="18"/>
          <w:szCs w:val="18"/>
        </w:rPr>
        <w:t xml:space="preserve">biettivi </w:t>
      </w:r>
      <w:r w:rsidRPr="007750EB">
        <w:rPr>
          <w:sz w:val="18"/>
          <w:szCs w:val="18"/>
        </w:rPr>
        <w:t>S</w:t>
      </w:r>
      <w:r w:rsidR="0023217F" w:rsidRPr="007750EB">
        <w:rPr>
          <w:sz w:val="18"/>
          <w:szCs w:val="18"/>
        </w:rPr>
        <w:t>trategici</w:t>
      </w:r>
      <w:r w:rsidRPr="007750EB">
        <w:rPr>
          <w:sz w:val="18"/>
          <w:szCs w:val="18"/>
        </w:rPr>
        <w:t xml:space="preserve"> definita nel negoziato interno al Consiglio e che </w:t>
      </w:r>
      <w:r w:rsidR="003A26D1" w:rsidRPr="007750EB">
        <w:rPr>
          <w:sz w:val="18"/>
          <w:szCs w:val="18"/>
        </w:rPr>
        <w:t>è definita come di seguito</w:t>
      </w:r>
      <w:r w:rsidRPr="007750EB">
        <w:rPr>
          <w:sz w:val="18"/>
          <w:szCs w:val="18"/>
        </w:rPr>
        <w:t xml:space="preserve">: </w:t>
      </w:r>
    </w:p>
    <w:p w:rsidR="00B56041" w:rsidRPr="007750EB" w:rsidRDefault="00B56041" w:rsidP="00282AB1">
      <w:pPr>
        <w:pStyle w:val="Testonotaapidipagina"/>
        <w:jc w:val="both"/>
        <w:rPr>
          <w:sz w:val="18"/>
          <w:szCs w:val="18"/>
        </w:rPr>
      </w:pPr>
      <w:r w:rsidRPr="007750EB">
        <w:rPr>
          <w:sz w:val="18"/>
          <w:szCs w:val="18"/>
        </w:rPr>
        <w:t xml:space="preserve">OS-e1 </w:t>
      </w:r>
      <w:r w:rsidRPr="007750EB">
        <w:rPr>
          <w:i/>
          <w:sz w:val="18"/>
          <w:szCs w:val="18"/>
        </w:rPr>
        <w:t>“promuovere lo sviluppo sociale, economico e ambientale</w:t>
      </w:r>
      <w:r w:rsidR="003A26D1" w:rsidRPr="007750EB">
        <w:rPr>
          <w:i/>
          <w:sz w:val="18"/>
          <w:szCs w:val="18"/>
        </w:rPr>
        <w:t xml:space="preserve"> </w:t>
      </w:r>
      <w:r w:rsidRPr="007750EB">
        <w:rPr>
          <w:i/>
          <w:sz w:val="18"/>
          <w:szCs w:val="18"/>
        </w:rPr>
        <w:t>integrato a livello locale, il patrimonio culturale, il turismo e la sicurezza nelle aree urbane”</w:t>
      </w:r>
      <w:r w:rsidRPr="007750EB">
        <w:rPr>
          <w:sz w:val="18"/>
          <w:szCs w:val="18"/>
        </w:rPr>
        <w:t xml:space="preserve">; OS-e2 </w:t>
      </w:r>
      <w:r w:rsidRPr="007750EB">
        <w:rPr>
          <w:i/>
          <w:sz w:val="18"/>
          <w:szCs w:val="18"/>
        </w:rPr>
        <w:t>“promuovere lo sviluppo sociale, economico e ambientale integrato a livello locale, il patrimonio culturale, il turismo e la sicurezza in territori diversi dalle aree urbane”.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9D" w:rsidRDefault="003511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ED" w:rsidRDefault="006961ED" w:rsidP="00D86693">
    <w:pPr>
      <w:rPr>
        <w:b/>
        <w:sz w:val="28"/>
        <w:szCs w:val="28"/>
      </w:rPr>
    </w:pPr>
  </w:p>
  <w:p w:rsidR="006961ED" w:rsidRDefault="006961ED" w:rsidP="00D86693">
    <w:pPr>
      <w:rPr>
        <w:b/>
        <w:sz w:val="28"/>
        <w:szCs w:val="28"/>
      </w:rPr>
    </w:pPr>
  </w:p>
  <w:p w:rsidR="00D86693" w:rsidRPr="000901DC" w:rsidRDefault="00D86693" w:rsidP="00684CEB">
    <w:pP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19D" w:rsidRDefault="0035119D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DC" w:rsidRPr="000901DC" w:rsidRDefault="000901DC" w:rsidP="00D86693">
    <w:pPr>
      <w:rPr>
        <w:b/>
        <w:sz w:val="27"/>
        <w:szCs w:val="27"/>
      </w:rPr>
    </w:pPr>
    <w:r w:rsidRPr="000901DC">
      <w:rPr>
        <w:b/>
        <w:sz w:val="27"/>
        <w:szCs w:val="27"/>
      </w:rPr>
      <w:t xml:space="preserve">Programmazione della politica di coesione 2021 - 2027 </w:t>
    </w:r>
    <w:r>
      <w:rPr>
        <w:b/>
        <w:sz w:val="27"/>
        <w:szCs w:val="27"/>
      </w:rPr>
      <w:t xml:space="preserve"> </w:t>
    </w:r>
    <w:r w:rsidRPr="000901DC">
      <w:rPr>
        <w:b/>
        <w:sz w:val="27"/>
        <w:szCs w:val="27"/>
      </w:rPr>
      <w:t xml:space="preserve"> </w:t>
    </w:r>
    <w:r w:rsidRPr="000901DC">
      <w:rPr>
        <w:b/>
        <w:i/>
        <w:sz w:val="27"/>
        <w:szCs w:val="27"/>
      </w:rPr>
      <w:t xml:space="preserve">Scheda </w:t>
    </w:r>
    <w:r w:rsidR="009631CB">
      <w:rPr>
        <w:b/>
        <w:i/>
        <w:sz w:val="27"/>
        <w:szCs w:val="27"/>
      </w:rPr>
      <w:t>presentazione</w:t>
    </w:r>
    <w:r w:rsidRPr="000901DC">
      <w:rPr>
        <w:b/>
        <w:i/>
        <w:sz w:val="27"/>
        <w:szCs w:val="27"/>
      </w:rPr>
      <w:t xml:space="preserve"> contributi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1DC" w:rsidRPr="000901DC" w:rsidRDefault="000901DC" w:rsidP="00D86693">
    <w:pPr>
      <w:rPr>
        <w:b/>
        <w:sz w:val="28"/>
        <w:szCs w:val="28"/>
      </w:rPr>
    </w:pPr>
    <w:r w:rsidRPr="000901DC">
      <w:rPr>
        <w:b/>
        <w:sz w:val="28"/>
        <w:szCs w:val="28"/>
      </w:rPr>
      <w:t>Programmazione della politica di coesione 2021 - 2027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BA2"/>
    <w:multiLevelType w:val="multilevel"/>
    <w:tmpl w:val="2A38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31F0"/>
    <w:multiLevelType w:val="hybridMultilevel"/>
    <w:tmpl w:val="804AFE4A"/>
    <w:lvl w:ilvl="0" w:tplc="FD08A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00E0C"/>
    <w:multiLevelType w:val="hybridMultilevel"/>
    <w:tmpl w:val="41DE6196"/>
    <w:lvl w:ilvl="0" w:tplc="0562F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3C30"/>
    <w:multiLevelType w:val="hybridMultilevel"/>
    <w:tmpl w:val="641C1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240B4"/>
    <w:multiLevelType w:val="hybridMultilevel"/>
    <w:tmpl w:val="DE24BB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10AC"/>
    <w:multiLevelType w:val="hybridMultilevel"/>
    <w:tmpl w:val="859A03B8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4D"/>
    <w:multiLevelType w:val="hybridMultilevel"/>
    <w:tmpl w:val="756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D1A70"/>
    <w:multiLevelType w:val="hybridMultilevel"/>
    <w:tmpl w:val="061A7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694C"/>
    <w:multiLevelType w:val="hybridMultilevel"/>
    <w:tmpl w:val="AF98EBDC"/>
    <w:lvl w:ilvl="0" w:tplc="0562F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5282"/>
    <w:multiLevelType w:val="hybridMultilevel"/>
    <w:tmpl w:val="754E917C"/>
    <w:lvl w:ilvl="0" w:tplc="EA765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1A11"/>
    <w:multiLevelType w:val="hybridMultilevel"/>
    <w:tmpl w:val="855C86B2"/>
    <w:lvl w:ilvl="0" w:tplc="CB645BD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54D2B"/>
    <w:multiLevelType w:val="hybridMultilevel"/>
    <w:tmpl w:val="CBEEF20A"/>
    <w:lvl w:ilvl="0" w:tplc="9702B83E">
      <w:start w:val="2"/>
      <w:numFmt w:val="decimal"/>
      <w:lvlText w:val="%1."/>
      <w:lvlJc w:val="left"/>
      <w:pPr>
        <w:ind w:left="5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72446908"/>
    <w:multiLevelType w:val="hybridMultilevel"/>
    <w:tmpl w:val="51242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B6201"/>
    <w:multiLevelType w:val="hybridMultilevel"/>
    <w:tmpl w:val="22B61C80"/>
    <w:lvl w:ilvl="0" w:tplc="C2944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3B"/>
    <w:rsid w:val="0000282C"/>
    <w:rsid w:val="00004E25"/>
    <w:rsid w:val="00020FD3"/>
    <w:rsid w:val="00027D9A"/>
    <w:rsid w:val="0004493B"/>
    <w:rsid w:val="000627E4"/>
    <w:rsid w:val="00071D71"/>
    <w:rsid w:val="00072ED0"/>
    <w:rsid w:val="000901DC"/>
    <w:rsid w:val="00096116"/>
    <w:rsid w:val="000A7DDB"/>
    <w:rsid w:val="0012010B"/>
    <w:rsid w:val="00123287"/>
    <w:rsid w:val="00133E6B"/>
    <w:rsid w:val="00135E63"/>
    <w:rsid w:val="00140E3E"/>
    <w:rsid w:val="001533FC"/>
    <w:rsid w:val="00170C3E"/>
    <w:rsid w:val="0018254D"/>
    <w:rsid w:val="0019688A"/>
    <w:rsid w:val="001D3B9C"/>
    <w:rsid w:val="0023217F"/>
    <w:rsid w:val="00232E0E"/>
    <w:rsid w:val="002403E1"/>
    <w:rsid w:val="002433FE"/>
    <w:rsid w:val="00253EC3"/>
    <w:rsid w:val="00255166"/>
    <w:rsid w:val="002749C4"/>
    <w:rsid w:val="00274D4F"/>
    <w:rsid w:val="00282AB1"/>
    <w:rsid w:val="002872EA"/>
    <w:rsid w:val="002A3F7E"/>
    <w:rsid w:val="002B57A6"/>
    <w:rsid w:val="002E55AF"/>
    <w:rsid w:val="002E5C7A"/>
    <w:rsid w:val="00300E83"/>
    <w:rsid w:val="00300FCD"/>
    <w:rsid w:val="0030600D"/>
    <w:rsid w:val="003142D9"/>
    <w:rsid w:val="00317AE6"/>
    <w:rsid w:val="0033245D"/>
    <w:rsid w:val="003333AA"/>
    <w:rsid w:val="0035119D"/>
    <w:rsid w:val="00376CC7"/>
    <w:rsid w:val="00390CEF"/>
    <w:rsid w:val="00392582"/>
    <w:rsid w:val="00394338"/>
    <w:rsid w:val="00394DFE"/>
    <w:rsid w:val="003A26D1"/>
    <w:rsid w:val="003D2924"/>
    <w:rsid w:val="003E1201"/>
    <w:rsid w:val="003E51A2"/>
    <w:rsid w:val="003E573D"/>
    <w:rsid w:val="003F5BAC"/>
    <w:rsid w:val="00400769"/>
    <w:rsid w:val="0041672D"/>
    <w:rsid w:val="004341E6"/>
    <w:rsid w:val="0043471C"/>
    <w:rsid w:val="004425A2"/>
    <w:rsid w:val="004573E8"/>
    <w:rsid w:val="004877D8"/>
    <w:rsid w:val="004E4485"/>
    <w:rsid w:val="00500DEE"/>
    <w:rsid w:val="00506635"/>
    <w:rsid w:val="00513266"/>
    <w:rsid w:val="00516347"/>
    <w:rsid w:val="00534FF4"/>
    <w:rsid w:val="0054216D"/>
    <w:rsid w:val="00546540"/>
    <w:rsid w:val="00551F33"/>
    <w:rsid w:val="0055288B"/>
    <w:rsid w:val="00555435"/>
    <w:rsid w:val="005568B0"/>
    <w:rsid w:val="00564536"/>
    <w:rsid w:val="00577203"/>
    <w:rsid w:val="005808BB"/>
    <w:rsid w:val="00597752"/>
    <w:rsid w:val="005A3799"/>
    <w:rsid w:val="005B1D40"/>
    <w:rsid w:val="005B476B"/>
    <w:rsid w:val="005C461F"/>
    <w:rsid w:val="005E2AC7"/>
    <w:rsid w:val="00613110"/>
    <w:rsid w:val="00614BB2"/>
    <w:rsid w:val="0061642C"/>
    <w:rsid w:val="00675311"/>
    <w:rsid w:val="00676A4C"/>
    <w:rsid w:val="00684CEB"/>
    <w:rsid w:val="006961ED"/>
    <w:rsid w:val="006A7339"/>
    <w:rsid w:val="006B79F1"/>
    <w:rsid w:val="006C4D1D"/>
    <w:rsid w:val="006D7060"/>
    <w:rsid w:val="006F7A5B"/>
    <w:rsid w:val="00706352"/>
    <w:rsid w:val="00711577"/>
    <w:rsid w:val="007130DE"/>
    <w:rsid w:val="007750EB"/>
    <w:rsid w:val="007A742E"/>
    <w:rsid w:val="007C2273"/>
    <w:rsid w:val="007C6576"/>
    <w:rsid w:val="007D1BCA"/>
    <w:rsid w:val="007F72BF"/>
    <w:rsid w:val="0080741D"/>
    <w:rsid w:val="00823C7C"/>
    <w:rsid w:val="0083074D"/>
    <w:rsid w:val="008524A7"/>
    <w:rsid w:val="00855427"/>
    <w:rsid w:val="008613F1"/>
    <w:rsid w:val="008750A6"/>
    <w:rsid w:val="008A2B3B"/>
    <w:rsid w:val="008B34EA"/>
    <w:rsid w:val="008C094F"/>
    <w:rsid w:val="008C3972"/>
    <w:rsid w:val="008F56D8"/>
    <w:rsid w:val="009071C8"/>
    <w:rsid w:val="0091226A"/>
    <w:rsid w:val="0091793F"/>
    <w:rsid w:val="009631CB"/>
    <w:rsid w:val="0096611A"/>
    <w:rsid w:val="0096662E"/>
    <w:rsid w:val="0097225B"/>
    <w:rsid w:val="0097375B"/>
    <w:rsid w:val="009742DE"/>
    <w:rsid w:val="009777E8"/>
    <w:rsid w:val="00985FB7"/>
    <w:rsid w:val="009864CA"/>
    <w:rsid w:val="009A2332"/>
    <w:rsid w:val="009A6D2A"/>
    <w:rsid w:val="009B3A0F"/>
    <w:rsid w:val="009B5FE5"/>
    <w:rsid w:val="009C3EC8"/>
    <w:rsid w:val="009D436E"/>
    <w:rsid w:val="009D51FE"/>
    <w:rsid w:val="009D6508"/>
    <w:rsid w:val="009E464F"/>
    <w:rsid w:val="00A00638"/>
    <w:rsid w:val="00A16C07"/>
    <w:rsid w:val="00A4263D"/>
    <w:rsid w:val="00A43B60"/>
    <w:rsid w:val="00A66EA3"/>
    <w:rsid w:val="00A711BB"/>
    <w:rsid w:val="00A7486F"/>
    <w:rsid w:val="00AA409C"/>
    <w:rsid w:val="00AB3C8B"/>
    <w:rsid w:val="00AC0094"/>
    <w:rsid w:val="00AD2B07"/>
    <w:rsid w:val="00AD3318"/>
    <w:rsid w:val="00B05FE2"/>
    <w:rsid w:val="00B13616"/>
    <w:rsid w:val="00B174A7"/>
    <w:rsid w:val="00B24677"/>
    <w:rsid w:val="00B31870"/>
    <w:rsid w:val="00B35C94"/>
    <w:rsid w:val="00B37AAC"/>
    <w:rsid w:val="00B54D6F"/>
    <w:rsid w:val="00B56041"/>
    <w:rsid w:val="00B62DA4"/>
    <w:rsid w:val="00B64B09"/>
    <w:rsid w:val="00BA43C4"/>
    <w:rsid w:val="00BE4993"/>
    <w:rsid w:val="00BE6E36"/>
    <w:rsid w:val="00C23264"/>
    <w:rsid w:val="00C27026"/>
    <w:rsid w:val="00C517CF"/>
    <w:rsid w:val="00C5768C"/>
    <w:rsid w:val="00C62238"/>
    <w:rsid w:val="00C96008"/>
    <w:rsid w:val="00CA7CA1"/>
    <w:rsid w:val="00CB6E4B"/>
    <w:rsid w:val="00CD60CE"/>
    <w:rsid w:val="00CE25D5"/>
    <w:rsid w:val="00CF15A1"/>
    <w:rsid w:val="00D01B0E"/>
    <w:rsid w:val="00D1611F"/>
    <w:rsid w:val="00D27E21"/>
    <w:rsid w:val="00D40A72"/>
    <w:rsid w:val="00D47947"/>
    <w:rsid w:val="00D64BAE"/>
    <w:rsid w:val="00D86693"/>
    <w:rsid w:val="00DA564B"/>
    <w:rsid w:val="00DA5A01"/>
    <w:rsid w:val="00DB1AE0"/>
    <w:rsid w:val="00DB4161"/>
    <w:rsid w:val="00DB5F86"/>
    <w:rsid w:val="00DD4A50"/>
    <w:rsid w:val="00DF7CB8"/>
    <w:rsid w:val="00E17CED"/>
    <w:rsid w:val="00E40ED3"/>
    <w:rsid w:val="00E427B0"/>
    <w:rsid w:val="00E61667"/>
    <w:rsid w:val="00E83831"/>
    <w:rsid w:val="00EA5F71"/>
    <w:rsid w:val="00ED2BFD"/>
    <w:rsid w:val="00EF4F49"/>
    <w:rsid w:val="00F14003"/>
    <w:rsid w:val="00F167EF"/>
    <w:rsid w:val="00F30817"/>
    <w:rsid w:val="00F649B7"/>
    <w:rsid w:val="00F85DE3"/>
    <w:rsid w:val="00FA20C6"/>
    <w:rsid w:val="00FA6AE4"/>
    <w:rsid w:val="00FC2144"/>
    <w:rsid w:val="00FE05BA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62859"/>
  <w15:docId w15:val="{B88ECA8D-6631-4237-9C96-4E36587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1D40"/>
    <w:rPr>
      <w:rFonts w:ascii="Tahoma" w:hAnsi="Tahoma" w:cs="Tahoma"/>
      <w:sz w:val="16"/>
      <w:szCs w:val="16"/>
    </w:rPr>
  </w:style>
  <w:style w:type="paragraph" w:customStyle="1" w:styleId="Point1">
    <w:name w:val="Point 1"/>
    <w:basedOn w:val="Normale"/>
    <w:rsid w:val="00564536"/>
    <w:pPr>
      <w:suppressAutoHyphens w:val="0"/>
      <w:autoSpaceDN/>
      <w:spacing w:before="120" w:after="120" w:line="240" w:lineRule="auto"/>
      <w:ind w:left="1417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Point2">
    <w:name w:val="Point 2"/>
    <w:basedOn w:val="Normale"/>
    <w:rsid w:val="00564536"/>
    <w:pPr>
      <w:suppressAutoHyphens w:val="0"/>
      <w:autoSpaceDN/>
      <w:spacing w:before="120" w:after="120" w:line="240" w:lineRule="auto"/>
      <w:ind w:left="1984" w:hanging="567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ManualNumPar1">
    <w:name w:val="Manual NumPar 1"/>
    <w:basedOn w:val="Normale"/>
    <w:next w:val="Normale"/>
    <w:rsid w:val="00564536"/>
    <w:pPr>
      <w:suppressAutoHyphens w:val="0"/>
      <w:autoSpaceDN/>
      <w:spacing w:before="120" w:after="120" w:line="240" w:lineRule="auto"/>
      <w:ind w:left="850" w:hanging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customStyle="1" w:styleId="Titrearticle">
    <w:name w:val="Titre article"/>
    <w:basedOn w:val="Normale"/>
    <w:next w:val="Normale"/>
    <w:rsid w:val="00564536"/>
    <w:pPr>
      <w:keepNext/>
      <w:suppressAutoHyphens w:val="0"/>
      <w:autoSpaceDN/>
      <w:spacing w:before="360" w:after="120" w:line="240" w:lineRule="auto"/>
      <w:jc w:val="center"/>
      <w:textAlignment w:val="auto"/>
    </w:pPr>
    <w:rPr>
      <w:rFonts w:ascii="Times New Roman" w:eastAsiaTheme="minorHAnsi" w:hAnsi="Times New Roman"/>
      <w:i/>
      <w:sz w:val="24"/>
      <w:lang w:eastAsia="it-IT" w:bidi="it-IT"/>
    </w:rPr>
  </w:style>
  <w:style w:type="table" w:styleId="Grigliatabella">
    <w:name w:val="Table Grid"/>
    <w:basedOn w:val="Tabellanormale"/>
    <w:uiPriority w:val="39"/>
    <w:rsid w:val="0056453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e"/>
    <w:rsid w:val="00564536"/>
    <w:pPr>
      <w:suppressAutoHyphens w:val="0"/>
      <w:autoSpaceDN/>
      <w:spacing w:before="120" w:after="120" w:line="240" w:lineRule="auto"/>
      <w:ind w:left="850"/>
      <w:jc w:val="both"/>
      <w:textAlignment w:val="auto"/>
    </w:pPr>
    <w:rPr>
      <w:rFonts w:ascii="Times New Roman" w:eastAsiaTheme="minorHAnsi" w:hAnsi="Times New Roman"/>
      <w:sz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693"/>
  </w:style>
  <w:style w:type="paragraph" w:styleId="Pidipagina">
    <w:name w:val="footer"/>
    <w:basedOn w:val="Normale"/>
    <w:link w:val="PidipaginaCarattere"/>
    <w:uiPriority w:val="99"/>
    <w:unhideWhenUsed/>
    <w:rsid w:val="00D86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693"/>
  </w:style>
  <w:style w:type="character" w:styleId="Collegamentoipertestuale">
    <w:name w:val="Hyperlink"/>
    <w:basedOn w:val="Carpredefinitoparagrafo"/>
    <w:uiPriority w:val="99"/>
    <w:unhideWhenUsed/>
    <w:rsid w:val="001533F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F167EF"/>
    <w:pPr>
      <w:autoSpaceDN/>
      <w:spacing w:after="0" w:line="240" w:lineRule="auto"/>
      <w:textAlignment w:val="auto"/>
    </w:pPr>
  </w:style>
  <w:style w:type="paragraph" w:styleId="NormaleWeb">
    <w:name w:val="Normal (Web)"/>
    <w:basedOn w:val="Normale"/>
    <w:uiPriority w:val="99"/>
    <w:semiHidden/>
    <w:unhideWhenUsed/>
    <w:rsid w:val="006961E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F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FA6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trentinosviluppo.it/public/file/matching%20fund/2019-07-26_Avviso_pubblico_rettificato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fesr.regione.lombardia.it/wps/portal/PROUE/FESR/Eventi/DettaglioEvento/presentazione-appalto-pre-commerciale-201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9A28-7068-4880-9231-FF84762C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Boffo</dc:creator>
  <cp:lastModifiedBy>bruno checcucci</cp:lastModifiedBy>
  <cp:revision>3</cp:revision>
  <cp:lastPrinted>2019-06-03T12:15:00Z</cp:lastPrinted>
  <dcterms:created xsi:type="dcterms:W3CDTF">2019-09-10T14:53:00Z</dcterms:created>
  <dcterms:modified xsi:type="dcterms:W3CDTF">2019-09-20T11:53:00Z</dcterms:modified>
</cp:coreProperties>
</file>