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-52872297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</w:rPr>
      </w:sdtEndPr>
      <w:sdtContent>
        <w:tbl>
          <w:tblPr>
            <w:tblpPr w:leftFromText="187" w:rightFromText="187" w:vertAnchor="page" w:horzAnchor="margin" w:tblpXSpec="center" w:tblpY="5139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981"/>
          </w:tblGrid>
          <w:tr w:rsidR="00AC37FE" w:rsidTr="00A07F69">
            <w:tc>
              <w:tcPr>
                <w:tcW w:w="789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C37FE" w:rsidRDefault="00AC37FE" w:rsidP="00776ABE">
                <w:pPr>
                  <w:pStyle w:val="Nessunaspaziatura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AC37FE" w:rsidTr="00A07F69">
            <w:tc>
              <w:tcPr>
                <w:tcW w:w="7894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72"/>
                    <w:szCs w:val="72"/>
                  </w:rPr>
                  <w:alias w:val="Titolo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AC37FE" w:rsidRPr="00A07F69" w:rsidRDefault="00BB2B20" w:rsidP="00A07F69">
                    <w:pPr>
                      <w:pStyle w:val="Nessunaspaziatura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72"/>
                        <w:szCs w:val="72"/>
                      </w:rPr>
                      <w:t>Informativa: Stato di avanzamento del PO FESR 2014-2020</w:t>
                    </w:r>
                  </w:p>
                </w:sdtContent>
              </w:sdt>
            </w:tc>
          </w:tr>
          <w:tr w:rsidR="00AC37FE" w:rsidTr="00A07F69">
            <w:tc>
              <w:tcPr>
                <w:tcW w:w="789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C37FE" w:rsidRDefault="00331A7E" w:rsidP="00E2441C">
                <w:pPr>
                  <w:pStyle w:val="Nessunaspaziatura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 xml:space="preserve">Dati </w:t>
                </w:r>
                <w:r w:rsidRPr="008E2F76">
                  <w:rPr>
                    <w:rFonts w:asciiTheme="majorHAnsi" w:eastAsiaTheme="majorEastAsia" w:hAnsiTheme="majorHAnsi" w:cstheme="majorBidi"/>
                  </w:rPr>
                  <w:t xml:space="preserve">aggiornati al </w:t>
                </w:r>
                <w:r w:rsidR="00E2441C" w:rsidRPr="008E2F76">
                  <w:rPr>
                    <w:rFonts w:asciiTheme="majorHAnsi" w:eastAsiaTheme="majorEastAsia" w:hAnsiTheme="majorHAnsi" w:cstheme="majorBidi"/>
                  </w:rPr>
                  <w:t>31</w:t>
                </w:r>
                <w:r w:rsidR="008218E3" w:rsidRPr="008E2F76">
                  <w:rPr>
                    <w:rFonts w:asciiTheme="majorHAnsi" w:eastAsiaTheme="majorEastAsia" w:hAnsiTheme="majorHAnsi" w:cstheme="majorBidi"/>
                  </w:rPr>
                  <w:t>/05/201</w:t>
                </w:r>
                <w:r w:rsidR="00E2441C" w:rsidRPr="008E2F76">
                  <w:rPr>
                    <w:rFonts w:asciiTheme="majorHAnsi" w:eastAsiaTheme="majorEastAsia" w:hAnsiTheme="majorHAnsi" w:cstheme="majorBidi"/>
                  </w:rPr>
                  <w:t>9</w:t>
                </w:r>
              </w:p>
            </w:tc>
          </w:tr>
        </w:tbl>
        <w:p w:rsidR="00AC37FE" w:rsidRDefault="00AC37FE"/>
        <w:p w:rsidR="00AC37FE" w:rsidRPr="00A07F69" w:rsidRDefault="00A07F69">
          <w:pPr>
            <w:rPr>
              <w:rFonts w:cstheme="minorHAnsi"/>
            </w:rPr>
          </w:pPr>
          <w:r w:rsidRPr="00B54759">
            <w:rPr>
              <w:rFonts w:cstheme="minorHAnsi"/>
              <w:noProof/>
              <w:lang w:eastAsia="it-IT"/>
            </w:rPr>
            <w:drawing>
              <wp:inline distT="0" distB="0" distL="0" distR="0" wp14:anchorId="55FE8E18" wp14:editId="219E0929">
                <wp:extent cx="2561590" cy="27622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1590" cy="276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981"/>
          </w:tblGrid>
          <w:tr w:rsidR="00AC37FE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C37FE" w:rsidRDefault="00AC37FE">
                <w:pPr>
                  <w:pStyle w:val="Nessunaspaziatura"/>
                  <w:rPr>
                    <w:color w:val="4F81BD" w:themeColor="accent1"/>
                  </w:rPr>
                </w:pPr>
              </w:p>
            </w:tc>
          </w:tr>
        </w:tbl>
        <w:p w:rsidR="00A07F69" w:rsidRDefault="00A07F69">
          <w:pPr>
            <w:rPr>
              <w:b/>
            </w:rPr>
          </w:pPr>
          <w:r w:rsidRPr="00B54759">
            <w:rPr>
              <w:rFonts w:cstheme="minorHAnsi"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46D22696" wp14:editId="071F2748">
                <wp:simplePos x="0" y="0"/>
                <wp:positionH relativeFrom="column">
                  <wp:posOffset>555040</wp:posOffset>
                </wp:positionH>
                <wp:positionV relativeFrom="paragraph">
                  <wp:posOffset>6967220</wp:posOffset>
                </wp:positionV>
                <wp:extent cx="1191895" cy="734695"/>
                <wp:effectExtent l="0" t="0" r="8255" b="825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C37FE">
            <w:rPr>
              <w:b/>
            </w:rPr>
            <w:br w:type="page"/>
          </w:r>
        </w:p>
        <w:p w:rsidR="00AC37FE" w:rsidRDefault="00A73D0D">
          <w:pPr>
            <w:rPr>
              <w:b/>
            </w:rPr>
          </w:pP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9187911"/>
        <w:docPartObj>
          <w:docPartGallery w:val="Table of Contents"/>
          <w:docPartUnique/>
        </w:docPartObj>
      </w:sdtPr>
      <w:sdtEndPr/>
      <w:sdtContent>
        <w:p w:rsidR="00930FAF" w:rsidRDefault="00930FAF">
          <w:pPr>
            <w:pStyle w:val="Titolosommario"/>
          </w:pPr>
          <w:r>
            <w:t>Sommario</w:t>
          </w:r>
        </w:p>
        <w:p w:rsidR="00464329" w:rsidRDefault="00930FAF">
          <w:pPr>
            <w:pStyle w:val="Sommario1"/>
            <w:tabs>
              <w:tab w:val="right" w:leader="dot" w:pos="9736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068598" w:history="1">
            <w:r w:rsidR="00464329" w:rsidRPr="00EB4E30">
              <w:rPr>
                <w:rStyle w:val="Collegamentoipertestuale"/>
                <w:rFonts w:cstheme="minorHAnsi"/>
                <w:noProof/>
              </w:rPr>
              <w:t>Stato avanzamento finanziario per Asse – Action plan e previsioni di spesa</w:t>
            </w:r>
            <w:r w:rsidR="00464329">
              <w:rPr>
                <w:noProof/>
                <w:webHidden/>
              </w:rPr>
              <w:tab/>
            </w:r>
            <w:r w:rsidR="00464329">
              <w:rPr>
                <w:noProof/>
                <w:webHidden/>
              </w:rPr>
              <w:fldChar w:fldCharType="begin"/>
            </w:r>
            <w:r w:rsidR="00464329">
              <w:rPr>
                <w:noProof/>
                <w:webHidden/>
              </w:rPr>
              <w:instrText xml:space="preserve"> PAGEREF _Toc11068598 \h </w:instrText>
            </w:r>
            <w:r w:rsidR="00464329">
              <w:rPr>
                <w:noProof/>
                <w:webHidden/>
              </w:rPr>
            </w:r>
            <w:r w:rsidR="00464329">
              <w:rPr>
                <w:noProof/>
                <w:webHidden/>
              </w:rPr>
              <w:fldChar w:fldCharType="separate"/>
            </w:r>
            <w:r w:rsidR="00464329">
              <w:rPr>
                <w:noProof/>
                <w:webHidden/>
              </w:rPr>
              <w:t>2</w:t>
            </w:r>
            <w:r w:rsidR="00464329">
              <w:rPr>
                <w:noProof/>
                <w:webHidden/>
              </w:rPr>
              <w:fldChar w:fldCharType="end"/>
            </w:r>
          </w:hyperlink>
        </w:p>
        <w:p w:rsidR="00464329" w:rsidRDefault="00464329">
          <w:pPr>
            <w:pStyle w:val="Sommario1"/>
            <w:tabs>
              <w:tab w:val="right" w:leader="dot" w:pos="9736"/>
            </w:tabs>
            <w:rPr>
              <w:rFonts w:eastAsiaTheme="minorEastAsia"/>
              <w:noProof/>
              <w:lang w:eastAsia="it-IT"/>
            </w:rPr>
          </w:pPr>
          <w:hyperlink w:anchor="_Toc11068599" w:history="1">
            <w:r w:rsidRPr="00EB4E30">
              <w:rPr>
                <w:rStyle w:val="Collegamentoipertestuale"/>
                <w:rFonts w:cstheme="minorHAnsi"/>
                <w:noProof/>
              </w:rPr>
              <w:t>Stato avanzamento procedurale per Asse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_Toc11068599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FAF" w:rsidRDefault="00930FAF">
          <w:r>
            <w:rPr>
              <w:b/>
              <w:bCs/>
            </w:rPr>
            <w:fldChar w:fldCharType="end"/>
          </w:r>
        </w:p>
      </w:sdtContent>
    </w:sdt>
    <w:p w:rsidR="00930FAF" w:rsidRDefault="00930FAF" w:rsidP="005F418D">
      <w:pPr>
        <w:spacing w:after="120" w:line="240" w:lineRule="atLeast"/>
        <w:jc w:val="both"/>
        <w:rPr>
          <w:b/>
          <w:color w:val="4F81BD" w:themeColor="accent1"/>
          <w:sz w:val="32"/>
          <w:szCs w:val="32"/>
        </w:rPr>
      </w:pPr>
    </w:p>
    <w:p w:rsidR="00930FAF" w:rsidRDefault="00930FAF" w:rsidP="005F418D">
      <w:pPr>
        <w:spacing w:after="120" w:line="240" w:lineRule="atLeast"/>
        <w:jc w:val="both"/>
        <w:rPr>
          <w:b/>
          <w:color w:val="4F81BD" w:themeColor="accent1"/>
          <w:sz w:val="32"/>
          <w:szCs w:val="32"/>
        </w:rPr>
      </w:pPr>
    </w:p>
    <w:p w:rsidR="00930FAF" w:rsidRDefault="00930FAF" w:rsidP="005F418D">
      <w:pPr>
        <w:spacing w:after="120" w:line="240" w:lineRule="atLeast"/>
        <w:jc w:val="both"/>
        <w:rPr>
          <w:b/>
          <w:color w:val="4F81BD" w:themeColor="accent1"/>
          <w:sz w:val="32"/>
          <w:szCs w:val="32"/>
        </w:rPr>
      </w:pPr>
    </w:p>
    <w:p w:rsidR="00930FAF" w:rsidRDefault="00930FAF" w:rsidP="005F418D">
      <w:pPr>
        <w:spacing w:after="120" w:line="240" w:lineRule="atLeast"/>
        <w:jc w:val="both"/>
        <w:rPr>
          <w:b/>
          <w:color w:val="4F81BD" w:themeColor="accent1"/>
          <w:sz w:val="32"/>
          <w:szCs w:val="32"/>
        </w:rPr>
      </w:pPr>
    </w:p>
    <w:p w:rsidR="00930FAF" w:rsidRDefault="00930FAF" w:rsidP="005F418D">
      <w:pPr>
        <w:spacing w:after="120" w:line="240" w:lineRule="atLeast"/>
        <w:jc w:val="both"/>
        <w:rPr>
          <w:b/>
          <w:color w:val="4F81BD" w:themeColor="accent1"/>
          <w:sz w:val="32"/>
          <w:szCs w:val="32"/>
        </w:rPr>
      </w:pPr>
    </w:p>
    <w:p w:rsidR="00930FAF" w:rsidRDefault="00930FAF" w:rsidP="005F418D">
      <w:pPr>
        <w:spacing w:after="120" w:line="240" w:lineRule="atLeast"/>
        <w:jc w:val="both"/>
        <w:rPr>
          <w:b/>
          <w:color w:val="4F81BD" w:themeColor="accent1"/>
          <w:sz w:val="32"/>
          <w:szCs w:val="32"/>
        </w:rPr>
      </w:pPr>
    </w:p>
    <w:p w:rsidR="00930FAF" w:rsidRDefault="00930FAF" w:rsidP="005F418D">
      <w:pPr>
        <w:spacing w:after="120" w:line="240" w:lineRule="atLeast"/>
        <w:jc w:val="both"/>
        <w:rPr>
          <w:b/>
          <w:color w:val="4F81BD" w:themeColor="accent1"/>
          <w:sz w:val="32"/>
          <w:szCs w:val="32"/>
        </w:rPr>
      </w:pPr>
    </w:p>
    <w:p w:rsidR="00930FAF" w:rsidRDefault="00930FAF" w:rsidP="005F418D">
      <w:pPr>
        <w:spacing w:after="120" w:line="240" w:lineRule="atLeast"/>
        <w:jc w:val="both"/>
        <w:rPr>
          <w:b/>
          <w:color w:val="4F81BD" w:themeColor="accent1"/>
          <w:sz w:val="32"/>
          <w:szCs w:val="32"/>
        </w:rPr>
      </w:pPr>
    </w:p>
    <w:p w:rsidR="00930FAF" w:rsidRDefault="00930FAF" w:rsidP="005F418D">
      <w:pPr>
        <w:spacing w:after="120" w:line="240" w:lineRule="atLeast"/>
        <w:jc w:val="both"/>
        <w:rPr>
          <w:b/>
          <w:color w:val="4F81BD" w:themeColor="accent1"/>
          <w:sz w:val="32"/>
          <w:szCs w:val="32"/>
        </w:rPr>
      </w:pPr>
    </w:p>
    <w:p w:rsidR="00930FAF" w:rsidRDefault="00930FAF" w:rsidP="005F418D">
      <w:pPr>
        <w:spacing w:after="120" w:line="240" w:lineRule="atLeast"/>
        <w:jc w:val="both"/>
        <w:rPr>
          <w:b/>
          <w:color w:val="4F81BD" w:themeColor="accent1"/>
          <w:sz w:val="32"/>
          <w:szCs w:val="32"/>
        </w:rPr>
      </w:pPr>
    </w:p>
    <w:p w:rsidR="00930FAF" w:rsidRDefault="00930FAF" w:rsidP="005F418D">
      <w:pPr>
        <w:spacing w:after="120" w:line="240" w:lineRule="atLeast"/>
        <w:jc w:val="both"/>
        <w:rPr>
          <w:b/>
          <w:color w:val="4F81BD" w:themeColor="accent1"/>
          <w:sz w:val="32"/>
          <w:szCs w:val="32"/>
        </w:rPr>
      </w:pPr>
    </w:p>
    <w:p w:rsidR="00930FAF" w:rsidRDefault="00930FAF" w:rsidP="005F418D">
      <w:pPr>
        <w:spacing w:after="120" w:line="240" w:lineRule="atLeast"/>
        <w:jc w:val="both"/>
        <w:rPr>
          <w:b/>
          <w:color w:val="4F81BD" w:themeColor="accent1"/>
          <w:sz w:val="32"/>
          <w:szCs w:val="32"/>
        </w:rPr>
      </w:pPr>
    </w:p>
    <w:p w:rsidR="00930FAF" w:rsidRDefault="00930FAF" w:rsidP="005F418D">
      <w:pPr>
        <w:spacing w:after="120" w:line="240" w:lineRule="atLeast"/>
        <w:jc w:val="both"/>
        <w:rPr>
          <w:b/>
          <w:color w:val="4F81BD" w:themeColor="accent1"/>
          <w:sz w:val="32"/>
          <w:szCs w:val="32"/>
        </w:rPr>
      </w:pPr>
    </w:p>
    <w:p w:rsidR="00930FAF" w:rsidRDefault="00930FAF" w:rsidP="005F418D">
      <w:pPr>
        <w:spacing w:after="120" w:line="240" w:lineRule="atLeast"/>
        <w:jc w:val="both"/>
        <w:rPr>
          <w:b/>
          <w:color w:val="4F81BD" w:themeColor="accent1"/>
          <w:sz w:val="32"/>
          <w:szCs w:val="32"/>
        </w:rPr>
      </w:pPr>
    </w:p>
    <w:p w:rsidR="00930FAF" w:rsidRDefault="00930FAF" w:rsidP="005F418D">
      <w:pPr>
        <w:spacing w:after="120" w:line="240" w:lineRule="atLeast"/>
        <w:jc w:val="both"/>
        <w:rPr>
          <w:b/>
          <w:color w:val="4F81BD" w:themeColor="accent1"/>
          <w:sz w:val="32"/>
          <w:szCs w:val="32"/>
        </w:rPr>
      </w:pPr>
    </w:p>
    <w:p w:rsidR="00930FAF" w:rsidRDefault="00930FAF" w:rsidP="005F418D">
      <w:pPr>
        <w:spacing w:after="120" w:line="240" w:lineRule="atLeast"/>
        <w:jc w:val="both"/>
        <w:rPr>
          <w:b/>
          <w:color w:val="4F81BD" w:themeColor="accent1"/>
          <w:sz w:val="32"/>
          <w:szCs w:val="32"/>
        </w:rPr>
      </w:pPr>
    </w:p>
    <w:p w:rsidR="00930FAF" w:rsidRDefault="00930FAF" w:rsidP="005F418D">
      <w:pPr>
        <w:spacing w:after="120" w:line="240" w:lineRule="atLeast"/>
        <w:jc w:val="both"/>
        <w:rPr>
          <w:b/>
          <w:color w:val="4F81BD" w:themeColor="accent1"/>
          <w:sz w:val="32"/>
          <w:szCs w:val="32"/>
        </w:rPr>
      </w:pPr>
    </w:p>
    <w:p w:rsidR="00930FAF" w:rsidRDefault="00930FAF" w:rsidP="005F418D">
      <w:pPr>
        <w:spacing w:after="120" w:line="240" w:lineRule="atLeast"/>
        <w:jc w:val="both"/>
        <w:rPr>
          <w:b/>
          <w:color w:val="4F81BD" w:themeColor="accent1"/>
          <w:sz w:val="32"/>
          <w:szCs w:val="32"/>
        </w:rPr>
      </w:pPr>
    </w:p>
    <w:p w:rsidR="00930FAF" w:rsidRDefault="00930FAF" w:rsidP="005F418D">
      <w:pPr>
        <w:spacing w:after="120" w:line="240" w:lineRule="atLeast"/>
        <w:jc w:val="both"/>
        <w:rPr>
          <w:b/>
          <w:color w:val="4F81BD" w:themeColor="accent1"/>
          <w:sz w:val="32"/>
          <w:szCs w:val="32"/>
        </w:rPr>
      </w:pPr>
    </w:p>
    <w:p w:rsidR="00AC4622" w:rsidRPr="00FA2C01" w:rsidRDefault="003C6392" w:rsidP="005F418D">
      <w:pPr>
        <w:spacing w:after="120" w:line="240" w:lineRule="atLeast"/>
        <w:jc w:val="both"/>
        <w:rPr>
          <w:b/>
          <w:color w:val="4F81BD" w:themeColor="accent1"/>
          <w:sz w:val="32"/>
          <w:szCs w:val="32"/>
        </w:rPr>
      </w:pPr>
      <w:r w:rsidRPr="00FA2C01">
        <w:rPr>
          <w:b/>
          <w:color w:val="4F81BD" w:themeColor="accent1"/>
          <w:sz w:val="32"/>
          <w:szCs w:val="32"/>
        </w:rPr>
        <w:t>Informativa sullo Stato</w:t>
      </w:r>
      <w:r w:rsidR="00C7560F">
        <w:rPr>
          <w:b/>
          <w:color w:val="4F81BD" w:themeColor="accent1"/>
          <w:sz w:val="32"/>
          <w:szCs w:val="32"/>
        </w:rPr>
        <w:t xml:space="preserve"> di Avanzamento del POR FESR 201</w:t>
      </w:r>
      <w:r w:rsidRPr="00FA2C01">
        <w:rPr>
          <w:b/>
          <w:color w:val="4F81BD" w:themeColor="accent1"/>
          <w:sz w:val="32"/>
          <w:szCs w:val="32"/>
        </w:rPr>
        <w:t>4-2020</w:t>
      </w:r>
      <w:r w:rsidR="00331A7E">
        <w:rPr>
          <w:b/>
          <w:color w:val="4F81BD" w:themeColor="accent1"/>
          <w:sz w:val="32"/>
          <w:szCs w:val="32"/>
        </w:rPr>
        <w:t xml:space="preserve"> e previsioni di spesa 201</w:t>
      </w:r>
      <w:r w:rsidR="00E2441C">
        <w:rPr>
          <w:b/>
          <w:color w:val="4F81BD" w:themeColor="accent1"/>
          <w:sz w:val="32"/>
          <w:szCs w:val="32"/>
        </w:rPr>
        <w:t>9</w:t>
      </w:r>
    </w:p>
    <w:p w:rsidR="00930FAF" w:rsidRDefault="00930FAF" w:rsidP="00930FAF">
      <w:pPr>
        <w:pStyle w:val="Titolo1"/>
        <w:rPr>
          <w:rFonts w:asciiTheme="minorHAnsi" w:hAnsiTheme="minorHAnsi" w:cstheme="minorHAnsi"/>
          <w:b w:val="0"/>
          <w:color w:val="4F81BD" w:themeColor="accent1"/>
          <w:sz w:val="32"/>
          <w:szCs w:val="32"/>
        </w:rPr>
      </w:pPr>
      <w:bookmarkStart w:id="0" w:name="_Toc11068598"/>
      <w:r w:rsidRPr="00331A7E">
        <w:rPr>
          <w:rFonts w:asciiTheme="minorHAnsi" w:hAnsiTheme="minorHAnsi" w:cstheme="minorHAnsi"/>
          <w:b w:val="0"/>
          <w:color w:val="4F81BD" w:themeColor="accent1"/>
          <w:sz w:val="32"/>
          <w:szCs w:val="32"/>
        </w:rPr>
        <w:lastRenderedPageBreak/>
        <w:t xml:space="preserve">Stato avanzamento </w:t>
      </w:r>
      <w:r w:rsidR="00713FCD">
        <w:rPr>
          <w:rFonts w:asciiTheme="minorHAnsi" w:hAnsiTheme="minorHAnsi" w:cstheme="minorHAnsi"/>
          <w:b w:val="0"/>
          <w:color w:val="4F81BD" w:themeColor="accent1"/>
          <w:sz w:val="32"/>
          <w:szCs w:val="32"/>
        </w:rPr>
        <w:t>finanziario</w:t>
      </w:r>
      <w:r w:rsidR="00CB18E7">
        <w:rPr>
          <w:rFonts w:asciiTheme="minorHAnsi" w:hAnsiTheme="minorHAnsi" w:cstheme="minorHAnsi"/>
          <w:b w:val="0"/>
          <w:color w:val="4F81BD" w:themeColor="accent1"/>
          <w:sz w:val="32"/>
          <w:szCs w:val="32"/>
        </w:rPr>
        <w:t xml:space="preserve"> per Asse</w:t>
      </w:r>
      <w:r w:rsidR="00713FCD">
        <w:rPr>
          <w:rFonts w:asciiTheme="minorHAnsi" w:hAnsiTheme="minorHAnsi" w:cstheme="minorHAnsi"/>
          <w:b w:val="0"/>
          <w:color w:val="4F81BD" w:themeColor="accent1"/>
          <w:sz w:val="32"/>
          <w:szCs w:val="32"/>
        </w:rPr>
        <w:t xml:space="preserve"> – Action </w:t>
      </w:r>
      <w:proofErr w:type="spellStart"/>
      <w:r w:rsidR="00713FCD">
        <w:rPr>
          <w:rFonts w:asciiTheme="minorHAnsi" w:hAnsiTheme="minorHAnsi" w:cstheme="minorHAnsi"/>
          <w:b w:val="0"/>
          <w:color w:val="4F81BD" w:themeColor="accent1"/>
          <w:sz w:val="32"/>
          <w:szCs w:val="32"/>
        </w:rPr>
        <w:t>plan</w:t>
      </w:r>
      <w:proofErr w:type="spellEnd"/>
      <w:r w:rsidR="00E326BC">
        <w:rPr>
          <w:rFonts w:asciiTheme="minorHAnsi" w:hAnsiTheme="minorHAnsi" w:cstheme="minorHAnsi"/>
          <w:b w:val="0"/>
          <w:color w:val="4F81BD" w:themeColor="accent1"/>
          <w:sz w:val="32"/>
          <w:szCs w:val="32"/>
        </w:rPr>
        <w:t xml:space="preserve"> e previsioni di spesa</w:t>
      </w:r>
      <w:bookmarkEnd w:id="0"/>
    </w:p>
    <w:p w:rsidR="002522B5" w:rsidRDefault="002522B5" w:rsidP="00331A7E">
      <w:pPr>
        <w:spacing w:after="120" w:line="240" w:lineRule="atLeast"/>
        <w:jc w:val="both"/>
        <w:rPr>
          <w:sz w:val="24"/>
          <w:szCs w:val="24"/>
        </w:rPr>
      </w:pPr>
    </w:p>
    <w:p w:rsidR="00713FCD" w:rsidRDefault="00713FCD" w:rsidP="00713FCD">
      <w:pPr>
        <w:spacing w:after="120" w:line="240" w:lineRule="atLeast"/>
        <w:jc w:val="both"/>
        <w:rPr>
          <w:sz w:val="24"/>
          <w:szCs w:val="24"/>
        </w:rPr>
      </w:pPr>
      <w:r w:rsidRPr="00713FCD">
        <w:rPr>
          <w:rFonts w:cstheme="minorHAnsi"/>
          <w:iCs/>
          <w:sz w:val="24"/>
          <w:szCs w:val="24"/>
        </w:rPr>
        <w:t>Il presente documento è stato elaborato al fine di informare e condividere con i componenti del Comitato di Sorveglianza i risultati raggiunti e lo stato di attuazione del POR FESR 20</w:t>
      </w:r>
      <w:r>
        <w:rPr>
          <w:rFonts w:cstheme="minorHAnsi"/>
          <w:iCs/>
          <w:sz w:val="24"/>
          <w:szCs w:val="24"/>
        </w:rPr>
        <w:t>14</w:t>
      </w:r>
      <w:r w:rsidRPr="00713FCD">
        <w:rPr>
          <w:rFonts w:cstheme="minorHAnsi"/>
          <w:iCs/>
          <w:sz w:val="24"/>
          <w:szCs w:val="24"/>
        </w:rPr>
        <w:t>-20</w:t>
      </w:r>
      <w:r>
        <w:rPr>
          <w:rFonts w:cstheme="minorHAnsi"/>
          <w:iCs/>
          <w:sz w:val="24"/>
          <w:szCs w:val="24"/>
        </w:rPr>
        <w:t>20</w:t>
      </w:r>
      <w:r w:rsidRPr="00713FCD">
        <w:rPr>
          <w:rFonts w:cstheme="minorHAnsi"/>
          <w:iCs/>
          <w:sz w:val="24"/>
          <w:szCs w:val="24"/>
        </w:rPr>
        <w:t xml:space="preserve"> in termini procedurali e finanziari.</w:t>
      </w:r>
      <w:r w:rsidRPr="00713FCD">
        <w:rPr>
          <w:sz w:val="24"/>
          <w:szCs w:val="24"/>
        </w:rPr>
        <w:t xml:space="preserve"> </w:t>
      </w:r>
    </w:p>
    <w:p w:rsidR="00713FCD" w:rsidRPr="00331A7E" w:rsidRDefault="00713FCD" w:rsidP="00713FCD">
      <w:pPr>
        <w:spacing w:after="120" w:line="240" w:lineRule="atLeast"/>
        <w:jc w:val="both"/>
        <w:rPr>
          <w:sz w:val="24"/>
          <w:szCs w:val="24"/>
        </w:rPr>
      </w:pPr>
      <w:r w:rsidRPr="00951190">
        <w:rPr>
          <w:sz w:val="24"/>
          <w:szCs w:val="24"/>
        </w:rPr>
        <w:t xml:space="preserve">Come noto, </w:t>
      </w:r>
      <w:r>
        <w:rPr>
          <w:sz w:val="24"/>
          <w:szCs w:val="24"/>
        </w:rPr>
        <w:t xml:space="preserve">la dotazione finanziaria a disposizione del POR FESR 2014-2020 ammonta a </w:t>
      </w:r>
      <w:r w:rsidRPr="00F6092B">
        <w:rPr>
          <w:b/>
          <w:sz w:val="24"/>
          <w:szCs w:val="24"/>
        </w:rPr>
        <w:t>412.293.204,00</w:t>
      </w:r>
      <w:r>
        <w:rPr>
          <w:sz w:val="24"/>
          <w:szCs w:val="24"/>
        </w:rPr>
        <w:t xml:space="preserve"> </w:t>
      </w:r>
      <w:r w:rsidRPr="00951190">
        <w:rPr>
          <w:sz w:val="24"/>
          <w:szCs w:val="24"/>
        </w:rPr>
        <w:t>euro.</w:t>
      </w:r>
    </w:p>
    <w:p w:rsidR="00713FCD" w:rsidRDefault="00713FCD" w:rsidP="00713FCD">
      <w:pPr>
        <w:jc w:val="both"/>
        <w:rPr>
          <w:sz w:val="24"/>
          <w:szCs w:val="24"/>
        </w:rPr>
      </w:pPr>
      <w:r w:rsidRPr="005C26C9">
        <w:rPr>
          <w:sz w:val="24"/>
          <w:szCs w:val="24"/>
        </w:rPr>
        <w:t>Allo stato dell’arte il POR FESR dell’Umbria presenta uno stato di avanzamento complessivamente soddisfacente sia dal punto di vista finanziario, sia per quanto riguarda l’implementazione delle linee di intervento programmate e delle procedure attivate per l’assegnazione delle risorse ai beneficiari.</w:t>
      </w:r>
    </w:p>
    <w:p w:rsidR="00713FCD" w:rsidRPr="00464329" w:rsidRDefault="00713FCD" w:rsidP="00713FCD">
      <w:pPr>
        <w:spacing w:after="120" w:line="240" w:lineRule="auto"/>
        <w:jc w:val="both"/>
        <w:rPr>
          <w:sz w:val="24"/>
          <w:szCs w:val="24"/>
        </w:rPr>
      </w:pPr>
      <w:r w:rsidRPr="00464329">
        <w:rPr>
          <w:sz w:val="24"/>
          <w:szCs w:val="24"/>
        </w:rPr>
        <w:t>Le procedure attivate attraverso bandi/piani/programmi dai Responsabili di Azione fino al 31 maggio per l’assegnazione delle risorse ai beneficiari nell’ambito degli otto Assi prioritari del POR sono 106 ed hanno consentito di mettere a disposizione dei potenziali beneficiari circa 17</w:t>
      </w:r>
      <w:r w:rsidR="0010207E" w:rsidRPr="00464329">
        <w:rPr>
          <w:sz w:val="24"/>
          <w:szCs w:val="24"/>
        </w:rPr>
        <w:t>7,25</w:t>
      </w:r>
      <w:r w:rsidRPr="00464329">
        <w:rPr>
          <w:sz w:val="24"/>
          <w:szCs w:val="24"/>
        </w:rPr>
        <w:t xml:space="preserve"> </w:t>
      </w:r>
      <w:proofErr w:type="spellStart"/>
      <w:r w:rsidRPr="00464329">
        <w:rPr>
          <w:sz w:val="24"/>
          <w:szCs w:val="24"/>
        </w:rPr>
        <w:t>Meuro</w:t>
      </w:r>
      <w:proofErr w:type="spellEnd"/>
      <w:r w:rsidRPr="00464329">
        <w:rPr>
          <w:sz w:val="24"/>
          <w:szCs w:val="24"/>
        </w:rPr>
        <w:t xml:space="preserve"> di contributi pubblici, corrispondenti a circa il </w:t>
      </w:r>
      <w:r w:rsidR="00170ED0" w:rsidRPr="00464329">
        <w:rPr>
          <w:sz w:val="24"/>
          <w:szCs w:val="24"/>
        </w:rPr>
        <w:t>43</w:t>
      </w:r>
      <w:r w:rsidRPr="00464329">
        <w:rPr>
          <w:sz w:val="24"/>
          <w:szCs w:val="24"/>
        </w:rPr>
        <w:t xml:space="preserve">% del contributo pubblico complessivamente programmato per il ciclo di programmazione 2014-2020. </w:t>
      </w:r>
    </w:p>
    <w:p w:rsidR="00713FCD" w:rsidRDefault="00713FCD" w:rsidP="00713FCD">
      <w:pPr>
        <w:jc w:val="both"/>
        <w:rPr>
          <w:sz w:val="24"/>
          <w:szCs w:val="24"/>
        </w:rPr>
      </w:pPr>
      <w:r w:rsidRPr="00464329">
        <w:rPr>
          <w:sz w:val="24"/>
          <w:szCs w:val="24"/>
        </w:rPr>
        <w:t>Alla data attuale l’universo dei progetti approvati e finanziati ammonta a 1.2</w:t>
      </w:r>
      <w:r w:rsidR="0010207E" w:rsidRPr="00464329">
        <w:rPr>
          <w:sz w:val="24"/>
          <w:szCs w:val="24"/>
        </w:rPr>
        <w:t>69</w:t>
      </w:r>
      <w:r w:rsidRPr="00464329">
        <w:rPr>
          <w:sz w:val="24"/>
          <w:szCs w:val="24"/>
        </w:rPr>
        <w:t xml:space="preserve"> per un importo di procedure di attivazione pari a 236,54 </w:t>
      </w:r>
      <w:proofErr w:type="spellStart"/>
      <w:r w:rsidRPr="00464329">
        <w:rPr>
          <w:sz w:val="24"/>
          <w:szCs w:val="24"/>
        </w:rPr>
        <w:t>Meuro</w:t>
      </w:r>
      <w:proofErr w:type="spellEnd"/>
      <w:r w:rsidRPr="00464329">
        <w:rPr>
          <w:sz w:val="24"/>
          <w:szCs w:val="24"/>
        </w:rPr>
        <w:t xml:space="preserve"> </w:t>
      </w:r>
      <w:r w:rsidR="00170ED0" w:rsidRPr="00464329">
        <w:rPr>
          <w:sz w:val="24"/>
          <w:szCs w:val="24"/>
        </w:rPr>
        <w:t xml:space="preserve">e un investimento complessivo (contributo pubblico + privato) pari a 328,10 </w:t>
      </w:r>
      <w:proofErr w:type="spellStart"/>
      <w:r w:rsidR="00170ED0" w:rsidRPr="00464329">
        <w:rPr>
          <w:sz w:val="24"/>
          <w:szCs w:val="24"/>
        </w:rPr>
        <w:t>Meuro</w:t>
      </w:r>
      <w:proofErr w:type="spellEnd"/>
      <w:r w:rsidR="00170ED0" w:rsidRPr="00464329">
        <w:rPr>
          <w:sz w:val="24"/>
          <w:szCs w:val="24"/>
        </w:rPr>
        <w:t xml:space="preserve"> </w:t>
      </w:r>
      <w:r w:rsidRPr="00464329">
        <w:rPr>
          <w:sz w:val="24"/>
          <w:szCs w:val="24"/>
        </w:rPr>
        <w:t xml:space="preserve">concentrati prevalentemente nell’ambito dell’Asse I </w:t>
      </w:r>
      <w:r w:rsidR="0010207E" w:rsidRPr="00464329">
        <w:rPr>
          <w:sz w:val="24"/>
          <w:szCs w:val="24"/>
        </w:rPr>
        <w:t>–</w:t>
      </w:r>
      <w:r w:rsidRPr="00464329">
        <w:rPr>
          <w:sz w:val="24"/>
          <w:szCs w:val="24"/>
        </w:rPr>
        <w:t xml:space="preserve"> </w:t>
      </w:r>
      <w:r w:rsidR="0010207E" w:rsidRPr="00464329">
        <w:rPr>
          <w:sz w:val="24"/>
          <w:szCs w:val="24"/>
        </w:rPr>
        <w:t>Ricerca e Innovazione e Asse III – Competitività delle PMI</w:t>
      </w:r>
      <w:r w:rsidRPr="00464329">
        <w:rPr>
          <w:sz w:val="24"/>
          <w:szCs w:val="24"/>
        </w:rPr>
        <w:t>.</w:t>
      </w:r>
    </w:p>
    <w:p w:rsidR="00713FCD" w:rsidRPr="00A67317" w:rsidRDefault="00713FCD" w:rsidP="00713FCD">
      <w:pPr>
        <w:spacing w:after="80" w:line="280" w:lineRule="atLeast"/>
        <w:jc w:val="both"/>
        <w:rPr>
          <w:sz w:val="24"/>
          <w:szCs w:val="24"/>
        </w:rPr>
      </w:pPr>
      <w:r w:rsidRPr="00A67317">
        <w:rPr>
          <w:sz w:val="24"/>
          <w:szCs w:val="24"/>
        </w:rPr>
        <w:t xml:space="preserve">A tutt’oggi, le spese rimborsabili sostenute e certificate risultano pari a 67.839.027,29 euro, a fronte di un importo di </w:t>
      </w:r>
      <w:r w:rsidRPr="000B2675">
        <w:rPr>
          <w:b/>
          <w:sz w:val="24"/>
          <w:szCs w:val="24"/>
        </w:rPr>
        <w:t>target (N+3) per il 2019 pari a 90.530.143,42 euro</w:t>
      </w:r>
      <w:r w:rsidRPr="00A67317">
        <w:rPr>
          <w:sz w:val="24"/>
          <w:szCs w:val="24"/>
        </w:rPr>
        <w:t>.</w:t>
      </w:r>
    </w:p>
    <w:p w:rsidR="00713FCD" w:rsidRDefault="00713FCD" w:rsidP="00713FCD">
      <w:pPr>
        <w:spacing w:after="120"/>
        <w:jc w:val="both"/>
        <w:rPr>
          <w:sz w:val="24"/>
          <w:szCs w:val="24"/>
        </w:rPr>
      </w:pPr>
      <w:r w:rsidRPr="00221B26">
        <w:rPr>
          <w:sz w:val="24"/>
          <w:szCs w:val="24"/>
        </w:rPr>
        <w:t>Dall</w:t>
      </w:r>
      <w:r>
        <w:rPr>
          <w:sz w:val="24"/>
          <w:szCs w:val="24"/>
        </w:rPr>
        <w:t>a</w:t>
      </w:r>
      <w:r w:rsidRPr="00221B26">
        <w:rPr>
          <w:sz w:val="24"/>
          <w:szCs w:val="24"/>
        </w:rPr>
        <w:t xml:space="preserve"> tabell</w:t>
      </w:r>
      <w:r>
        <w:rPr>
          <w:sz w:val="24"/>
          <w:szCs w:val="24"/>
        </w:rPr>
        <w:t>a</w:t>
      </w:r>
      <w:r w:rsidRPr="00221B26">
        <w:rPr>
          <w:sz w:val="24"/>
          <w:szCs w:val="24"/>
        </w:rPr>
        <w:t xml:space="preserve"> sotto illustrat</w:t>
      </w:r>
      <w:r>
        <w:rPr>
          <w:sz w:val="24"/>
          <w:szCs w:val="24"/>
        </w:rPr>
        <w:t>a</w:t>
      </w:r>
      <w:r w:rsidRPr="00221B26">
        <w:rPr>
          <w:sz w:val="24"/>
          <w:szCs w:val="24"/>
        </w:rPr>
        <w:t xml:space="preserve">, ad oggi gli impegni risultano essere pari a un importo di </w:t>
      </w:r>
      <w:r>
        <w:rPr>
          <w:sz w:val="24"/>
          <w:szCs w:val="24"/>
        </w:rPr>
        <w:t>124,34</w:t>
      </w:r>
      <w:r w:rsidRPr="00221B26">
        <w:rPr>
          <w:sz w:val="24"/>
          <w:szCs w:val="24"/>
        </w:rPr>
        <w:t xml:space="preserve">   </w:t>
      </w:r>
      <w:proofErr w:type="spellStart"/>
      <w:r w:rsidRPr="0089652C">
        <w:rPr>
          <w:sz w:val="24"/>
          <w:szCs w:val="24"/>
        </w:rPr>
        <w:t>Meuro</w:t>
      </w:r>
      <w:proofErr w:type="spellEnd"/>
      <w:r w:rsidRPr="0089652C">
        <w:rPr>
          <w:sz w:val="24"/>
          <w:szCs w:val="24"/>
        </w:rPr>
        <w:t xml:space="preserve">, che rappresentano il 30,16% delle risorse disponibili; gli interventi avviati hanno prodotto una spesa rendicontabile pari a 73,45 </w:t>
      </w:r>
      <w:proofErr w:type="spellStart"/>
      <w:r w:rsidRPr="0089652C">
        <w:rPr>
          <w:sz w:val="24"/>
          <w:szCs w:val="24"/>
        </w:rPr>
        <w:t>Meuro</w:t>
      </w:r>
      <w:proofErr w:type="spellEnd"/>
      <w:r w:rsidRPr="0089652C">
        <w:rPr>
          <w:sz w:val="24"/>
          <w:szCs w:val="24"/>
        </w:rPr>
        <w:t xml:space="preserve"> che rappresenta l’81% del target da raggiungere al 31 dicembre 2019. A fine 2019 si prevede di spendere un ammontare di risorse pari a circa 116,26 </w:t>
      </w:r>
      <w:r w:rsidR="00282E0B">
        <w:rPr>
          <w:sz w:val="24"/>
          <w:szCs w:val="24"/>
        </w:rPr>
        <w:t>Mero, che rappresentano il</w:t>
      </w:r>
      <w:r w:rsidR="00282E0B" w:rsidRPr="00282E0B">
        <w:t xml:space="preserve"> </w:t>
      </w:r>
      <w:r w:rsidR="00282E0B">
        <w:t>128</w:t>
      </w:r>
      <w:r w:rsidR="009A1086">
        <w:t>%</w:t>
      </w:r>
      <w:r w:rsidR="00282E0B">
        <w:t xml:space="preserve"> </w:t>
      </w:r>
      <w:r w:rsidR="00282E0B" w:rsidRPr="00282E0B">
        <w:rPr>
          <w:sz w:val="24"/>
          <w:szCs w:val="24"/>
        </w:rPr>
        <w:t>del target da raggiungere</w:t>
      </w:r>
      <w:r w:rsidRPr="0089652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13FCD" w:rsidRDefault="00713FCD" w:rsidP="00713FCD">
      <w:pPr>
        <w:spacing w:after="120"/>
        <w:jc w:val="both"/>
        <w:rPr>
          <w:sz w:val="24"/>
          <w:szCs w:val="24"/>
        </w:rPr>
      </w:pPr>
      <w:r w:rsidRPr="0008633D">
        <w:rPr>
          <w:sz w:val="24"/>
          <w:szCs w:val="24"/>
        </w:rPr>
        <w:t xml:space="preserve"> </w:t>
      </w:r>
    </w:p>
    <w:p w:rsidR="00713FCD" w:rsidRPr="00FB295C" w:rsidRDefault="00713FCD" w:rsidP="00713FCD">
      <w:pPr>
        <w:spacing w:after="120"/>
        <w:jc w:val="both"/>
        <w:rPr>
          <w:b/>
          <w:sz w:val="24"/>
          <w:szCs w:val="24"/>
        </w:rPr>
      </w:pPr>
      <w:r w:rsidRPr="00FB295C">
        <w:rPr>
          <w:b/>
          <w:sz w:val="24"/>
          <w:szCs w:val="24"/>
        </w:rPr>
        <w:t xml:space="preserve">Tabella </w:t>
      </w:r>
      <w:r>
        <w:rPr>
          <w:b/>
          <w:sz w:val="24"/>
          <w:szCs w:val="24"/>
        </w:rPr>
        <w:t>A - A</w:t>
      </w:r>
      <w:r w:rsidRPr="00FB295C">
        <w:rPr>
          <w:b/>
          <w:sz w:val="24"/>
          <w:szCs w:val="24"/>
        </w:rPr>
        <w:t xml:space="preserve">ttuazione finanziaria in termini di pagamenti  </w:t>
      </w:r>
      <w:r w:rsidR="00040F75">
        <w:rPr>
          <w:b/>
          <w:sz w:val="24"/>
          <w:szCs w:val="24"/>
        </w:rPr>
        <w:t xml:space="preserve">e previsioni di spesa </w:t>
      </w:r>
      <w:r w:rsidRPr="00FB295C">
        <w:rPr>
          <w:b/>
          <w:sz w:val="24"/>
          <w:szCs w:val="24"/>
        </w:rPr>
        <w:t>su target di spesa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029"/>
        <w:gridCol w:w="2098"/>
        <w:gridCol w:w="1236"/>
        <w:gridCol w:w="2098"/>
        <w:gridCol w:w="1305"/>
      </w:tblGrid>
      <w:tr w:rsidR="00D51420" w:rsidRPr="00D51420" w:rsidTr="00D51420">
        <w:trPr>
          <w:trHeight w:val="945"/>
        </w:trPr>
        <w:tc>
          <w:tcPr>
            <w:tcW w:w="566" w:type="pct"/>
            <w:tcBorders>
              <w:top w:val="single" w:sz="8" w:space="0" w:color="F79646"/>
              <w:left w:val="single" w:sz="8" w:space="0" w:color="F79646"/>
              <w:bottom w:val="nil"/>
              <w:right w:val="nil"/>
            </w:tcBorders>
            <w:shd w:val="clear" w:color="000000" w:fill="F79646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Assi</w:t>
            </w:r>
          </w:p>
        </w:tc>
        <w:tc>
          <w:tcPr>
            <w:tcW w:w="1026" w:type="pct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000000" w:fill="F79646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Target N+3 al 31/12/2019</w:t>
            </w:r>
          </w:p>
        </w:tc>
        <w:tc>
          <w:tcPr>
            <w:tcW w:w="1061" w:type="pct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000000" w:fill="F79646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Pagamenti effettuati a maggio 2019</w:t>
            </w:r>
          </w:p>
        </w:tc>
        <w:tc>
          <w:tcPr>
            <w:tcW w:w="625" w:type="pct"/>
            <w:tcBorders>
              <w:top w:val="single" w:sz="8" w:space="0" w:color="F79646"/>
              <w:left w:val="nil"/>
              <w:bottom w:val="nil"/>
              <w:right w:val="single" w:sz="8" w:space="0" w:color="F79646"/>
            </w:tcBorders>
            <w:shd w:val="clear" w:color="000000" w:fill="F79646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Pagato su target (%)</w:t>
            </w:r>
          </w:p>
        </w:tc>
        <w:tc>
          <w:tcPr>
            <w:tcW w:w="1061" w:type="pct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000000" w:fill="F79646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Previsioni spesa 2019</w:t>
            </w:r>
          </w:p>
        </w:tc>
        <w:tc>
          <w:tcPr>
            <w:tcW w:w="660" w:type="pct"/>
            <w:tcBorders>
              <w:top w:val="single" w:sz="8" w:space="0" w:color="F79646"/>
              <w:left w:val="nil"/>
              <w:bottom w:val="nil"/>
              <w:right w:val="single" w:sz="8" w:space="0" w:color="F79646"/>
            </w:tcBorders>
            <w:shd w:val="clear" w:color="000000" w:fill="F79646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Previsioni su target (%)</w:t>
            </w:r>
          </w:p>
        </w:tc>
      </w:tr>
      <w:tr w:rsidR="00D51420" w:rsidRPr="00D51420" w:rsidTr="00D51420">
        <w:trPr>
          <w:trHeight w:val="315"/>
        </w:trPr>
        <w:tc>
          <w:tcPr>
            <w:tcW w:w="566" w:type="pct"/>
            <w:vMerge w:val="restart"/>
            <w:tcBorders>
              <w:top w:val="nil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Asse I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25.874.990,30</w:t>
            </w:r>
          </w:p>
        </w:tc>
        <w:tc>
          <w:tcPr>
            <w:tcW w:w="1061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19.666.643,08</w:t>
            </w:r>
          </w:p>
        </w:tc>
        <w:tc>
          <w:tcPr>
            <w:tcW w:w="625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76%</w:t>
            </w:r>
          </w:p>
        </w:tc>
        <w:tc>
          <w:tcPr>
            <w:tcW w:w="1061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23.074.342,70</w:t>
            </w:r>
          </w:p>
        </w:tc>
        <w:tc>
          <w:tcPr>
            <w:tcW w:w="660" w:type="pct"/>
            <w:vMerge w:val="restart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89%</w:t>
            </w:r>
          </w:p>
        </w:tc>
      </w:tr>
      <w:tr w:rsidR="00D51420" w:rsidRPr="00D51420" w:rsidTr="00D51420">
        <w:trPr>
          <w:trHeight w:val="315"/>
        </w:trPr>
        <w:tc>
          <w:tcPr>
            <w:tcW w:w="566" w:type="pct"/>
            <w:vMerge/>
            <w:tcBorders>
              <w:top w:val="nil"/>
              <w:left w:val="single" w:sz="8" w:space="0" w:color="F79646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61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25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61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51420" w:rsidRPr="00D51420" w:rsidTr="00D51420">
        <w:trPr>
          <w:trHeight w:val="315"/>
        </w:trPr>
        <w:tc>
          <w:tcPr>
            <w:tcW w:w="566" w:type="pct"/>
            <w:vMerge w:val="restart"/>
            <w:tcBorders>
              <w:top w:val="nil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Asse II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8.118.566,79</w:t>
            </w:r>
          </w:p>
        </w:tc>
        <w:tc>
          <w:tcPr>
            <w:tcW w:w="1061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5.731.884,98</w:t>
            </w:r>
          </w:p>
        </w:tc>
        <w:tc>
          <w:tcPr>
            <w:tcW w:w="625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71%</w:t>
            </w:r>
          </w:p>
        </w:tc>
        <w:tc>
          <w:tcPr>
            <w:tcW w:w="1061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12.275.782,90</w:t>
            </w:r>
          </w:p>
        </w:tc>
        <w:tc>
          <w:tcPr>
            <w:tcW w:w="660" w:type="pct"/>
            <w:vMerge w:val="restart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151%</w:t>
            </w:r>
          </w:p>
        </w:tc>
      </w:tr>
      <w:tr w:rsidR="00D51420" w:rsidRPr="00D51420" w:rsidTr="00D51420">
        <w:trPr>
          <w:trHeight w:val="315"/>
        </w:trPr>
        <w:tc>
          <w:tcPr>
            <w:tcW w:w="566" w:type="pct"/>
            <w:vMerge/>
            <w:tcBorders>
              <w:top w:val="nil"/>
              <w:left w:val="single" w:sz="8" w:space="0" w:color="F79646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61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25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61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51420" w:rsidRPr="00D51420" w:rsidTr="00D51420">
        <w:trPr>
          <w:trHeight w:val="315"/>
        </w:trPr>
        <w:tc>
          <w:tcPr>
            <w:tcW w:w="566" w:type="pct"/>
            <w:vMerge w:val="restart"/>
            <w:tcBorders>
              <w:top w:val="nil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Asse III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21.726.429,22</w:t>
            </w:r>
          </w:p>
        </w:tc>
        <w:tc>
          <w:tcPr>
            <w:tcW w:w="1061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17.319.549,94</w:t>
            </w:r>
          </w:p>
        </w:tc>
        <w:tc>
          <w:tcPr>
            <w:tcW w:w="625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80%</w:t>
            </w:r>
          </w:p>
        </w:tc>
        <w:tc>
          <w:tcPr>
            <w:tcW w:w="1061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27.069.749,19</w:t>
            </w:r>
          </w:p>
        </w:tc>
        <w:tc>
          <w:tcPr>
            <w:tcW w:w="660" w:type="pct"/>
            <w:vMerge w:val="restart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125%</w:t>
            </w:r>
          </w:p>
        </w:tc>
      </w:tr>
      <w:tr w:rsidR="00D51420" w:rsidRPr="00D51420" w:rsidTr="00D51420">
        <w:trPr>
          <w:trHeight w:val="315"/>
        </w:trPr>
        <w:tc>
          <w:tcPr>
            <w:tcW w:w="566" w:type="pct"/>
            <w:vMerge/>
            <w:tcBorders>
              <w:top w:val="nil"/>
              <w:left w:val="single" w:sz="8" w:space="0" w:color="F79646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61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25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61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51420" w:rsidRPr="00D51420" w:rsidTr="00D51420">
        <w:trPr>
          <w:trHeight w:val="315"/>
        </w:trPr>
        <w:tc>
          <w:tcPr>
            <w:tcW w:w="566" w:type="pct"/>
            <w:vMerge w:val="restart"/>
            <w:tcBorders>
              <w:top w:val="nil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Asse IV 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14.218.844,57</w:t>
            </w:r>
          </w:p>
        </w:tc>
        <w:tc>
          <w:tcPr>
            <w:tcW w:w="1061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10.015.839,95</w:t>
            </w:r>
          </w:p>
        </w:tc>
        <w:tc>
          <w:tcPr>
            <w:tcW w:w="625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70%</w:t>
            </w:r>
          </w:p>
        </w:tc>
        <w:tc>
          <w:tcPr>
            <w:tcW w:w="1061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19.344.739,69</w:t>
            </w:r>
          </w:p>
        </w:tc>
        <w:tc>
          <w:tcPr>
            <w:tcW w:w="660" w:type="pct"/>
            <w:vMerge w:val="restart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136%</w:t>
            </w:r>
          </w:p>
        </w:tc>
      </w:tr>
      <w:tr w:rsidR="00D51420" w:rsidRPr="00D51420" w:rsidTr="00D51420">
        <w:trPr>
          <w:trHeight w:val="315"/>
        </w:trPr>
        <w:tc>
          <w:tcPr>
            <w:tcW w:w="566" w:type="pct"/>
            <w:vMerge/>
            <w:tcBorders>
              <w:top w:val="nil"/>
              <w:left w:val="single" w:sz="8" w:space="0" w:color="F79646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61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25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61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51420" w:rsidRPr="00D51420" w:rsidTr="00D51420">
        <w:trPr>
          <w:trHeight w:val="555"/>
        </w:trPr>
        <w:tc>
          <w:tcPr>
            <w:tcW w:w="566" w:type="pct"/>
            <w:tcBorders>
              <w:top w:val="nil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Asse V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9.140.136,24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8.486.382,54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93%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14.482.950,49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158%</w:t>
            </w:r>
          </w:p>
        </w:tc>
      </w:tr>
      <w:tr w:rsidR="00D51420" w:rsidRPr="00D51420" w:rsidTr="00D51420">
        <w:trPr>
          <w:trHeight w:val="315"/>
        </w:trPr>
        <w:tc>
          <w:tcPr>
            <w:tcW w:w="566" w:type="pct"/>
            <w:vMerge w:val="restart"/>
            <w:tcBorders>
              <w:top w:val="nil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Asse VI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7.830.104,76</w:t>
            </w:r>
          </w:p>
        </w:tc>
        <w:tc>
          <w:tcPr>
            <w:tcW w:w="1061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     6.019.577,55 </w:t>
            </w:r>
          </w:p>
        </w:tc>
        <w:tc>
          <w:tcPr>
            <w:tcW w:w="625" w:type="pct"/>
            <w:vMerge w:val="restart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77%</w:t>
            </w:r>
          </w:p>
        </w:tc>
        <w:tc>
          <w:tcPr>
            <w:tcW w:w="1061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     9.369.006,33 </w:t>
            </w:r>
          </w:p>
        </w:tc>
        <w:tc>
          <w:tcPr>
            <w:tcW w:w="660" w:type="pct"/>
            <w:vMerge w:val="restart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120%</w:t>
            </w:r>
          </w:p>
        </w:tc>
      </w:tr>
      <w:tr w:rsidR="00D51420" w:rsidRPr="00D51420" w:rsidTr="00D51420">
        <w:trPr>
          <w:trHeight w:val="315"/>
        </w:trPr>
        <w:tc>
          <w:tcPr>
            <w:tcW w:w="566" w:type="pct"/>
            <w:vMerge/>
            <w:tcBorders>
              <w:top w:val="nil"/>
              <w:left w:val="single" w:sz="8" w:space="0" w:color="F79646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61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25" w:type="pct"/>
            <w:vMerge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61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51420" w:rsidRPr="00D51420" w:rsidTr="00D51420">
        <w:trPr>
          <w:trHeight w:val="315"/>
        </w:trPr>
        <w:tc>
          <w:tcPr>
            <w:tcW w:w="566" w:type="pct"/>
            <w:vMerge w:val="restart"/>
            <w:tcBorders>
              <w:top w:val="nil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Asse VII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3.621.071,54</w:t>
            </w:r>
          </w:p>
        </w:tc>
        <w:tc>
          <w:tcPr>
            <w:tcW w:w="1061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3.369.911,84</w:t>
            </w:r>
          </w:p>
        </w:tc>
        <w:tc>
          <w:tcPr>
            <w:tcW w:w="625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93%</w:t>
            </w:r>
          </w:p>
        </w:tc>
        <w:tc>
          <w:tcPr>
            <w:tcW w:w="1061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4.996.690,20</w:t>
            </w:r>
          </w:p>
        </w:tc>
        <w:tc>
          <w:tcPr>
            <w:tcW w:w="660" w:type="pct"/>
            <w:vMerge w:val="restart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138%</w:t>
            </w:r>
          </w:p>
        </w:tc>
      </w:tr>
      <w:tr w:rsidR="00D51420" w:rsidRPr="00D51420" w:rsidTr="00D51420">
        <w:trPr>
          <w:trHeight w:val="315"/>
        </w:trPr>
        <w:tc>
          <w:tcPr>
            <w:tcW w:w="566" w:type="pct"/>
            <w:vMerge/>
            <w:tcBorders>
              <w:top w:val="nil"/>
              <w:left w:val="single" w:sz="8" w:space="0" w:color="F79646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61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25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61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51420" w:rsidRPr="00D51420" w:rsidTr="00D51420">
        <w:trPr>
          <w:trHeight w:val="300"/>
        </w:trPr>
        <w:tc>
          <w:tcPr>
            <w:tcW w:w="566" w:type="pct"/>
            <w:vMerge w:val="restart"/>
            <w:tcBorders>
              <w:top w:val="nil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Asse VIII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61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     2.840.090,77 </w:t>
            </w:r>
          </w:p>
        </w:tc>
        <w:tc>
          <w:tcPr>
            <w:tcW w:w="625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61" w:type="pct"/>
            <w:vMerge w:val="restar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     5.643.207,84 </w:t>
            </w:r>
          </w:p>
        </w:tc>
        <w:tc>
          <w:tcPr>
            <w:tcW w:w="660" w:type="pct"/>
            <w:vMerge w:val="restart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51420" w:rsidRPr="00D51420" w:rsidTr="00D51420">
        <w:trPr>
          <w:trHeight w:val="315"/>
        </w:trPr>
        <w:tc>
          <w:tcPr>
            <w:tcW w:w="566" w:type="pct"/>
            <w:vMerge/>
            <w:tcBorders>
              <w:top w:val="nil"/>
              <w:left w:val="single" w:sz="8" w:space="0" w:color="F79646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61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25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61" w:type="pct"/>
            <w:vMerge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51420" w:rsidRPr="00D51420" w:rsidTr="00D51420">
        <w:trPr>
          <w:trHeight w:val="330"/>
        </w:trPr>
        <w:tc>
          <w:tcPr>
            <w:tcW w:w="566" w:type="pct"/>
            <w:tcBorders>
              <w:top w:val="nil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90.530.143,42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73.449.880,65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81%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116.256.469,34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  <w:hideMark/>
          </w:tcPr>
          <w:p w:rsidR="00D51420" w:rsidRPr="00D51420" w:rsidRDefault="00D51420" w:rsidP="00FC3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14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128%</w:t>
            </w:r>
          </w:p>
        </w:tc>
      </w:tr>
    </w:tbl>
    <w:p w:rsidR="00713FCD" w:rsidRDefault="00713FCD" w:rsidP="00713FCD">
      <w:pPr>
        <w:spacing w:after="120"/>
        <w:jc w:val="both"/>
        <w:rPr>
          <w:i/>
          <w:sz w:val="20"/>
          <w:szCs w:val="20"/>
        </w:rPr>
      </w:pPr>
    </w:p>
    <w:p w:rsidR="00713FCD" w:rsidRPr="005B01B6" w:rsidRDefault="00713FCD" w:rsidP="00713FCD">
      <w:pPr>
        <w:spacing w:after="120"/>
        <w:jc w:val="both"/>
        <w:rPr>
          <w:i/>
          <w:sz w:val="20"/>
          <w:szCs w:val="20"/>
        </w:rPr>
      </w:pPr>
      <w:r w:rsidRPr="005B01B6">
        <w:rPr>
          <w:i/>
          <w:sz w:val="20"/>
          <w:szCs w:val="20"/>
        </w:rPr>
        <w:t>Fonte: Sistema Informativo SMG FESR 2014-2020</w:t>
      </w:r>
    </w:p>
    <w:p w:rsidR="00713FCD" w:rsidRDefault="00713FCD" w:rsidP="00713FCD">
      <w:pPr>
        <w:spacing w:after="120"/>
        <w:jc w:val="both"/>
        <w:rPr>
          <w:i/>
          <w:sz w:val="20"/>
          <w:szCs w:val="20"/>
        </w:rPr>
      </w:pPr>
    </w:p>
    <w:p w:rsidR="00713FCD" w:rsidRDefault="00713FCD" w:rsidP="00713FCD">
      <w:pPr>
        <w:spacing w:after="120"/>
        <w:jc w:val="both"/>
        <w:rPr>
          <w:sz w:val="24"/>
          <w:szCs w:val="24"/>
        </w:rPr>
      </w:pPr>
      <w:r w:rsidRPr="00457178">
        <w:rPr>
          <w:sz w:val="24"/>
          <w:szCs w:val="24"/>
        </w:rPr>
        <w:t>Occorre precisare che</w:t>
      </w:r>
      <w:r>
        <w:rPr>
          <w:sz w:val="24"/>
          <w:szCs w:val="24"/>
        </w:rPr>
        <w:t xml:space="preserve"> gli importi inseriti nelle t</w:t>
      </w:r>
      <w:r w:rsidRPr="00457178">
        <w:rPr>
          <w:sz w:val="24"/>
          <w:szCs w:val="24"/>
        </w:rPr>
        <w:t xml:space="preserve">abelle </w:t>
      </w:r>
      <w:r>
        <w:rPr>
          <w:sz w:val="24"/>
          <w:szCs w:val="24"/>
        </w:rPr>
        <w:t>sono comprensivi anche dei trasferimenti al soggetto gestore degli strumenti di ingegneria finanziaria</w:t>
      </w:r>
      <w:r w:rsidRPr="00983981">
        <w:rPr>
          <w:sz w:val="24"/>
          <w:szCs w:val="24"/>
        </w:rPr>
        <w:t xml:space="preserve"> </w:t>
      </w:r>
      <w:r w:rsidRPr="008D4804">
        <w:rPr>
          <w:sz w:val="24"/>
          <w:szCs w:val="24"/>
        </w:rPr>
        <w:t xml:space="preserve">RTI </w:t>
      </w:r>
      <w:proofErr w:type="spellStart"/>
      <w:r w:rsidRPr="008D4804">
        <w:rPr>
          <w:sz w:val="24"/>
          <w:szCs w:val="24"/>
        </w:rPr>
        <w:t>Gepafin</w:t>
      </w:r>
      <w:proofErr w:type="spellEnd"/>
      <w:r w:rsidRPr="008D4804">
        <w:rPr>
          <w:sz w:val="24"/>
          <w:szCs w:val="24"/>
        </w:rPr>
        <w:t xml:space="preserve"> spa e </w:t>
      </w:r>
      <w:proofErr w:type="spellStart"/>
      <w:r w:rsidRPr="008D4804">
        <w:rPr>
          <w:sz w:val="24"/>
          <w:szCs w:val="24"/>
        </w:rPr>
        <w:t>Artigiancassa</w:t>
      </w:r>
      <w:proofErr w:type="spellEnd"/>
      <w:r w:rsidRPr="008D4804">
        <w:rPr>
          <w:sz w:val="24"/>
          <w:szCs w:val="24"/>
        </w:rPr>
        <w:t xml:space="preserve"> spa</w:t>
      </w:r>
      <w:r>
        <w:rPr>
          <w:sz w:val="24"/>
          <w:szCs w:val="24"/>
        </w:rPr>
        <w:t>, che sono stati certificati alla Commissione europea ai sensi dei regolamenti comunitari per un ammontare di risorse pari a</w:t>
      </w:r>
      <w:r w:rsidRPr="0089652C">
        <w:t xml:space="preserve"> </w:t>
      </w:r>
      <w:r w:rsidRPr="0089652C">
        <w:rPr>
          <w:sz w:val="24"/>
          <w:szCs w:val="24"/>
        </w:rPr>
        <w:t xml:space="preserve"> 6.323.984,64</w:t>
      </w:r>
      <w:r>
        <w:rPr>
          <w:sz w:val="24"/>
          <w:szCs w:val="24"/>
        </w:rPr>
        <w:t xml:space="preserve"> euro , così ripartite:</w:t>
      </w:r>
    </w:p>
    <w:p w:rsidR="00713FCD" w:rsidRDefault="00713FCD" w:rsidP="00713FCD">
      <w:pPr>
        <w:pStyle w:val="Paragrafoelenco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Asse I: 1.625.000,00 euro, di cui 1.125.000,00 euro a valere sulle risorse dell’Azione 1.2.2 e 500.000,00 euro sull’Azione 1.3.1;</w:t>
      </w:r>
    </w:p>
    <w:p w:rsidR="00713FCD" w:rsidRPr="008D4804" w:rsidRDefault="00713FCD" w:rsidP="00713FCD">
      <w:pPr>
        <w:pStyle w:val="Paragrafoelenco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 w:rsidRPr="00983981">
        <w:rPr>
          <w:sz w:val="24"/>
          <w:szCs w:val="24"/>
        </w:rPr>
        <w:t>Asse I</w:t>
      </w:r>
      <w:r>
        <w:rPr>
          <w:sz w:val="24"/>
          <w:szCs w:val="24"/>
        </w:rPr>
        <w:t>II</w:t>
      </w:r>
      <w:r w:rsidRPr="00983981">
        <w:rPr>
          <w:sz w:val="24"/>
          <w:szCs w:val="24"/>
        </w:rPr>
        <w:t>:  4.698.984,64</w:t>
      </w:r>
      <w:r>
        <w:rPr>
          <w:sz w:val="24"/>
          <w:szCs w:val="24"/>
        </w:rPr>
        <w:t xml:space="preserve"> </w:t>
      </w:r>
      <w:r w:rsidRPr="00983981">
        <w:rPr>
          <w:sz w:val="24"/>
          <w:szCs w:val="24"/>
        </w:rPr>
        <w:t>euro, di cui  3.100.000,00</w:t>
      </w:r>
      <w:r>
        <w:rPr>
          <w:sz w:val="24"/>
          <w:szCs w:val="24"/>
        </w:rPr>
        <w:t xml:space="preserve"> </w:t>
      </w:r>
      <w:r w:rsidRPr="00983981">
        <w:rPr>
          <w:sz w:val="24"/>
          <w:szCs w:val="24"/>
        </w:rPr>
        <w:t xml:space="preserve">euro a valere sulle risorse dell’Azione </w:t>
      </w:r>
      <w:r>
        <w:rPr>
          <w:sz w:val="24"/>
          <w:szCs w:val="24"/>
        </w:rPr>
        <w:t>3.6.1</w:t>
      </w:r>
      <w:r w:rsidRPr="00983981">
        <w:rPr>
          <w:sz w:val="24"/>
          <w:szCs w:val="24"/>
        </w:rPr>
        <w:t xml:space="preserve"> e € 1.598.984,64</w:t>
      </w:r>
      <w:r>
        <w:rPr>
          <w:sz w:val="24"/>
          <w:szCs w:val="24"/>
        </w:rPr>
        <w:t xml:space="preserve"> euro</w:t>
      </w:r>
      <w:r w:rsidRPr="00983981">
        <w:rPr>
          <w:sz w:val="24"/>
          <w:szCs w:val="24"/>
        </w:rPr>
        <w:t xml:space="preserve"> sull’Azione 3.</w:t>
      </w:r>
      <w:r>
        <w:rPr>
          <w:sz w:val="24"/>
          <w:szCs w:val="24"/>
        </w:rPr>
        <w:t>6.2.</w:t>
      </w:r>
    </w:p>
    <w:p w:rsidR="00E326BC" w:rsidRPr="00E326BC" w:rsidRDefault="00E326BC" w:rsidP="00E326BC">
      <w:pPr>
        <w:jc w:val="both"/>
        <w:rPr>
          <w:rFonts w:cstheme="minorHAnsi"/>
          <w:iCs/>
          <w:sz w:val="24"/>
          <w:szCs w:val="24"/>
        </w:rPr>
      </w:pPr>
      <w:r w:rsidRPr="00E326BC">
        <w:rPr>
          <w:rFonts w:cstheme="minorHAnsi"/>
          <w:iCs/>
          <w:sz w:val="24"/>
          <w:szCs w:val="24"/>
        </w:rPr>
        <w:t xml:space="preserve">Si ricorda che la Regione ha attivato l’Action </w:t>
      </w:r>
      <w:proofErr w:type="spellStart"/>
      <w:r w:rsidRPr="00E326BC">
        <w:rPr>
          <w:rFonts w:cstheme="minorHAnsi"/>
          <w:iCs/>
          <w:sz w:val="24"/>
          <w:szCs w:val="24"/>
        </w:rPr>
        <w:t>plan</w:t>
      </w:r>
      <w:proofErr w:type="spellEnd"/>
      <w:r w:rsidRPr="00E326BC">
        <w:rPr>
          <w:rFonts w:cstheme="minorHAnsi"/>
          <w:iCs/>
          <w:sz w:val="24"/>
          <w:szCs w:val="24"/>
        </w:rPr>
        <w:t xml:space="preserve"> (DGR 84 del 6/2/2017), con un approccio unitario (e condiviso), di progettazione di dettaglio per l’attuazione delle singole linee di Azione, che identifichi e monitori tutti i passaggi generatori di progettualità e quindi di spesa.</w:t>
      </w:r>
    </w:p>
    <w:p w:rsidR="00E326BC" w:rsidRPr="00E326BC" w:rsidRDefault="00E326BC" w:rsidP="00E326BC">
      <w:pPr>
        <w:jc w:val="both"/>
        <w:rPr>
          <w:rFonts w:cstheme="minorHAnsi"/>
          <w:iCs/>
          <w:sz w:val="24"/>
          <w:szCs w:val="24"/>
        </w:rPr>
      </w:pPr>
      <w:r w:rsidRPr="00E326BC">
        <w:rPr>
          <w:rFonts w:cstheme="minorHAnsi"/>
          <w:iCs/>
          <w:sz w:val="24"/>
          <w:szCs w:val="24"/>
        </w:rPr>
        <w:t xml:space="preserve">Il monitoraggio costante e continuo degli impegni e dei pagamenti a valere sulle risorse del POR FESR 2014-2020 attraverso l’applicazione dell’Action </w:t>
      </w:r>
      <w:proofErr w:type="spellStart"/>
      <w:r w:rsidRPr="00E326BC">
        <w:rPr>
          <w:rFonts w:cstheme="minorHAnsi"/>
          <w:iCs/>
          <w:sz w:val="24"/>
          <w:szCs w:val="24"/>
        </w:rPr>
        <w:t>plan</w:t>
      </w:r>
      <w:proofErr w:type="spellEnd"/>
      <w:r w:rsidRPr="00E326BC">
        <w:rPr>
          <w:rFonts w:cstheme="minorHAnsi"/>
          <w:iCs/>
          <w:sz w:val="24"/>
          <w:szCs w:val="24"/>
        </w:rPr>
        <w:t xml:space="preserve"> per l’accelerazione della spesa 2017-2018 del Programma, ha consentito alla Regione Umbria di raggiungere il target di spesa di fine anno N+3 e auspicabilmente consentirà anche il conseguimento della riserva di efficacia dell’attuazione, i cui risultati saranno resi noti probabilmente a giugno/luglio 2019.</w:t>
      </w:r>
    </w:p>
    <w:p w:rsidR="00E326BC" w:rsidRPr="00E326BC" w:rsidRDefault="00E326BC" w:rsidP="00E326BC">
      <w:pPr>
        <w:jc w:val="both"/>
        <w:rPr>
          <w:rFonts w:cstheme="minorHAnsi"/>
          <w:iCs/>
          <w:sz w:val="24"/>
          <w:szCs w:val="24"/>
        </w:rPr>
      </w:pPr>
      <w:r w:rsidRPr="00E326BC">
        <w:rPr>
          <w:rFonts w:cstheme="minorHAnsi"/>
          <w:iCs/>
          <w:sz w:val="24"/>
          <w:szCs w:val="24"/>
        </w:rPr>
        <w:t xml:space="preserve">In considerazione di ciò, la Regione Umbria, con la deliberazione del 4 febbraio 2019, n. 94, ha deciso di continuare con l’applicazione dello strumento </w:t>
      </w:r>
      <w:r w:rsidRPr="00CB18E7">
        <w:rPr>
          <w:rFonts w:cstheme="minorHAnsi"/>
          <w:b/>
          <w:iCs/>
          <w:sz w:val="24"/>
          <w:szCs w:val="24"/>
        </w:rPr>
        <w:t xml:space="preserve">Action </w:t>
      </w:r>
      <w:proofErr w:type="spellStart"/>
      <w:r w:rsidRPr="00CB18E7">
        <w:rPr>
          <w:rFonts w:cstheme="minorHAnsi"/>
          <w:b/>
          <w:iCs/>
          <w:sz w:val="24"/>
          <w:szCs w:val="24"/>
        </w:rPr>
        <w:t>plan</w:t>
      </w:r>
      <w:proofErr w:type="spellEnd"/>
      <w:r w:rsidRPr="00CB18E7">
        <w:rPr>
          <w:rFonts w:cstheme="minorHAnsi"/>
          <w:b/>
          <w:iCs/>
          <w:sz w:val="24"/>
          <w:szCs w:val="24"/>
        </w:rPr>
        <w:t xml:space="preserve"> per l’accelerazione della spesa 2019-2023 del POR FESR 2014-2020</w:t>
      </w:r>
      <w:r w:rsidRPr="00E326BC">
        <w:rPr>
          <w:rFonts w:cstheme="minorHAnsi"/>
          <w:iCs/>
          <w:sz w:val="24"/>
          <w:szCs w:val="24"/>
        </w:rPr>
        <w:t>, approvato con la DGR n. 84/2017, che consiste nell’attuazione delle seguenti fasi:</w:t>
      </w:r>
    </w:p>
    <w:p w:rsidR="00E326BC" w:rsidRPr="00E326BC" w:rsidRDefault="00E326BC" w:rsidP="00E326BC">
      <w:pPr>
        <w:jc w:val="both"/>
        <w:rPr>
          <w:rFonts w:cstheme="minorHAnsi"/>
          <w:iCs/>
          <w:sz w:val="24"/>
          <w:szCs w:val="24"/>
        </w:rPr>
      </w:pPr>
      <w:r w:rsidRPr="00E326BC">
        <w:rPr>
          <w:rFonts w:cstheme="minorHAnsi"/>
          <w:iCs/>
          <w:sz w:val="24"/>
          <w:szCs w:val="24"/>
        </w:rPr>
        <w:t>1. determinazione dei cronoprogrammi a livello di singola azione;</w:t>
      </w:r>
    </w:p>
    <w:p w:rsidR="00E326BC" w:rsidRPr="00E326BC" w:rsidRDefault="00E326BC" w:rsidP="00E326BC">
      <w:pPr>
        <w:jc w:val="both"/>
        <w:rPr>
          <w:rFonts w:cstheme="minorHAnsi"/>
          <w:iCs/>
          <w:sz w:val="24"/>
          <w:szCs w:val="24"/>
        </w:rPr>
      </w:pPr>
      <w:r w:rsidRPr="00E326BC">
        <w:rPr>
          <w:rFonts w:cstheme="minorHAnsi"/>
          <w:iCs/>
          <w:sz w:val="24"/>
          <w:szCs w:val="24"/>
        </w:rPr>
        <w:t>2. monitoraggio del rispetto dei cronoprogrammi;</w:t>
      </w:r>
    </w:p>
    <w:p w:rsidR="00E326BC" w:rsidRPr="00E326BC" w:rsidRDefault="00E326BC" w:rsidP="00164870">
      <w:pPr>
        <w:ind w:left="284" w:hanging="284"/>
        <w:jc w:val="both"/>
        <w:rPr>
          <w:rFonts w:cstheme="minorHAnsi"/>
          <w:iCs/>
          <w:sz w:val="24"/>
          <w:szCs w:val="24"/>
        </w:rPr>
      </w:pPr>
      <w:r w:rsidRPr="00E326BC">
        <w:rPr>
          <w:rFonts w:cstheme="minorHAnsi"/>
          <w:iCs/>
          <w:sz w:val="24"/>
          <w:szCs w:val="24"/>
        </w:rPr>
        <w:lastRenderedPageBreak/>
        <w:t>3. eventuali azioni correttive (periodico), che consistono in una variazione (in aumento o in diminuzione) delle risorse programmate e stanziate nel bilancio regionale per la singola Azione, con l’obiettivo di adeguarne la dotazione all’effettivo fabbisogno;</w:t>
      </w:r>
    </w:p>
    <w:p w:rsidR="00E326BC" w:rsidRPr="00E326BC" w:rsidRDefault="00E326BC" w:rsidP="00164870">
      <w:pPr>
        <w:ind w:left="284" w:hanging="284"/>
        <w:jc w:val="both"/>
        <w:rPr>
          <w:rFonts w:cstheme="minorHAnsi"/>
          <w:iCs/>
          <w:sz w:val="24"/>
          <w:szCs w:val="24"/>
        </w:rPr>
      </w:pPr>
      <w:r w:rsidRPr="00E326BC">
        <w:rPr>
          <w:rFonts w:cstheme="minorHAnsi"/>
          <w:iCs/>
          <w:sz w:val="24"/>
          <w:szCs w:val="24"/>
        </w:rPr>
        <w:t>4. eventuali proposte di riprogrammazione del POR da sottoporre al Comitato di Sorveglianza del Programma.</w:t>
      </w:r>
    </w:p>
    <w:p w:rsidR="00E326BC" w:rsidRPr="00E326BC" w:rsidRDefault="00E326BC" w:rsidP="00E326BC">
      <w:pPr>
        <w:jc w:val="both"/>
        <w:rPr>
          <w:rFonts w:cstheme="minorHAnsi"/>
          <w:iCs/>
          <w:sz w:val="24"/>
          <w:szCs w:val="24"/>
        </w:rPr>
      </w:pPr>
      <w:r w:rsidRPr="00E326BC">
        <w:rPr>
          <w:rFonts w:cstheme="minorHAnsi"/>
          <w:iCs/>
          <w:sz w:val="24"/>
          <w:szCs w:val="24"/>
        </w:rPr>
        <w:t xml:space="preserve">Con lo stesso atto è stato dato mandato all’Autorità di Gestione del POR FESR 2014-2020 di procedere </w:t>
      </w:r>
      <w:r w:rsidRPr="00CB18E7">
        <w:rPr>
          <w:rFonts w:cstheme="minorHAnsi"/>
          <w:b/>
          <w:iCs/>
          <w:sz w:val="24"/>
          <w:szCs w:val="24"/>
        </w:rPr>
        <w:t xml:space="preserve">per ogni singolo anno </w:t>
      </w:r>
      <w:r w:rsidRPr="00E326BC">
        <w:rPr>
          <w:rFonts w:cstheme="minorHAnsi"/>
          <w:iCs/>
          <w:sz w:val="24"/>
          <w:szCs w:val="24"/>
        </w:rPr>
        <w:t xml:space="preserve">alla definizione puntuale dell’Action </w:t>
      </w:r>
      <w:proofErr w:type="spellStart"/>
      <w:r w:rsidRPr="00E326BC">
        <w:rPr>
          <w:rFonts w:cstheme="minorHAnsi"/>
          <w:iCs/>
          <w:sz w:val="24"/>
          <w:szCs w:val="24"/>
        </w:rPr>
        <w:t>plan</w:t>
      </w:r>
      <w:proofErr w:type="spellEnd"/>
      <w:r w:rsidRPr="00E326BC">
        <w:rPr>
          <w:rFonts w:cstheme="minorHAnsi"/>
          <w:iCs/>
          <w:sz w:val="24"/>
          <w:szCs w:val="24"/>
        </w:rPr>
        <w:t xml:space="preserve"> e al suo aggiornamento di concerto con i Responsabili delle Azioni, prevendo altresì il coordinamento di eventuali riprogrammazioni.</w:t>
      </w:r>
    </w:p>
    <w:p w:rsidR="00E326BC" w:rsidRPr="00E326BC" w:rsidRDefault="00E326BC" w:rsidP="00E326BC">
      <w:pPr>
        <w:jc w:val="both"/>
        <w:rPr>
          <w:rFonts w:cstheme="minorHAnsi"/>
          <w:iCs/>
          <w:sz w:val="24"/>
          <w:szCs w:val="24"/>
        </w:rPr>
      </w:pPr>
      <w:r w:rsidRPr="00E326BC">
        <w:rPr>
          <w:rFonts w:cstheme="minorHAnsi"/>
          <w:iCs/>
          <w:sz w:val="24"/>
          <w:szCs w:val="24"/>
        </w:rPr>
        <w:t xml:space="preserve">Con la Determinazione direttoriale del 21/02/2019, n. 1666, è stato approvato,  in esecuzione di quanto previsto dalla D.G.R. n. 94/2019, </w:t>
      </w:r>
      <w:r w:rsidRPr="00311E31">
        <w:rPr>
          <w:rFonts w:cstheme="minorHAnsi"/>
          <w:iCs/>
          <w:sz w:val="24"/>
          <w:szCs w:val="24"/>
        </w:rPr>
        <w:t>l’</w:t>
      </w:r>
      <w:r w:rsidRPr="00311E31">
        <w:rPr>
          <w:rFonts w:cstheme="minorHAnsi"/>
          <w:b/>
          <w:iCs/>
          <w:sz w:val="24"/>
          <w:szCs w:val="24"/>
        </w:rPr>
        <w:t xml:space="preserve">Action </w:t>
      </w:r>
      <w:proofErr w:type="spellStart"/>
      <w:r w:rsidRPr="00311E31">
        <w:rPr>
          <w:rFonts w:cstheme="minorHAnsi"/>
          <w:b/>
          <w:iCs/>
          <w:sz w:val="24"/>
          <w:szCs w:val="24"/>
        </w:rPr>
        <w:t>plan</w:t>
      </w:r>
      <w:proofErr w:type="spellEnd"/>
      <w:r w:rsidRPr="00311E31">
        <w:rPr>
          <w:rFonts w:cstheme="minorHAnsi"/>
          <w:b/>
          <w:iCs/>
          <w:sz w:val="24"/>
          <w:szCs w:val="24"/>
        </w:rPr>
        <w:t xml:space="preserve"> 2019-2023 del POR FESR 2014-2020</w:t>
      </w:r>
      <w:r w:rsidRPr="00E326BC">
        <w:rPr>
          <w:rFonts w:cstheme="minorHAnsi"/>
          <w:iCs/>
          <w:sz w:val="24"/>
          <w:szCs w:val="24"/>
        </w:rPr>
        <w:t>, richiedendo contestualmente ai Responsabili di Azione del Programma la presentazione dei cronoprogrammi di attività, impegno e spesa per l’anno 2019, mentre con la Determinazione direttoriale del 04/04/2019, n. 3206, è stato approvato l’</w:t>
      </w:r>
      <w:r w:rsidRPr="00E326BC">
        <w:rPr>
          <w:rFonts w:cstheme="minorHAnsi"/>
          <w:b/>
          <w:iCs/>
          <w:sz w:val="24"/>
          <w:szCs w:val="24"/>
        </w:rPr>
        <w:t xml:space="preserve">Action </w:t>
      </w:r>
      <w:proofErr w:type="spellStart"/>
      <w:r w:rsidRPr="00E326BC">
        <w:rPr>
          <w:rFonts w:cstheme="minorHAnsi"/>
          <w:b/>
          <w:iCs/>
          <w:sz w:val="24"/>
          <w:szCs w:val="24"/>
        </w:rPr>
        <w:t>plan</w:t>
      </w:r>
      <w:proofErr w:type="spellEnd"/>
      <w:r w:rsidRPr="00E326BC">
        <w:rPr>
          <w:rFonts w:cstheme="minorHAnsi"/>
          <w:b/>
          <w:iCs/>
          <w:sz w:val="24"/>
          <w:szCs w:val="24"/>
        </w:rPr>
        <w:t xml:space="preserve"> per l’accelerazione della spesa 2019</w:t>
      </w:r>
      <w:r w:rsidRPr="00E326BC">
        <w:rPr>
          <w:rFonts w:cstheme="minorHAnsi"/>
          <w:iCs/>
          <w:sz w:val="24"/>
          <w:szCs w:val="24"/>
        </w:rPr>
        <w:t>, contenente i cronoprogrammi di ciascuna Azione del POR per l’anno 2019 ed è stata definita una tabella riassuntiva dei cronoprogrammi di spesa.</w:t>
      </w:r>
    </w:p>
    <w:p w:rsidR="00E326BC" w:rsidRPr="00E326BC" w:rsidRDefault="00E326BC" w:rsidP="00E326BC">
      <w:pPr>
        <w:jc w:val="both"/>
        <w:rPr>
          <w:rFonts w:cstheme="minorHAnsi"/>
          <w:iCs/>
          <w:sz w:val="24"/>
          <w:szCs w:val="24"/>
        </w:rPr>
      </w:pPr>
      <w:r w:rsidRPr="00E326BC">
        <w:rPr>
          <w:rFonts w:cstheme="minorHAnsi"/>
          <w:iCs/>
          <w:sz w:val="24"/>
          <w:szCs w:val="24"/>
        </w:rPr>
        <w:t xml:space="preserve">Si rileva infine che, come risulta dalla tabella B riassuntiva allegata, i cronoprogrammi trasmessi dai </w:t>
      </w:r>
      <w:proofErr w:type="spellStart"/>
      <w:r w:rsidRPr="00E326BC">
        <w:rPr>
          <w:rFonts w:cstheme="minorHAnsi"/>
          <w:iCs/>
          <w:sz w:val="24"/>
          <w:szCs w:val="24"/>
        </w:rPr>
        <w:t>RdA</w:t>
      </w:r>
      <w:proofErr w:type="spellEnd"/>
      <w:r w:rsidRPr="00E326BC">
        <w:rPr>
          <w:rFonts w:cstheme="minorHAnsi"/>
          <w:iCs/>
          <w:sz w:val="24"/>
          <w:szCs w:val="24"/>
        </w:rPr>
        <w:t xml:space="preserve"> consentono il raggiungimento del target di spesa N+3 2019 previsto dai regolamenti europei.</w:t>
      </w:r>
    </w:p>
    <w:p w:rsidR="00713FCD" w:rsidRDefault="00713FCD" w:rsidP="00713FCD">
      <w:pPr>
        <w:pStyle w:val="Titolo1"/>
        <w:rPr>
          <w:rFonts w:asciiTheme="minorHAnsi" w:hAnsiTheme="minorHAnsi" w:cstheme="minorHAnsi"/>
          <w:b w:val="0"/>
          <w:color w:val="4F81BD" w:themeColor="accent1"/>
          <w:sz w:val="32"/>
          <w:szCs w:val="32"/>
        </w:rPr>
      </w:pPr>
      <w:bookmarkStart w:id="1" w:name="_Toc11068599"/>
      <w:r w:rsidRPr="00331A7E">
        <w:rPr>
          <w:rFonts w:asciiTheme="minorHAnsi" w:hAnsiTheme="minorHAnsi" w:cstheme="minorHAnsi"/>
          <w:b w:val="0"/>
          <w:color w:val="4F81BD" w:themeColor="accent1"/>
          <w:sz w:val="32"/>
          <w:szCs w:val="32"/>
        </w:rPr>
        <w:t>Stato avanzamento procedurale per Asse</w:t>
      </w:r>
      <w:bookmarkEnd w:id="1"/>
    </w:p>
    <w:p w:rsidR="00713FCD" w:rsidRPr="00331A7E" w:rsidRDefault="00713FCD" w:rsidP="00331A7E">
      <w:pPr>
        <w:spacing w:after="120" w:line="240" w:lineRule="atLeast"/>
        <w:jc w:val="both"/>
        <w:rPr>
          <w:sz w:val="24"/>
          <w:szCs w:val="24"/>
        </w:rPr>
      </w:pPr>
    </w:p>
    <w:p w:rsidR="006134DF" w:rsidRPr="00951190" w:rsidRDefault="006155F3" w:rsidP="00500CEB">
      <w:pPr>
        <w:jc w:val="both"/>
        <w:rPr>
          <w:rFonts w:cstheme="minorHAnsi"/>
          <w:iCs/>
          <w:sz w:val="24"/>
          <w:szCs w:val="24"/>
        </w:rPr>
      </w:pPr>
      <w:r w:rsidRPr="00951190">
        <w:rPr>
          <w:rFonts w:cstheme="minorHAnsi"/>
          <w:iCs/>
          <w:sz w:val="24"/>
          <w:szCs w:val="24"/>
        </w:rPr>
        <w:t>L</w:t>
      </w:r>
      <w:r w:rsidR="00500CEB" w:rsidRPr="00951190">
        <w:rPr>
          <w:rFonts w:cstheme="minorHAnsi"/>
          <w:iCs/>
          <w:sz w:val="24"/>
          <w:szCs w:val="24"/>
        </w:rPr>
        <w:t xml:space="preserve">e principali procedure attivate </w:t>
      </w:r>
      <w:r w:rsidR="0037665E">
        <w:rPr>
          <w:rFonts w:cstheme="minorHAnsi"/>
          <w:iCs/>
          <w:sz w:val="24"/>
          <w:szCs w:val="24"/>
        </w:rPr>
        <w:t>nei primi mesi del 201</w:t>
      </w:r>
      <w:r w:rsidR="00E2441C">
        <w:rPr>
          <w:rFonts w:cstheme="minorHAnsi"/>
          <w:iCs/>
          <w:sz w:val="24"/>
          <w:szCs w:val="24"/>
        </w:rPr>
        <w:t>9</w:t>
      </w:r>
      <w:r w:rsidR="00C656F3" w:rsidRPr="00951190">
        <w:rPr>
          <w:rFonts w:cstheme="minorHAnsi"/>
          <w:iCs/>
          <w:sz w:val="24"/>
          <w:szCs w:val="24"/>
        </w:rPr>
        <w:t xml:space="preserve"> </w:t>
      </w:r>
      <w:r w:rsidR="00717AE2">
        <w:rPr>
          <w:rFonts w:cstheme="minorHAnsi"/>
          <w:iCs/>
          <w:sz w:val="24"/>
          <w:szCs w:val="24"/>
        </w:rPr>
        <w:t>e</w:t>
      </w:r>
      <w:r w:rsidR="00FB7B77" w:rsidRPr="00951190">
        <w:rPr>
          <w:rFonts w:cstheme="minorHAnsi"/>
          <w:iCs/>
          <w:sz w:val="24"/>
          <w:szCs w:val="24"/>
        </w:rPr>
        <w:t xml:space="preserve"> </w:t>
      </w:r>
      <w:r w:rsidR="0037665E">
        <w:rPr>
          <w:rFonts w:cstheme="minorHAnsi"/>
          <w:iCs/>
          <w:sz w:val="24"/>
          <w:szCs w:val="24"/>
        </w:rPr>
        <w:t xml:space="preserve">quelle che </w:t>
      </w:r>
      <w:r w:rsidR="00FB7B77" w:rsidRPr="00951190">
        <w:rPr>
          <w:rFonts w:cstheme="minorHAnsi"/>
          <w:iCs/>
          <w:sz w:val="24"/>
          <w:szCs w:val="24"/>
        </w:rPr>
        <w:t>verranno implementate</w:t>
      </w:r>
      <w:r w:rsidR="00C656F3" w:rsidRPr="00951190">
        <w:rPr>
          <w:rFonts w:cstheme="minorHAnsi"/>
          <w:iCs/>
          <w:sz w:val="24"/>
          <w:szCs w:val="24"/>
        </w:rPr>
        <w:t xml:space="preserve"> nei prossimi mesi </w:t>
      </w:r>
      <w:r w:rsidR="00280C22" w:rsidRPr="00951190">
        <w:rPr>
          <w:rFonts w:cstheme="minorHAnsi"/>
          <w:iCs/>
          <w:sz w:val="24"/>
          <w:szCs w:val="24"/>
        </w:rPr>
        <w:t>sono di seguito riportate</w:t>
      </w:r>
      <w:r w:rsidRPr="00951190">
        <w:rPr>
          <w:rFonts w:cstheme="minorHAnsi"/>
          <w:iCs/>
          <w:sz w:val="24"/>
          <w:szCs w:val="24"/>
        </w:rPr>
        <w:t>.</w:t>
      </w:r>
    </w:p>
    <w:p w:rsidR="00F51D4F" w:rsidRDefault="00CF275D" w:rsidP="00F51D4F">
      <w:pPr>
        <w:spacing w:after="120" w:line="240" w:lineRule="atLeast"/>
        <w:rPr>
          <w:b/>
          <w:color w:val="4F81BD" w:themeColor="accent1"/>
          <w:sz w:val="24"/>
          <w:szCs w:val="24"/>
        </w:rPr>
      </w:pPr>
      <w:r w:rsidRPr="008E2F76">
        <w:rPr>
          <w:b/>
          <w:color w:val="4F81BD" w:themeColor="accent1"/>
          <w:sz w:val="24"/>
          <w:szCs w:val="24"/>
        </w:rPr>
        <w:t xml:space="preserve">Asse I </w:t>
      </w:r>
      <w:r w:rsidR="00500CEB" w:rsidRPr="008E2F76">
        <w:rPr>
          <w:b/>
          <w:color w:val="4F81BD" w:themeColor="accent1"/>
          <w:sz w:val="24"/>
          <w:szCs w:val="24"/>
        </w:rPr>
        <w:t>Ricerca e Innovazione</w:t>
      </w:r>
      <w:r w:rsidR="003B0805" w:rsidRPr="008E2F76">
        <w:rPr>
          <w:b/>
          <w:color w:val="4F81BD" w:themeColor="accent1"/>
          <w:sz w:val="24"/>
          <w:szCs w:val="24"/>
        </w:rPr>
        <w:t xml:space="preserve"> - </w:t>
      </w:r>
      <w:r w:rsidR="00F51D4F" w:rsidRPr="008E2F76">
        <w:rPr>
          <w:b/>
          <w:color w:val="4F81BD" w:themeColor="accent1"/>
          <w:sz w:val="24"/>
          <w:szCs w:val="24"/>
        </w:rPr>
        <w:t xml:space="preserve">Bandi avviati gennaio </w:t>
      </w:r>
      <w:r w:rsidR="003B0805" w:rsidRPr="008E2F76">
        <w:rPr>
          <w:b/>
          <w:color w:val="4F81BD" w:themeColor="accent1"/>
          <w:sz w:val="24"/>
          <w:szCs w:val="24"/>
        </w:rPr>
        <w:t>–</w:t>
      </w:r>
      <w:r w:rsidR="00F51D4F" w:rsidRPr="008E2F76">
        <w:rPr>
          <w:b/>
          <w:color w:val="4F81BD" w:themeColor="accent1"/>
          <w:sz w:val="24"/>
          <w:szCs w:val="24"/>
        </w:rPr>
        <w:t xml:space="preserve"> maggio</w:t>
      </w:r>
      <w:r w:rsidR="00D537B2" w:rsidRPr="008E2F76">
        <w:rPr>
          <w:b/>
          <w:color w:val="4F81BD" w:themeColor="accent1"/>
          <w:sz w:val="24"/>
          <w:szCs w:val="24"/>
        </w:rPr>
        <w:t xml:space="preserve"> 2019</w:t>
      </w:r>
    </w:p>
    <w:p w:rsidR="0037665E" w:rsidRPr="008E12BB" w:rsidRDefault="00FB295C" w:rsidP="008E12B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 w:rsidRPr="008E12BB">
        <w:rPr>
          <w:rFonts w:cstheme="minorHAnsi"/>
          <w:b/>
          <w:sz w:val="24"/>
          <w:szCs w:val="24"/>
        </w:rPr>
        <w:t xml:space="preserve">Azione 1.1.1 -  </w:t>
      </w:r>
      <w:r w:rsidR="0037665E" w:rsidRPr="008E12BB">
        <w:rPr>
          <w:rFonts w:cstheme="minorHAnsi"/>
          <w:sz w:val="24"/>
          <w:szCs w:val="24"/>
        </w:rPr>
        <w:t xml:space="preserve">Proseguimento </w:t>
      </w:r>
      <w:r w:rsidRPr="008E12BB">
        <w:rPr>
          <w:rFonts w:cstheme="minorHAnsi"/>
          <w:sz w:val="24"/>
          <w:szCs w:val="24"/>
        </w:rPr>
        <w:t>dei progetti a valere sui</w:t>
      </w:r>
      <w:r w:rsidR="0037665E" w:rsidRPr="008E12BB">
        <w:rPr>
          <w:rFonts w:cstheme="minorHAnsi"/>
          <w:sz w:val="24"/>
          <w:szCs w:val="24"/>
        </w:rPr>
        <w:t xml:space="preserve"> bandi avviati nei precedenti anni</w:t>
      </w:r>
      <w:r w:rsidRPr="008E12BB">
        <w:rPr>
          <w:rFonts w:cstheme="minorHAnsi"/>
          <w:sz w:val="24"/>
          <w:szCs w:val="24"/>
        </w:rPr>
        <w:t>.</w:t>
      </w:r>
      <w:r w:rsidR="008E12BB" w:rsidRPr="008E12BB">
        <w:rPr>
          <w:rFonts w:cstheme="minorHAnsi"/>
          <w:sz w:val="24"/>
          <w:szCs w:val="24"/>
        </w:rPr>
        <w:t xml:space="preserve"> Con la DGR n. 543/2019 sono state approvate le “Linee guida per la predisposizione dell’Avviso a sostegno dei progetti di Ricerca Industriale e</w:t>
      </w:r>
      <w:r w:rsidR="008E12BB">
        <w:rPr>
          <w:rFonts w:cstheme="minorHAnsi"/>
          <w:sz w:val="24"/>
          <w:szCs w:val="24"/>
        </w:rPr>
        <w:t xml:space="preserve"> </w:t>
      </w:r>
      <w:r w:rsidR="008E12BB" w:rsidRPr="008E12BB">
        <w:rPr>
          <w:rFonts w:cstheme="minorHAnsi"/>
          <w:sz w:val="24"/>
          <w:szCs w:val="24"/>
        </w:rPr>
        <w:t>Sviluppo Sperimentale 2019</w:t>
      </w:r>
      <w:r w:rsidR="008E12BB">
        <w:rPr>
          <w:rFonts w:cstheme="minorHAnsi"/>
          <w:sz w:val="24"/>
          <w:szCs w:val="24"/>
        </w:rPr>
        <w:t>”</w:t>
      </w:r>
      <w:r w:rsidR="008E12BB" w:rsidRPr="008E12BB">
        <w:rPr>
          <w:rFonts w:cstheme="minorHAnsi"/>
          <w:sz w:val="24"/>
          <w:szCs w:val="24"/>
        </w:rPr>
        <w:t xml:space="preserve"> (AVVISO RICERCA 2019)</w:t>
      </w:r>
      <w:r w:rsidR="008E12BB">
        <w:rPr>
          <w:rFonts w:cstheme="minorHAnsi"/>
          <w:sz w:val="24"/>
          <w:szCs w:val="24"/>
        </w:rPr>
        <w:t>.</w:t>
      </w:r>
    </w:p>
    <w:p w:rsidR="0037665E" w:rsidRPr="006E5FAD" w:rsidRDefault="00D83846" w:rsidP="006E5FAD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 w:rsidRPr="006E5FAD">
        <w:rPr>
          <w:rFonts w:cstheme="minorHAnsi"/>
          <w:b/>
          <w:sz w:val="24"/>
          <w:szCs w:val="24"/>
        </w:rPr>
        <w:t>Azione 1.2.1</w:t>
      </w:r>
      <w:r w:rsidRPr="006E5FAD">
        <w:rPr>
          <w:rFonts w:cstheme="minorHAnsi"/>
          <w:sz w:val="24"/>
          <w:szCs w:val="24"/>
        </w:rPr>
        <w:t xml:space="preserve"> </w:t>
      </w:r>
      <w:r w:rsidR="00877453" w:rsidRPr="006E5FAD">
        <w:rPr>
          <w:rFonts w:cstheme="minorHAnsi"/>
          <w:sz w:val="24"/>
          <w:szCs w:val="24"/>
        </w:rPr>
        <w:t>–</w:t>
      </w:r>
      <w:r w:rsidRPr="006E5FAD">
        <w:rPr>
          <w:rFonts w:cstheme="minorHAnsi"/>
          <w:sz w:val="24"/>
          <w:szCs w:val="24"/>
        </w:rPr>
        <w:t xml:space="preserve"> </w:t>
      </w:r>
      <w:r w:rsidR="00877453" w:rsidRPr="006E5FAD">
        <w:rPr>
          <w:rFonts w:cstheme="minorHAnsi"/>
          <w:sz w:val="24"/>
          <w:szCs w:val="24"/>
        </w:rPr>
        <w:t xml:space="preserve">Proseguimento nel </w:t>
      </w:r>
      <w:r w:rsidR="0037665E" w:rsidRPr="006E5FAD">
        <w:rPr>
          <w:rFonts w:cstheme="minorHAnsi"/>
          <w:sz w:val="24"/>
          <w:szCs w:val="24"/>
        </w:rPr>
        <w:t>201</w:t>
      </w:r>
      <w:r w:rsidR="008E12BB" w:rsidRPr="006E5FAD">
        <w:rPr>
          <w:rFonts w:cstheme="minorHAnsi"/>
          <w:sz w:val="24"/>
          <w:szCs w:val="24"/>
        </w:rPr>
        <w:t>9</w:t>
      </w:r>
      <w:r w:rsidR="00877453" w:rsidRPr="006E5FAD">
        <w:rPr>
          <w:rFonts w:cstheme="minorHAnsi"/>
          <w:sz w:val="24"/>
          <w:szCs w:val="24"/>
        </w:rPr>
        <w:t xml:space="preserve"> da parte di </w:t>
      </w:r>
      <w:proofErr w:type="spellStart"/>
      <w:r w:rsidR="00877453" w:rsidRPr="006E5FAD">
        <w:rPr>
          <w:rFonts w:cstheme="minorHAnsi"/>
          <w:sz w:val="24"/>
          <w:szCs w:val="24"/>
        </w:rPr>
        <w:t>Sviluppumbria</w:t>
      </w:r>
      <w:proofErr w:type="spellEnd"/>
      <w:r w:rsidR="00877453" w:rsidRPr="006E5FAD">
        <w:rPr>
          <w:rFonts w:cstheme="minorHAnsi"/>
          <w:sz w:val="24"/>
          <w:szCs w:val="24"/>
        </w:rPr>
        <w:t xml:space="preserve"> </w:t>
      </w:r>
      <w:proofErr w:type="spellStart"/>
      <w:r w:rsidR="00877453" w:rsidRPr="006E5FAD">
        <w:rPr>
          <w:rFonts w:cstheme="minorHAnsi"/>
          <w:sz w:val="24"/>
          <w:szCs w:val="24"/>
        </w:rPr>
        <w:t>SpA</w:t>
      </w:r>
      <w:proofErr w:type="spellEnd"/>
      <w:r w:rsidR="00877453" w:rsidRPr="006E5FAD">
        <w:rPr>
          <w:rFonts w:cstheme="minorHAnsi"/>
          <w:sz w:val="24"/>
          <w:szCs w:val="24"/>
        </w:rPr>
        <w:t xml:space="preserve"> delle azioni specifiche per promuovere la partecipazione delle imprese e dei centri di ricerca umbri a network e piattaforme extraregionali e accrescere il grado di innovazione delle imprese umbre</w:t>
      </w:r>
      <w:r w:rsidR="00656722" w:rsidRPr="006E5FAD">
        <w:rPr>
          <w:rFonts w:cstheme="minorHAnsi"/>
          <w:sz w:val="24"/>
          <w:szCs w:val="24"/>
        </w:rPr>
        <w:t xml:space="preserve"> (POD </w:t>
      </w:r>
      <w:proofErr w:type="spellStart"/>
      <w:r w:rsidR="00656722" w:rsidRPr="006E5FAD">
        <w:rPr>
          <w:rFonts w:cstheme="minorHAnsi"/>
          <w:sz w:val="24"/>
          <w:szCs w:val="24"/>
        </w:rPr>
        <w:t>Innetwork</w:t>
      </w:r>
      <w:proofErr w:type="spellEnd"/>
      <w:r w:rsidR="00656722" w:rsidRPr="006E5FAD">
        <w:rPr>
          <w:rFonts w:cstheme="minorHAnsi"/>
          <w:sz w:val="24"/>
          <w:szCs w:val="24"/>
        </w:rPr>
        <w:t xml:space="preserve"> 2019</w:t>
      </w:r>
      <w:r w:rsidR="0037665E" w:rsidRPr="006E5FAD">
        <w:rPr>
          <w:rFonts w:cstheme="minorHAnsi"/>
          <w:sz w:val="24"/>
          <w:szCs w:val="24"/>
        </w:rPr>
        <w:t xml:space="preserve"> approvato con D.D. </w:t>
      </w:r>
      <w:r w:rsidR="006E5FAD" w:rsidRPr="006E5FAD">
        <w:rPr>
          <w:rFonts w:cstheme="minorHAnsi"/>
          <w:sz w:val="24"/>
          <w:szCs w:val="24"/>
        </w:rPr>
        <w:t xml:space="preserve">n. 2834 del 25/03/2019 </w:t>
      </w:r>
      <w:r w:rsidR="0037665E" w:rsidRPr="006E5FAD">
        <w:rPr>
          <w:rFonts w:cstheme="minorHAnsi"/>
          <w:sz w:val="24"/>
          <w:szCs w:val="24"/>
        </w:rPr>
        <w:t xml:space="preserve">per € </w:t>
      </w:r>
      <w:r w:rsidR="006E5FAD" w:rsidRPr="006E5FAD">
        <w:rPr>
          <w:rFonts w:cstheme="minorHAnsi"/>
          <w:sz w:val="24"/>
          <w:szCs w:val="24"/>
        </w:rPr>
        <w:t>472.200</w:t>
      </w:r>
      <w:r w:rsidR="0037665E" w:rsidRPr="006E5FAD">
        <w:rPr>
          <w:rFonts w:cstheme="minorHAnsi"/>
          <w:sz w:val="24"/>
          <w:szCs w:val="24"/>
        </w:rPr>
        <w:t>,00)</w:t>
      </w:r>
      <w:r w:rsidR="00877453" w:rsidRPr="006E5FAD">
        <w:rPr>
          <w:rFonts w:cstheme="minorHAnsi"/>
          <w:sz w:val="24"/>
          <w:szCs w:val="24"/>
        </w:rPr>
        <w:t xml:space="preserve">. Inoltre è stato avviato il Progetto </w:t>
      </w:r>
      <w:proofErr w:type="spellStart"/>
      <w:r w:rsidR="0037665E" w:rsidRPr="006E5FAD">
        <w:rPr>
          <w:sz w:val="24"/>
          <w:szCs w:val="24"/>
        </w:rPr>
        <w:t>Agrifood</w:t>
      </w:r>
      <w:proofErr w:type="spellEnd"/>
      <w:r w:rsidR="0037665E" w:rsidRPr="006E5FAD">
        <w:rPr>
          <w:sz w:val="24"/>
          <w:szCs w:val="24"/>
        </w:rPr>
        <w:t xml:space="preserve"> </w:t>
      </w:r>
      <w:proofErr w:type="spellStart"/>
      <w:r w:rsidR="0037665E" w:rsidRPr="006E5FAD">
        <w:rPr>
          <w:sz w:val="24"/>
          <w:szCs w:val="24"/>
        </w:rPr>
        <w:t>Innetwork</w:t>
      </w:r>
      <w:proofErr w:type="spellEnd"/>
      <w:r w:rsidR="0037665E" w:rsidRPr="006E5FAD">
        <w:rPr>
          <w:sz w:val="24"/>
          <w:szCs w:val="24"/>
        </w:rPr>
        <w:t xml:space="preserve"> 2018 (beneficiario 3A-PTA</w:t>
      </w:r>
      <w:r w:rsidR="006E5FAD" w:rsidRPr="006E5FAD">
        <w:rPr>
          <w:rFonts w:ascii="Arial" w:hAnsi="Arial" w:cs="Arial"/>
        </w:rPr>
        <w:t xml:space="preserve"> SOC. </w:t>
      </w:r>
      <w:proofErr w:type="spellStart"/>
      <w:r w:rsidR="006E5FAD" w:rsidRPr="006E5FAD">
        <w:rPr>
          <w:rFonts w:ascii="Arial" w:hAnsi="Arial" w:cs="Arial"/>
        </w:rPr>
        <w:t>Cons</w:t>
      </w:r>
      <w:proofErr w:type="spellEnd"/>
      <w:r w:rsidR="006E5FAD" w:rsidRPr="006E5FAD">
        <w:rPr>
          <w:rFonts w:ascii="Arial" w:hAnsi="Arial" w:cs="Arial"/>
        </w:rPr>
        <w:t xml:space="preserve"> a </w:t>
      </w:r>
      <w:proofErr w:type="spellStart"/>
      <w:r w:rsidR="006E5FAD" w:rsidRPr="006E5FAD">
        <w:rPr>
          <w:rFonts w:ascii="Arial" w:hAnsi="Arial" w:cs="Arial"/>
        </w:rPr>
        <w:t>r.l</w:t>
      </w:r>
      <w:proofErr w:type="spellEnd"/>
      <w:r w:rsidR="006E5FAD" w:rsidRPr="006E5FAD">
        <w:rPr>
          <w:rFonts w:ascii="Arial" w:hAnsi="Arial" w:cs="Arial"/>
        </w:rPr>
        <w:t>.</w:t>
      </w:r>
      <w:r w:rsidR="0037665E" w:rsidRPr="006E5FAD">
        <w:rPr>
          <w:sz w:val="24"/>
          <w:szCs w:val="24"/>
        </w:rPr>
        <w:t xml:space="preserve">), approvato con D.D. n. </w:t>
      </w:r>
      <w:r w:rsidR="006E5FAD" w:rsidRPr="006E5FAD">
        <w:rPr>
          <w:sz w:val="24"/>
          <w:szCs w:val="24"/>
        </w:rPr>
        <w:t xml:space="preserve">2924 del 27/03/2019 </w:t>
      </w:r>
      <w:r w:rsidR="0037665E" w:rsidRPr="006E5FAD">
        <w:rPr>
          <w:sz w:val="24"/>
          <w:szCs w:val="24"/>
        </w:rPr>
        <w:t xml:space="preserve">per € </w:t>
      </w:r>
      <w:r w:rsidR="006E5FAD" w:rsidRPr="006E5FAD">
        <w:rPr>
          <w:sz w:val="24"/>
          <w:szCs w:val="24"/>
        </w:rPr>
        <w:t>99</w:t>
      </w:r>
      <w:r w:rsidR="0037665E" w:rsidRPr="006E5FAD">
        <w:rPr>
          <w:sz w:val="24"/>
          <w:szCs w:val="24"/>
        </w:rPr>
        <w:t>.000,00.</w:t>
      </w:r>
    </w:p>
    <w:p w:rsidR="00500CEB" w:rsidRPr="00386ACF" w:rsidRDefault="00D83846" w:rsidP="00717AE2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 w:rsidRPr="00386ACF">
        <w:rPr>
          <w:b/>
          <w:sz w:val="24"/>
          <w:szCs w:val="24"/>
        </w:rPr>
        <w:t>Azione 1.2.2</w:t>
      </w:r>
      <w:r w:rsidRPr="00386ACF">
        <w:rPr>
          <w:sz w:val="24"/>
          <w:szCs w:val="24"/>
        </w:rPr>
        <w:t xml:space="preserve"> - “Realizzazione di progetti complessi”</w:t>
      </w:r>
      <w:r w:rsidR="009B1EFC">
        <w:rPr>
          <w:sz w:val="24"/>
          <w:szCs w:val="24"/>
        </w:rPr>
        <w:t xml:space="preserve">: </w:t>
      </w:r>
      <w:r w:rsidR="0037665E" w:rsidRPr="00386ACF">
        <w:rPr>
          <w:sz w:val="24"/>
          <w:szCs w:val="24"/>
        </w:rPr>
        <w:t>ad oggi sono stati fi</w:t>
      </w:r>
      <w:r w:rsidR="00386ACF" w:rsidRPr="00386ACF">
        <w:rPr>
          <w:sz w:val="24"/>
          <w:szCs w:val="24"/>
        </w:rPr>
        <w:t>nanziati 1</w:t>
      </w:r>
      <w:r w:rsidR="009B1EFC">
        <w:rPr>
          <w:sz w:val="24"/>
          <w:szCs w:val="24"/>
        </w:rPr>
        <w:t>3</w:t>
      </w:r>
      <w:r w:rsidR="00386ACF" w:rsidRPr="00386ACF">
        <w:rPr>
          <w:sz w:val="24"/>
          <w:szCs w:val="24"/>
        </w:rPr>
        <w:t xml:space="preserve"> progetti per </w:t>
      </w:r>
      <w:r w:rsidR="009B1EFC">
        <w:rPr>
          <w:sz w:val="24"/>
          <w:szCs w:val="24"/>
        </w:rPr>
        <w:t>52,19</w:t>
      </w:r>
      <w:r w:rsidR="00386ACF" w:rsidRPr="00386ACF">
        <w:rPr>
          <w:sz w:val="24"/>
          <w:szCs w:val="24"/>
        </w:rPr>
        <w:t xml:space="preserve"> </w:t>
      </w:r>
      <w:proofErr w:type="spellStart"/>
      <w:r w:rsidR="00386ACF" w:rsidRPr="00386ACF">
        <w:rPr>
          <w:sz w:val="24"/>
          <w:szCs w:val="24"/>
        </w:rPr>
        <w:t>me</w:t>
      </w:r>
      <w:r w:rsidR="0037665E" w:rsidRPr="00386ACF">
        <w:rPr>
          <w:sz w:val="24"/>
          <w:szCs w:val="24"/>
        </w:rPr>
        <w:t>u</w:t>
      </w:r>
      <w:r w:rsidR="00386ACF" w:rsidRPr="00386ACF">
        <w:rPr>
          <w:sz w:val="24"/>
          <w:szCs w:val="24"/>
        </w:rPr>
        <w:t>r</w:t>
      </w:r>
      <w:r w:rsidR="0037665E" w:rsidRPr="00386ACF">
        <w:rPr>
          <w:sz w:val="24"/>
          <w:szCs w:val="24"/>
        </w:rPr>
        <w:t>o</w:t>
      </w:r>
      <w:proofErr w:type="spellEnd"/>
      <w:r w:rsidR="00386ACF" w:rsidRPr="00386ACF">
        <w:rPr>
          <w:sz w:val="24"/>
          <w:szCs w:val="24"/>
        </w:rPr>
        <w:t xml:space="preserve"> di investimenti complessivi</w:t>
      </w:r>
      <w:r w:rsidR="009B1EFC">
        <w:rPr>
          <w:sz w:val="24"/>
          <w:szCs w:val="24"/>
        </w:rPr>
        <w:t xml:space="preserve">, il cui contributo pubblico ammonta a 25,38 </w:t>
      </w:r>
      <w:proofErr w:type="spellStart"/>
      <w:r w:rsidR="009B1EFC">
        <w:rPr>
          <w:sz w:val="24"/>
          <w:szCs w:val="24"/>
        </w:rPr>
        <w:t>meuro</w:t>
      </w:r>
      <w:proofErr w:type="spellEnd"/>
      <w:r w:rsidR="00717AE2" w:rsidRPr="00386ACF">
        <w:rPr>
          <w:sz w:val="24"/>
          <w:szCs w:val="24"/>
        </w:rPr>
        <w:t xml:space="preserve">. </w:t>
      </w:r>
    </w:p>
    <w:p w:rsidR="00951190" w:rsidRPr="0001408F" w:rsidRDefault="00951190" w:rsidP="0001408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1408F">
        <w:rPr>
          <w:b/>
          <w:sz w:val="24"/>
          <w:szCs w:val="24"/>
        </w:rPr>
        <w:lastRenderedPageBreak/>
        <w:t>Azione 1.3.1</w:t>
      </w:r>
      <w:r w:rsidRPr="0001408F">
        <w:rPr>
          <w:sz w:val="24"/>
          <w:szCs w:val="24"/>
        </w:rPr>
        <w:t xml:space="preserve"> </w:t>
      </w:r>
      <w:r w:rsidR="008F0D1E" w:rsidRPr="0001408F">
        <w:rPr>
          <w:sz w:val="24"/>
          <w:szCs w:val="24"/>
        </w:rPr>
        <w:t xml:space="preserve"> - Nel primi mesi del 2019 si è proceduto con la realizzazione dei progetti e la liquidazione dei relativi contributi dell’Avviso pubblico per contributi allo start up delle PMI 2017, scaduto a giugno 2018. La Regione Umbria con la DGR 374 del 01 aprile 2019 ha approvato “le linee guida per la predisposizione dell’Avviso a sportello 2019 in attuazione dell’azione 1.3.1. del POR FESR 2014-2020”</w:t>
      </w:r>
      <w:r w:rsidR="009B1EFC">
        <w:rPr>
          <w:sz w:val="24"/>
          <w:szCs w:val="24"/>
        </w:rPr>
        <w:t>, che presumibilmente verrà pubblicato entro il mese di giugno 2019</w:t>
      </w:r>
      <w:r w:rsidR="008F0D1E" w:rsidRPr="0001408F">
        <w:rPr>
          <w:sz w:val="24"/>
          <w:szCs w:val="24"/>
        </w:rPr>
        <w:t xml:space="preserve">. La selezione delle iniziative imprenditoriali avviene tramite una procedura negoziale a sportello, con partecipazione dell’impresa, ai sensi dell’art. 5, comma 3 del D. </w:t>
      </w:r>
      <w:proofErr w:type="spellStart"/>
      <w:r w:rsidR="008F0D1E" w:rsidRPr="0001408F">
        <w:rPr>
          <w:sz w:val="24"/>
          <w:szCs w:val="24"/>
        </w:rPr>
        <w:t>Lgs</w:t>
      </w:r>
      <w:proofErr w:type="spellEnd"/>
      <w:r w:rsidR="008F0D1E" w:rsidRPr="0001408F">
        <w:rPr>
          <w:sz w:val="24"/>
          <w:szCs w:val="24"/>
        </w:rPr>
        <w:t xml:space="preserve">. n. 123/98 e </w:t>
      </w:r>
      <w:proofErr w:type="spellStart"/>
      <w:r w:rsidR="008F0D1E" w:rsidRPr="0001408F">
        <w:rPr>
          <w:sz w:val="24"/>
          <w:szCs w:val="24"/>
        </w:rPr>
        <w:t>smi</w:t>
      </w:r>
      <w:proofErr w:type="spellEnd"/>
      <w:r w:rsidR="008F0D1E" w:rsidRPr="0001408F">
        <w:rPr>
          <w:sz w:val="24"/>
          <w:szCs w:val="24"/>
        </w:rPr>
        <w:t>, e le PMI beneficiarie dovranno essere start-up, spin off aziendali o accademici e PMI innovative ai sensi del D. Legge n. 3/2015</w:t>
      </w:r>
      <w:r w:rsidR="0001408F" w:rsidRPr="0001408F">
        <w:rPr>
          <w:sz w:val="24"/>
          <w:szCs w:val="24"/>
        </w:rPr>
        <w:t xml:space="preserve">. La dotazione dell’Avviso ammonta a 2 </w:t>
      </w:r>
      <w:r w:rsidR="0001408F">
        <w:rPr>
          <w:sz w:val="24"/>
          <w:szCs w:val="24"/>
        </w:rPr>
        <w:t>m</w:t>
      </w:r>
      <w:r w:rsidR="0001408F" w:rsidRPr="0001408F">
        <w:rPr>
          <w:sz w:val="24"/>
          <w:szCs w:val="24"/>
        </w:rPr>
        <w:t xml:space="preserve">ero, di cui 1 </w:t>
      </w:r>
      <w:proofErr w:type="spellStart"/>
      <w:r w:rsidR="0001408F">
        <w:rPr>
          <w:sz w:val="24"/>
          <w:szCs w:val="24"/>
        </w:rPr>
        <w:t>m</w:t>
      </w:r>
      <w:r w:rsidR="0001408F" w:rsidRPr="0001408F">
        <w:rPr>
          <w:sz w:val="24"/>
          <w:szCs w:val="24"/>
        </w:rPr>
        <w:t>euro</w:t>
      </w:r>
      <w:proofErr w:type="spellEnd"/>
      <w:r w:rsidR="0001408F" w:rsidRPr="0001408F">
        <w:rPr>
          <w:sz w:val="24"/>
          <w:szCs w:val="24"/>
        </w:rPr>
        <w:t>, a supporto dell’Accordo di Programma a</w:t>
      </w:r>
      <w:r w:rsidR="0001408F">
        <w:rPr>
          <w:sz w:val="24"/>
          <w:szCs w:val="24"/>
        </w:rPr>
        <w:t xml:space="preserve"> </w:t>
      </w:r>
      <w:r w:rsidR="0001408F" w:rsidRPr="0001408F">
        <w:rPr>
          <w:sz w:val="24"/>
          <w:szCs w:val="24"/>
        </w:rPr>
        <w:t>sostegno dello sviluppo dell’Area di crisi complessa nell’Area industriale di Terni-Narni</w:t>
      </w:r>
      <w:r w:rsidR="0001408F">
        <w:rPr>
          <w:sz w:val="24"/>
          <w:szCs w:val="24"/>
        </w:rPr>
        <w:t>.</w:t>
      </w:r>
    </w:p>
    <w:p w:rsidR="00656722" w:rsidRDefault="00C7560F" w:rsidP="00656722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 w:rsidRPr="00B358B4">
        <w:rPr>
          <w:rFonts w:cstheme="minorHAnsi"/>
          <w:b/>
          <w:sz w:val="24"/>
          <w:szCs w:val="24"/>
        </w:rPr>
        <w:t>Azione 1.4.1</w:t>
      </w:r>
      <w:r w:rsidRPr="00B358B4">
        <w:rPr>
          <w:rFonts w:cstheme="minorHAnsi"/>
          <w:sz w:val="24"/>
          <w:szCs w:val="24"/>
        </w:rPr>
        <w:t xml:space="preserve"> </w:t>
      </w:r>
      <w:r w:rsidR="00656722" w:rsidRPr="00B358B4">
        <w:rPr>
          <w:rFonts w:cstheme="minorHAnsi"/>
          <w:sz w:val="24"/>
          <w:szCs w:val="24"/>
        </w:rPr>
        <w:t xml:space="preserve">- </w:t>
      </w:r>
      <w:r w:rsidR="00656722" w:rsidRPr="00B358B4">
        <w:rPr>
          <w:sz w:val="24"/>
          <w:szCs w:val="24"/>
        </w:rPr>
        <w:t xml:space="preserve">Progetto di supporto allo sviluppo dei </w:t>
      </w:r>
      <w:proofErr w:type="spellStart"/>
      <w:r w:rsidR="00656722" w:rsidRPr="00B358B4">
        <w:rPr>
          <w:sz w:val="24"/>
          <w:szCs w:val="24"/>
        </w:rPr>
        <w:t>Digipass</w:t>
      </w:r>
      <w:proofErr w:type="spellEnd"/>
      <w:r w:rsidR="00656722" w:rsidRPr="00B358B4">
        <w:rPr>
          <w:sz w:val="24"/>
          <w:szCs w:val="24"/>
        </w:rPr>
        <w:t xml:space="preserve"> e </w:t>
      </w:r>
      <w:proofErr w:type="spellStart"/>
      <w:r w:rsidR="00656722" w:rsidRPr="00B358B4">
        <w:rPr>
          <w:sz w:val="24"/>
          <w:szCs w:val="24"/>
        </w:rPr>
        <w:t>LivingLab</w:t>
      </w:r>
      <w:proofErr w:type="spellEnd"/>
      <w:r w:rsidR="00656722" w:rsidRPr="00B358B4">
        <w:rPr>
          <w:sz w:val="24"/>
          <w:szCs w:val="24"/>
        </w:rPr>
        <w:t xml:space="preserve"> . Il progetto di</w:t>
      </w:r>
      <w:r w:rsidR="00656722" w:rsidRPr="00656722">
        <w:rPr>
          <w:sz w:val="24"/>
          <w:szCs w:val="24"/>
        </w:rPr>
        <w:t xml:space="preserve"> supporto è stato attribuito a </w:t>
      </w:r>
      <w:proofErr w:type="spellStart"/>
      <w:r w:rsidR="00656722" w:rsidRPr="00656722">
        <w:rPr>
          <w:sz w:val="24"/>
          <w:szCs w:val="24"/>
        </w:rPr>
        <w:t>Sviluppumbria</w:t>
      </w:r>
      <w:proofErr w:type="spellEnd"/>
      <w:r w:rsidR="00656722" w:rsidRPr="00656722">
        <w:rPr>
          <w:sz w:val="24"/>
          <w:szCs w:val="24"/>
        </w:rPr>
        <w:t xml:space="preserve"> S.p.A. in qualità di Organismo Intermedio. Nel corso di questi mesi sono state implementate le procedure amministrative per l’attivazione dell’ OI ai sensi della DGR 1331/2018 ed è stato definito il piano delle attività 2019 di concerto con la Cabina di Regia istituita con DGR 1331/2018.</w:t>
      </w:r>
    </w:p>
    <w:p w:rsidR="006134DF" w:rsidRDefault="006134DF" w:rsidP="006134DF">
      <w:pPr>
        <w:pStyle w:val="Paragrafoelenco"/>
        <w:jc w:val="both"/>
        <w:rPr>
          <w:sz w:val="24"/>
          <w:szCs w:val="24"/>
        </w:rPr>
      </w:pPr>
    </w:p>
    <w:p w:rsidR="00500CEB" w:rsidRPr="00951190" w:rsidRDefault="00500CEB" w:rsidP="00500CEB">
      <w:pPr>
        <w:spacing w:after="120" w:line="240" w:lineRule="atLeast"/>
        <w:rPr>
          <w:color w:val="4F81BD" w:themeColor="accent1"/>
          <w:sz w:val="24"/>
          <w:szCs w:val="24"/>
        </w:rPr>
      </w:pPr>
      <w:r w:rsidRPr="00951190">
        <w:rPr>
          <w:b/>
          <w:color w:val="4F81BD" w:themeColor="accent1"/>
          <w:sz w:val="24"/>
          <w:szCs w:val="24"/>
        </w:rPr>
        <w:t xml:space="preserve">Asse II </w:t>
      </w:r>
      <w:r w:rsidR="00CF275D" w:rsidRPr="00951190">
        <w:rPr>
          <w:b/>
          <w:color w:val="4F81BD" w:themeColor="accent1"/>
          <w:sz w:val="24"/>
          <w:szCs w:val="24"/>
        </w:rPr>
        <w:t xml:space="preserve"> </w:t>
      </w:r>
      <w:r w:rsidRPr="00951190">
        <w:rPr>
          <w:b/>
          <w:color w:val="4F81BD" w:themeColor="accent1"/>
          <w:sz w:val="24"/>
          <w:szCs w:val="24"/>
        </w:rPr>
        <w:t>Crescita e cittadinanza digitale</w:t>
      </w:r>
    </w:p>
    <w:p w:rsidR="00717AE2" w:rsidRPr="004B0D1A" w:rsidRDefault="00717AE2" w:rsidP="00717AE2">
      <w:pPr>
        <w:pStyle w:val="Paragrafoelenco"/>
        <w:numPr>
          <w:ilvl w:val="0"/>
          <w:numId w:val="9"/>
        </w:numPr>
        <w:jc w:val="both"/>
        <w:rPr>
          <w:rFonts w:cstheme="minorHAnsi"/>
          <w:iCs/>
          <w:sz w:val="24"/>
          <w:szCs w:val="24"/>
        </w:rPr>
      </w:pPr>
      <w:r w:rsidRPr="00717AE2">
        <w:rPr>
          <w:rFonts w:cstheme="minorHAnsi"/>
          <w:b/>
          <w:iCs/>
          <w:sz w:val="24"/>
          <w:szCs w:val="24"/>
        </w:rPr>
        <w:t>Azione 2.1.1</w:t>
      </w:r>
      <w:r w:rsidRPr="00717AE2">
        <w:rPr>
          <w:rFonts w:cstheme="minorHAnsi"/>
          <w:iCs/>
          <w:sz w:val="24"/>
          <w:szCs w:val="24"/>
        </w:rPr>
        <w:t xml:space="preserve">: </w:t>
      </w:r>
      <w:r w:rsidR="00CD59F9">
        <w:rPr>
          <w:rFonts w:cstheme="minorHAnsi"/>
          <w:iCs/>
          <w:sz w:val="24"/>
          <w:szCs w:val="24"/>
        </w:rPr>
        <w:t>Proseguimento</w:t>
      </w:r>
      <w:r w:rsidR="00C41CC8">
        <w:rPr>
          <w:rFonts w:cstheme="minorHAnsi"/>
          <w:iCs/>
          <w:sz w:val="24"/>
          <w:szCs w:val="24"/>
        </w:rPr>
        <w:t xml:space="preserve"> dei lavori a seguito dell’aggiudicazione definitiva della gara d’appalto del </w:t>
      </w:r>
      <w:r w:rsidR="00C41CC8" w:rsidRPr="004B0D1A">
        <w:rPr>
          <w:rFonts w:cstheme="minorHAnsi"/>
          <w:iCs/>
          <w:sz w:val="24"/>
          <w:szCs w:val="24"/>
        </w:rPr>
        <w:t xml:space="preserve">servizio di fornitura </w:t>
      </w:r>
      <w:r w:rsidRPr="004B0D1A">
        <w:rPr>
          <w:rFonts w:cstheme="minorHAnsi"/>
          <w:iCs/>
          <w:sz w:val="24"/>
          <w:szCs w:val="24"/>
        </w:rPr>
        <w:t>delle infrastrutture in banda ultra larga</w:t>
      </w:r>
      <w:r w:rsidR="00C41CC8" w:rsidRPr="004B0D1A">
        <w:rPr>
          <w:rFonts w:cstheme="minorHAnsi"/>
          <w:iCs/>
          <w:sz w:val="24"/>
          <w:szCs w:val="24"/>
        </w:rPr>
        <w:t xml:space="preserve">. </w:t>
      </w:r>
    </w:p>
    <w:p w:rsidR="007C5519" w:rsidRPr="00205241" w:rsidRDefault="00717AE2" w:rsidP="006134DF">
      <w:pPr>
        <w:pStyle w:val="Paragrafoelenco"/>
        <w:numPr>
          <w:ilvl w:val="0"/>
          <w:numId w:val="9"/>
        </w:numPr>
        <w:jc w:val="both"/>
        <w:rPr>
          <w:rFonts w:cstheme="minorHAnsi"/>
          <w:iCs/>
          <w:sz w:val="24"/>
          <w:szCs w:val="24"/>
        </w:rPr>
      </w:pPr>
      <w:r w:rsidRPr="00205241">
        <w:rPr>
          <w:rFonts w:cstheme="minorHAnsi"/>
          <w:b/>
          <w:iCs/>
          <w:sz w:val="24"/>
          <w:szCs w:val="24"/>
        </w:rPr>
        <w:t>Azione 2.2.1</w:t>
      </w:r>
      <w:r w:rsidRPr="00205241">
        <w:rPr>
          <w:rFonts w:cstheme="minorHAnsi"/>
          <w:iCs/>
          <w:sz w:val="24"/>
          <w:szCs w:val="24"/>
        </w:rPr>
        <w:t xml:space="preserve">: </w:t>
      </w:r>
      <w:r w:rsidR="00463498" w:rsidRPr="00205241">
        <w:rPr>
          <w:rFonts w:cstheme="minorHAnsi"/>
          <w:iCs/>
          <w:sz w:val="24"/>
          <w:szCs w:val="24"/>
        </w:rPr>
        <w:t xml:space="preserve">n. </w:t>
      </w:r>
      <w:r w:rsidR="00030D81" w:rsidRPr="00205241">
        <w:rPr>
          <w:rFonts w:cstheme="minorHAnsi"/>
          <w:iCs/>
          <w:sz w:val="24"/>
          <w:szCs w:val="24"/>
        </w:rPr>
        <w:t>2</w:t>
      </w:r>
      <w:r w:rsidR="00463498" w:rsidRPr="00205241">
        <w:rPr>
          <w:rFonts w:cstheme="minorHAnsi"/>
          <w:iCs/>
          <w:sz w:val="24"/>
          <w:szCs w:val="24"/>
        </w:rPr>
        <w:t xml:space="preserve"> interventi in corso </w:t>
      </w:r>
      <w:r w:rsidRPr="00205241">
        <w:rPr>
          <w:rFonts w:cstheme="minorHAnsi"/>
          <w:iCs/>
          <w:sz w:val="24"/>
          <w:szCs w:val="24"/>
        </w:rPr>
        <w:t>per la real</w:t>
      </w:r>
      <w:r w:rsidR="006134DF">
        <w:rPr>
          <w:rFonts w:cstheme="minorHAnsi"/>
          <w:iCs/>
          <w:sz w:val="24"/>
          <w:szCs w:val="24"/>
        </w:rPr>
        <w:t xml:space="preserve">izzazione di </w:t>
      </w:r>
      <w:proofErr w:type="spellStart"/>
      <w:r w:rsidR="006134DF" w:rsidRPr="006134DF">
        <w:rPr>
          <w:rFonts w:cstheme="minorHAnsi"/>
          <w:iCs/>
          <w:sz w:val="24"/>
          <w:szCs w:val="24"/>
        </w:rPr>
        <w:t>DigiPASS+Hub</w:t>
      </w:r>
      <w:proofErr w:type="spellEnd"/>
      <w:r w:rsidR="006134DF">
        <w:rPr>
          <w:rFonts w:cstheme="minorHAnsi"/>
          <w:iCs/>
          <w:sz w:val="24"/>
          <w:szCs w:val="24"/>
        </w:rPr>
        <w:t xml:space="preserve"> di </w:t>
      </w:r>
      <w:r w:rsidR="00030D81" w:rsidRPr="00205241">
        <w:rPr>
          <w:rFonts w:cstheme="minorHAnsi"/>
          <w:iCs/>
          <w:sz w:val="24"/>
          <w:szCs w:val="24"/>
        </w:rPr>
        <w:t xml:space="preserve">Terni e Perugia. </w:t>
      </w:r>
      <w:r w:rsidR="0004213F" w:rsidRPr="00205241">
        <w:rPr>
          <w:rFonts w:cstheme="minorHAnsi"/>
          <w:iCs/>
          <w:sz w:val="24"/>
          <w:szCs w:val="24"/>
        </w:rPr>
        <w:t xml:space="preserve">con cui </w:t>
      </w:r>
      <w:r w:rsidRPr="00205241">
        <w:rPr>
          <w:rFonts w:cstheme="minorHAnsi"/>
          <w:iCs/>
          <w:sz w:val="24"/>
          <w:szCs w:val="24"/>
        </w:rPr>
        <w:t>realizzare servizi per l'accesso assistito ad int</w:t>
      </w:r>
      <w:r w:rsidR="00463498" w:rsidRPr="00205241">
        <w:rPr>
          <w:rFonts w:cstheme="minorHAnsi"/>
          <w:iCs/>
          <w:sz w:val="24"/>
          <w:szCs w:val="24"/>
        </w:rPr>
        <w:t xml:space="preserve">ernet. </w:t>
      </w:r>
      <w:r w:rsidR="00205241" w:rsidRPr="00205241">
        <w:rPr>
          <w:rFonts w:cstheme="minorHAnsi"/>
          <w:iCs/>
          <w:sz w:val="24"/>
          <w:szCs w:val="24"/>
        </w:rPr>
        <w:t xml:space="preserve">Sono stati inaugurati i </w:t>
      </w:r>
      <w:proofErr w:type="spellStart"/>
      <w:r w:rsidR="007C5519" w:rsidRPr="00205241">
        <w:rPr>
          <w:rFonts w:cstheme="minorHAnsi"/>
          <w:iCs/>
          <w:sz w:val="24"/>
          <w:szCs w:val="24"/>
        </w:rPr>
        <w:t>DigiPASS</w:t>
      </w:r>
      <w:proofErr w:type="spellEnd"/>
      <w:r w:rsidR="007C5519" w:rsidRPr="00205241">
        <w:rPr>
          <w:rFonts w:cstheme="minorHAnsi"/>
          <w:iCs/>
          <w:sz w:val="24"/>
          <w:szCs w:val="24"/>
        </w:rPr>
        <w:t xml:space="preserve"> </w:t>
      </w:r>
      <w:r w:rsidR="00205241" w:rsidRPr="00205241">
        <w:rPr>
          <w:rFonts w:cstheme="minorHAnsi"/>
          <w:iCs/>
          <w:sz w:val="24"/>
          <w:szCs w:val="24"/>
        </w:rPr>
        <w:t xml:space="preserve">di </w:t>
      </w:r>
      <w:r w:rsidR="007C5519" w:rsidRPr="00205241">
        <w:rPr>
          <w:rFonts w:cstheme="minorHAnsi"/>
          <w:iCs/>
          <w:sz w:val="24"/>
          <w:szCs w:val="24"/>
        </w:rPr>
        <w:t xml:space="preserve">Città di Castello, </w:t>
      </w:r>
      <w:r w:rsidR="00205241" w:rsidRPr="00205241">
        <w:rPr>
          <w:rFonts w:cstheme="minorHAnsi"/>
          <w:iCs/>
          <w:sz w:val="24"/>
          <w:szCs w:val="24"/>
        </w:rPr>
        <w:t xml:space="preserve">di </w:t>
      </w:r>
      <w:r w:rsidR="007C5519" w:rsidRPr="00205241">
        <w:rPr>
          <w:rFonts w:cstheme="minorHAnsi"/>
          <w:iCs/>
          <w:sz w:val="24"/>
          <w:szCs w:val="24"/>
        </w:rPr>
        <w:t xml:space="preserve">Orvieto </w:t>
      </w:r>
      <w:r w:rsidR="00205241" w:rsidRPr="00205241">
        <w:rPr>
          <w:rFonts w:cstheme="minorHAnsi"/>
          <w:iCs/>
          <w:sz w:val="24"/>
          <w:szCs w:val="24"/>
        </w:rPr>
        <w:t xml:space="preserve">e di </w:t>
      </w:r>
      <w:r w:rsidR="007C5519" w:rsidRPr="00205241">
        <w:rPr>
          <w:rFonts w:cstheme="minorHAnsi"/>
          <w:iCs/>
          <w:sz w:val="24"/>
          <w:szCs w:val="24"/>
        </w:rPr>
        <w:t>Foligno</w:t>
      </w:r>
      <w:r w:rsidR="00205241" w:rsidRPr="00205241">
        <w:rPr>
          <w:rFonts w:cstheme="minorHAnsi"/>
          <w:iCs/>
          <w:sz w:val="24"/>
          <w:szCs w:val="24"/>
        </w:rPr>
        <w:t xml:space="preserve">. Nel corso di questi primi mesi del 2019 è stato attivato il progetto </w:t>
      </w:r>
      <w:r w:rsidR="007C5519" w:rsidRPr="00205241">
        <w:rPr>
          <w:rFonts w:cstheme="minorHAnsi"/>
          <w:iCs/>
          <w:sz w:val="24"/>
          <w:szCs w:val="24"/>
        </w:rPr>
        <w:t xml:space="preserve">negli enti locali della rete hot spot </w:t>
      </w:r>
      <w:proofErr w:type="spellStart"/>
      <w:r w:rsidR="007C5519" w:rsidRPr="00205241">
        <w:rPr>
          <w:rFonts w:cstheme="minorHAnsi"/>
          <w:iCs/>
          <w:sz w:val="24"/>
          <w:szCs w:val="24"/>
        </w:rPr>
        <w:t>wi-fi</w:t>
      </w:r>
      <w:proofErr w:type="spellEnd"/>
      <w:r w:rsidR="007C5519" w:rsidRPr="00205241">
        <w:rPr>
          <w:rFonts w:cstheme="minorHAnsi"/>
          <w:iCs/>
          <w:sz w:val="24"/>
          <w:szCs w:val="24"/>
        </w:rPr>
        <w:t xml:space="preserve"> Umbria</w:t>
      </w:r>
      <w:r w:rsidR="00205241">
        <w:rPr>
          <w:rFonts w:cstheme="minorHAnsi"/>
          <w:iCs/>
          <w:sz w:val="24"/>
          <w:szCs w:val="24"/>
        </w:rPr>
        <w:t>.</w:t>
      </w:r>
    </w:p>
    <w:p w:rsidR="00205241" w:rsidRDefault="00717AE2" w:rsidP="00205241">
      <w:pPr>
        <w:pStyle w:val="Paragrafoelenco"/>
        <w:numPr>
          <w:ilvl w:val="0"/>
          <w:numId w:val="9"/>
        </w:numPr>
        <w:jc w:val="both"/>
        <w:rPr>
          <w:rFonts w:cstheme="minorHAnsi"/>
          <w:iCs/>
          <w:sz w:val="24"/>
          <w:szCs w:val="24"/>
        </w:rPr>
      </w:pPr>
      <w:r w:rsidRPr="00205241">
        <w:rPr>
          <w:rFonts w:cstheme="minorHAnsi"/>
          <w:b/>
          <w:iCs/>
          <w:sz w:val="24"/>
          <w:szCs w:val="24"/>
        </w:rPr>
        <w:t>Azione 2.3.1:</w:t>
      </w:r>
      <w:r w:rsidRPr="00205241">
        <w:rPr>
          <w:rFonts w:cstheme="minorHAnsi"/>
          <w:iCs/>
          <w:sz w:val="24"/>
          <w:szCs w:val="24"/>
        </w:rPr>
        <w:t xml:space="preserve"> </w:t>
      </w:r>
      <w:r w:rsidR="00205241" w:rsidRPr="00205241">
        <w:rPr>
          <w:rFonts w:cstheme="minorHAnsi"/>
          <w:iCs/>
          <w:sz w:val="24"/>
          <w:szCs w:val="24"/>
        </w:rPr>
        <w:t xml:space="preserve">Avvio nel 2019 del progetto di medicina personalizzata CARE e UMBRIA BIOBANK, dei progetti  “Impianto funzionalità per la Community </w:t>
      </w:r>
      <w:proofErr w:type="spellStart"/>
      <w:r w:rsidR="00205241" w:rsidRPr="00205241">
        <w:rPr>
          <w:rFonts w:cstheme="minorHAnsi"/>
          <w:iCs/>
          <w:sz w:val="24"/>
          <w:szCs w:val="24"/>
        </w:rPr>
        <w:t>Cloud</w:t>
      </w:r>
      <w:proofErr w:type="spellEnd"/>
      <w:r w:rsidR="00205241" w:rsidRPr="00205241">
        <w:rPr>
          <w:rFonts w:cstheme="minorHAnsi"/>
          <w:iCs/>
          <w:sz w:val="24"/>
          <w:szCs w:val="24"/>
        </w:rPr>
        <w:t xml:space="preserve"> dell’Umbria” e “Potenziamento/ampliamento infrastrutture ICT” e dei progetti “Ecosistema digitale regionale fase 2” e “Qualificazione servizi </w:t>
      </w:r>
      <w:proofErr w:type="spellStart"/>
      <w:r w:rsidR="00205241" w:rsidRPr="00205241">
        <w:rPr>
          <w:rFonts w:cstheme="minorHAnsi"/>
          <w:iCs/>
          <w:sz w:val="24"/>
          <w:szCs w:val="24"/>
        </w:rPr>
        <w:t>cloud</w:t>
      </w:r>
      <w:proofErr w:type="spellEnd"/>
      <w:r w:rsidR="00205241" w:rsidRPr="00205241">
        <w:rPr>
          <w:rFonts w:cstheme="minorHAnsi"/>
          <w:iCs/>
          <w:sz w:val="24"/>
          <w:szCs w:val="24"/>
        </w:rPr>
        <w:t xml:space="preserve"> piattaforme regionale”.</w:t>
      </w:r>
    </w:p>
    <w:p w:rsidR="006134DF" w:rsidRPr="00205241" w:rsidRDefault="006134DF" w:rsidP="00F56D1E">
      <w:pPr>
        <w:pStyle w:val="Paragrafoelenco"/>
        <w:jc w:val="both"/>
        <w:rPr>
          <w:rFonts w:cstheme="minorHAnsi"/>
          <w:iCs/>
          <w:sz w:val="24"/>
          <w:szCs w:val="24"/>
        </w:rPr>
      </w:pPr>
    </w:p>
    <w:p w:rsidR="00500CEB" w:rsidRPr="00384846" w:rsidRDefault="00500CEB" w:rsidP="00F56D1E">
      <w:pPr>
        <w:spacing w:after="120" w:line="240" w:lineRule="atLeast"/>
        <w:rPr>
          <w:color w:val="4F81BD" w:themeColor="accent1"/>
          <w:sz w:val="24"/>
          <w:szCs w:val="24"/>
        </w:rPr>
      </w:pPr>
      <w:r w:rsidRPr="00384846">
        <w:rPr>
          <w:b/>
          <w:color w:val="4F81BD" w:themeColor="accent1"/>
          <w:sz w:val="24"/>
          <w:szCs w:val="24"/>
        </w:rPr>
        <w:t>Asse III  Competitività delle PMI</w:t>
      </w:r>
      <w:r w:rsidR="003B0805" w:rsidRPr="00384846">
        <w:rPr>
          <w:b/>
          <w:color w:val="4F81BD" w:themeColor="accent1"/>
          <w:sz w:val="24"/>
          <w:szCs w:val="24"/>
        </w:rPr>
        <w:t xml:space="preserve"> - Ban</w:t>
      </w:r>
      <w:r w:rsidR="00D537B2" w:rsidRPr="00384846">
        <w:rPr>
          <w:b/>
          <w:color w:val="4F81BD" w:themeColor="accent1"/>
          <w:sz w:val="24"/>
          <w:szCs w:val="24"/>
        </w:rPr>
        <w:t>di avviati gennaio – maggio 2019</w:t>
      </w:r>
    </w:p>
    <w:p w:rsidR="00954A63" w:rsidRPr="00384846" w:rsidRDefault="00372268" w:rsidP="00F56D1E">
      <w:pPr>
        <w:numPr>
          <w:ilvl w:val="0"/>
          <w:numId w:val="11"/>
        </w:numPr>
        <w:contextualSpacing/>
        <w:jc w:val="both"/>
        <w:rPr>
          <w:rFonts w:cstheme="minorHAnsi"/>
          <w:iCs/>
          <w:sz w:val="24"/>
          <w:szCs w:val="24"/>
        </w:rPr>
      </w:pPr>
      <w:r w:rsidRPr="00384846">
        <w:rPr>
          <w:rFonts w:cstheme="minorHAnsi"/>
          <w:b/>
          <w:iCs/>
          <w:sz w:val="24"/>
          <w:szCs w:val="24"/>
        </w:rPr>
        <w:t>Azione 3.1.1</w:t>
      </w:r>
      <w:r w:rsidRPr="00384846">
        <w:rPr>
          <w:rFonts w:cstheme="minorHAnsi"/>
          <w:iCs/>
          <w:sz w:val="24"/>
          <w:szCs w:val="24"/>
        </w:rPr>
        <w:t xml:space="preserve"> - Bando </w:t>
      </w:r>
      <w:r w:rsidR="008B0906" w:rsidRPr="00384846">
        <w:rPr>
          <w:rFonts w:cstheme="minorHAnsi"/>
          <w:iCs/>
          <w:sz w:val="24"/>
          <w:szCs w:val="24"/>
        </w:rPr>
        <w:t xml:space="preserve">2016 </w:t>
      </w:r>
      <w:r w:rsidRPr="00384846">
        <w:rPr>
          <w:rFonts w:cstheme="minorHAnsi"/>
          <w:iCs/>
          <w:sz w:val="24"/>
          <w:szCs w:val="24"/>
        </w:rPr>
        <w:t xml:space="preserve">per Interventi di sostegno alle aree territoriali colpite da crisi diffusa delle attività produttive, </w:t>
      </w:r>
      <w:r w:rsidR="008B0906" w:rsidRPr="00384846">
        <w:rPr>
          <w:rFonts w:cstheme="minorHAnsi"/>
          <w:iCs/>
          <w:sz w:val="24"/>
          <w:szCs w:val="24"/>
        </w:rPr>
        <w:t xml:space="preserve">area di crisi Merloni </w:t>
      </w:r>
      <w:r w:rsidRPr="00384846">
        <w:rPr>
          <w:rFonts w:cstheme="minorHAnsi"/>
          <w:iCs/>
          <w:sz w:val="24"/>
          <w:szCs w:val="24"/>
        </w:rPr>
        <w:t xml:space="preserve">finanziati 15 progetti, tutti </w:t>
      </w:r>
      <w:r w:rsidR="00954A63" w:rsidRPr="00384846">
        <w:rPr>
          <w:rFonts w:cstheme="minorHAnsi"/>
          <w:iCs/>
          <w:sz w:val="24"/>
          <w:szCs w:val="24"/>
        </w:rPr>
        <w:t>finiti</w:t>
      </w:r>
      <w:r w:rsidRPr="00384846">
        <w:rPr>
          <w:rFonts w:cstheme="minorHAnsi"/>
          <w:iCs/>
          <w:sz w:val="24"/>
          <w:szCs w:val="24"/>
        </w:rPr>
        <w:t>.</w:t>
      </w:r>
      <w:r w:rsidR="00954A63" w:rsidRPr="00384846">
        <w:rPr>
          <w:rFonts w:cstheme="minorHAnsi"/>
          <w:iCs/>
          <w:sz w:val="24"/>
          <w:szCs w:val="24"/>
        </w:rPr>
        <w:t xml:space="preserve"> Le aziende ammesse sono 24, di cui 11 hanno anche rendicontato la spesa per circa 1,5 </w:t>
      </w:r>
      <w:proofErr w:type="spellStart"/>
      <w:r w:rsidR="00954A63" w:rsidRPr="00384846">
        <w:rPr>
          <w:rFonts w:cstheme="minorHAnsi"/>
          <w:iCs/>
          <w:sz w:val="24"/>
          <w:szCs w:val="24"/>
        </w:rPr>
        <w:t>meuro</w:t>
      </w:r>
      <w:proofErr w:type="spellEnd"/>
      <w:r w:rsidR="00954A63" w:rsidRPr="00384846">
        <w:rPr>
          <w:rFonts w:cstheme="minorHAnsi"/>
          <w:iCs/>
          <w:sz w:val="24"/>
          <w:szCs w:val="24"/>
        </w:rPr>
        <w:t>.</w:t>
      </w:r>
    </w:p>
    <w:p w:rsidR="00954A63" w:rsidRDefault="00A64093" w:rsidP="00384846">
      <w:pPr>
        <w:ind w:left="720"/>
        <w:contextualSpacing/>
        <w:jc w:val="both"/>
        <w:rPr>
          <w:rFonts w:cstheme="minorHAnsi"/>
          <w:iCs/>
          <w:sz w:val="24"/>
          <w:szCs w:val="24"/>
          <w:highlight w:val="yellow"/>
        </w:rPr>
      </w:pPr>
      <w:r w:rsidRPr="00384846">
        <w:rPr>
          <w:rFonts w:cstheme="minorHAnsi"/>
          <w:iCs/>
          <w:sz w:val="24"/>
          <w:szCs w:val="24"/>
        </w:rPr>
        <w:t>Bando 2018 per Interventi di sostegno alle aree territoriali colpite da crisi diffusa delle attività produttive, area di crisi Terni-Narni. L'intervento è stato avviato nell'ambito dell'Accordo di Programma per area di crisi complessa Terni-Narni: sono stati presentati 64</w:t>
      </w:r>
      <w:r w:rsidRPr="00A64093">
        <w:rPr>
          <w:rFonts w:cstheme="minorHAnsi"/>
          <w:iCs/>
          <w:sz w:val="24"/>
          <w:szCs w:val="24"/>
        </w:rPr>
        <w:t xml:space="preserve"> progetti che prevedono 24.977.000 euro di investimenti, 112 nuovi occupati e 6.914.000 contributi richiesti.</w:t>
      </w:r>
      <w:r>
        <w:rPr>
          <w:rFonts w:cstheme="minorHAnsi"/>
          <w:iCs/>
          <w:sz w:val="24"/>
          <w:szCs w:val="24"/>
        </w:rPr>
        <w:t xml:space="preserve"> </w:t>
      </w:r>
      <w:r w:rsidRPr="00A64093">
        <w:rPr>
          <w:rFonts w:cstheme="minorHAnsi"/>
          <w:iCs/>
          <w:sz w:val="24"/>
          <w:szCs w:val="24"/>
        </w:rPr>
        <w:t>La Graduatoria è stata pubblicata il 17/4/2019: 58 domande ammissibili per un totale di 5.559.014,01 di cui 33 finanziabili fino alla dot. Finanziaria dell’avviso.</w:t>
      </w:r>
    </w:p>
    <w:p w:rsidR="00D0102E" w:rsidRPr="00D0102E" w:rsidRDefault="00372268" w:rsidP="00D0102E">
      <w:pPr>
        <w:numPr>
          <w:ilvl w:val="0"/>
          <w:numId w:val="11"/>
        </w:numPr>
        <w:contextualSpacing/>
        <w:jc w:val="both"/>
        <w:rPr>
          <w:rFonts w:cstheme="minorHAnsi"/>
          <w:b/>
          <w:iCs/>
          <w:sz w:val="24"/>
          <w:szCs w:val="24"/>
        </w:rPr>
      </w:pPr>
      <w:r w:rsidRPr="00D0102E">
        <w:rPr>
          <w:rFonts w:cstheme="minorHAnsi"/>
          <w:b/>
          <w:iCs/>
          <w:sz w:val="24"/>
          <w:szCs w:val="24"/>
        </w:rPr>
        <w:t>Azione 3.2.1</w:t>
      </w:r>
      <w:r w:rsidRPr="00D0102E">
        <w:rPr>
          <w:rFonts w:cstheme="minorHAnsi"/>
          <w:iCs/>
          <w:sz w:val="24"/>
          <w:szCs w:val="24"/>
        </w:rPr>
        <w:t xml:space="preserve"> Bando per il supporto alle imprese culturali, creative </w:t>
      </w:r>
      <w:r w:rsidR="008B0906" w:rsidRPr="00D0102E">
        <w:rPr>
          <w:rFonts w:cstheme="minorHAnsi"/>
          <w:iCs/>
          <w:sz w:val="24"/>
          <w:szCs w:val="24"/>
        </w:rPr>
        <w:t xml:space="preserve">pubblicato a dicembre 2017 e chiuso a febbraio 2018. </w:t>
      </w:r>
      <w:r w:rsidR="00D0102E" w:rsidRPr="00D0102E">
        <w:rPr>
          <w:rFonts w:cstheme="minorHAnsi"/>
          <w:iCs/>
          <w:sz w:val="24"/>
          <w:szCs w:val="24"/>
        </w:rPr>
        <w:t xml:space="preserve">Nel 2019 sono cominciate le liquidazioni degli anticipi a </w:t>
      </w:r>
      <w:r w:rsidR="00D0102E" w:rsidRPr="00D0102E">
        <w:rPr>
          <w:rFonts w:cstheme="minorHAnsi"/>
          <w:iCs/>
          <w:sz w:val="24"/>
          <w:szCs w:val="24"/>
        </w:rPr>
        <w:lastRenderedPageBreak/>
        <w:t>seguito dell'istruttoria positiva. Inoltre sono state implementate le procedure per lo scorrimento della graduatoria per n. 3 beneficiari per 1 progetto a seguito di n. 1 rinuncia e le procedure per l'utilizzo delle risorse riservate per n. 2 aree interne per n. 9 Beneficiari di 3 progetti (DD 1494/2019). Seguiranno gli impegni di spesa e le erogazioni degli anticipi</w:t>
      </w:r>
      <w:r w:rsidR="00D0102E">
        <w:rPr>
          <w:rFonts w:cstheme="minorHAnsi"/>
          <w:iCs/>
          <w:sz w:val="24"/>
          <w:szCs w:val="24"/>
        </w:rPr>
        <w:t>.</w:t>
      </w:r>
    </w:p>
    <w:p w:rsidR="00372268" w:rsidRDefault="00D0102E" w:rsidP="00A54A58">
      <w:pPr>
        <w:numPr>
          <w:ilvl w:val="0"/>
          <w:numId w:val="11"/>
        </w:numPr>
        <w:contextualSpacing/>
        <w:jc w:val="both"/>
        <w:rPr>
          <w:rFonts w:cstheme="minorHAnsi"/>
          <w:iCs/>
          <w:sz w:val="24"/>
          <w:szCs w:val="24"/>
        </w:rPr>
      </w:pPr>
      <w:r w:rsidRPr="00D0102E">
        <w:rPr>
          <w:rFonts w:cstheme="minorHAnsi"/>
          <w:iCs/>
          <w:sz w:val="24"/>
          <w:szCs w:val="24"/>
        </w:rPr>
        <w:t xml:space="preserve"> </w:t>
      </w:r>
      <w:r w:rsidR="00372268" w:rsidRPr="00D0102E">
        <w:rPr>
          <w:rFonts w:cstheme="minorHAnsi"/>
          <w:b/>
          <w:iCs/>
          <w:sz w:val="24"/>
          <w:szCs w:val="24"/>
        </w:rPr>
        <w:t xml:space="preserve">Azione 3.2.2 </w:t>
      </w:r>
      <w:r w:rsidR="00436B3D" w:rsidRPr="00D0102E">
        <w:rPr>
          <w:rFonts w:cstheme="minorHAnsi"/>
          <w:iCs/>
          <w:sz w:val="24"/>
          <w:szCs w:val="24"/>
        </w:rPr>
        <w:t xml:space="preserve">Sono </w:t>
      </w:r>
      <w:r w:rsidR="008B0906" w:rsidRPr="00D0102E">
        <w:rPr>
          <w:rFonts w:cstheme="minorHAnsi"/>
          <w:iCs/>
          <w:sz w:val="24"/>
          <w:szCs w:val="24"/>
        </w:rPr>
        <w:t xml:space="preserve">stati avviati tutti  gli interventi </w:t>
      </w:r>
      <w:r w:rsidR="00436B3D" w:rsidRPr="00D0102E">
        <w:rPr>
          <w:rFonts w:cstheme="minorHAnsi"/>
          <w:iCs/>
          <w:sz w:val="24"/>
          <w:szCs w:val="24"/>
        </w:rPr>
        <w:t xml:space="preserve"> a valere del bando per la costruzione e promo-commercializzazione del prodotto turistica Umbria Charme.</w:t>
      </w:r>
      <w:r w:rsidR="00A54A58" w:rsidRPr="00A54A58">
        <w:t xml:space="preserve"> </w:t>
      </w:r>
      <w:r w:rsidR="00A54A58" w:rsidRPr="00A54A58">
        <w:rPr>
          <w:rFonts w:cstheme="minorHAnsi"/>
          <w:iCs/>
          <w:sz w:val="24"/>
          <w:szCs w:val="24"/>
        </w:rPr>
        <w:t xml:space="preserve">Nel dicembre 2018 è stato pubblicato il “Bando per la costruzione e la promo-commercializzazione dei prodotti turistici “Le pievi e i sentieri del Trasimeno”, Trasimeno lago felice” e “Vivi il Trasimeno”. (Scadenza domande 18 febbraio 2019). </w:t>
      </w:r>
      <w:r w:rsidR="00A54A58">
        <w:rPr>
          <w:rFonts w:cstheme="minorHAnsi"/>
          <w:iCs/>
          <w:sz w:val="24"/>
          <w:szCs w:val="24"/>
        </w:rPr>
        <w:t>E’ in corso l’</w:t>
      </w:r>
      <w:r w:rsidR="00A54A58" w:rsidRPr="00A54A58">
        <w:rPr>
          <w:rFonts w:cstheme="minorHAnsi"/>
          <w:iCs/>
          <w:sz w:val="24"/>
          <w:szCs w:val="24"/>
        </w:rPr>
        <w:t>istruttoria delle domande</w:t>
      </w:r>
      <w:r w:rsidR="00A54A58">
        <w:rPr>
          <w:rFonts w:cstheme="minorHAnsi"/>
          <w:iCs/>
          <w:sz w:val="24"/>
          <w:szCs w:val="24"/>
        </w:rPr>
        <w:t>.</w:t>
      </w:r>
    </w:p>
    <w:p w:rsidR="00E71E7C" w:rsidRPr="00E71E7C" w:rsidRDefault="00E71E7C" w:rsidP="00E71E7C">
      <w:pPr>
        <w:numPr>
          <w:ilvl w:val="0"/>
          <w:numId w:val="11"/>
        </w:numPr>
        <w:contextualSpacing/>
        <w:jc w:val="both"/>
        <w:rPr>
          <w:rFonts w:cstheme="minorHAnsi"/>
          <w:iCs/>
          <w:sz w:val="24"/>
          <w:szCs w:val="24"/>
        </w:rPr>
      </w:pPr>
      <w:r w:rsidRPr="00E71E7C">
        <w:rPr>
          <w:rFonts w:cstheme="minorHAnsi"/>
          <w:b/>
          <w:iCs/>
          <w:sz w:val="24"/>
          <w:szCs w:val="24"/>
        </w:rPr>
        <w:t>Azione 3.3.1</w:t>
      </w:r>
      <w:r w:rsidRPr="00E71E7C">
        <w:rPr>
          <w:rFonts w:cstheme="minorHAnsi"/>
          <w:iCs/>
          <w:sz w:val="24"/>
          <w:szCs w:val="24"/>
        </w:rPr>
        <w:t xml:space="preserve"> Con DGR 1393/2018 è stato approvato il Programma per l'internazionalizzazione delle imprese anno 2019. Con DD </w:t>
      </w:r>
      <w:r w:rsidR="006134DF">
        <w:rPr>
          <w:rFonts w:cstheme="minorHAnsi"/>
          <w:iCs/>
          <w:sz w:val="24"/>
          <w:szCs w:val="24"/>
        </w:rPr>
        <w:t xml:space="preserve">n. </w:t>
      </w:r>
      <w:r w:rsidRPr="00E71E7C">
        <w:rPr>
          <w:rFonts w:cstheme="minorHAnsi"/>
          <w:iCs/>
          <w:sz w:val="24"/>
          <w:szCs w:val="24"/>
        </w:rPr>
        <w:t xml:space="preserve">1498/2019 è stata prorogata la scadenza al 05/07/2019 dell’Avviso Pubblico Voucher per servizi </w:t>
      </w:r>
      <w:proofErr w:type="spellStart"/>
      <w:r w:rsidRPr="00E71E7C">
        <w:rPr>
          <w:rFonts w:cstheme="minorHAnsi"/>
          <w:iCs/>
          <w:sz w:val="24"/>
          <w:szCs w:val="24"/>
        </w:rPr>
        <w:t>consulenziali</w:t>
      </w:r>
      <w:proofErr w:type="spellEnd"/>
      <w:r w:rsidRPr="00E71E7C">
        <w:rPr>
          <w:rFonts w:cstheme="minorHAnsi"/>
          <w:iCs/>
          <w:sz w:val="24"/>
          <w:szCs w:val="24"/>
        </w:rPr>
        <w:t xml:space="preserve"> </w:t>
      </w:r>
      <w:r w:rsidR="006134DF">
        <w:rPr>
          <w:rFonts w:cstheme="minorHAnsi"/>
          <w:iCs/>
          <w:sz w:val="24"/>
          <w:szCs w:val="24"/>
        </w:rPr>
        <w:t>da parte dell’OI</w:t>
      </w:r>
      <w:r w:rsidRPr="00E71E7C">
        <w:rPr>
          <w:rFonts w:cstheme="minorHAnsi"/>
          <w:iCs/>
          <w:sz w:val="24"/>
          <w:szCs w:val="24"/>
        </w:rPr>
        <w:t xml:space="preserve"> </w:t>
      </w:r>
      <w:proofErr w:type="spellStart"/>
      <w:r w:rsidRPr="00E71E7C">
        <w:rPr>
          <w:rFonts w:cstheme="minorHAnsi"/>
          <w:iCs/>
          <w:sz w:val="24"/>
          <w:szCs w:val="24"/>
        </w:rPr>
        <w:t>Sviluppumbria</w:t>
      </w:r>
      <w:proofErr w:type="spellEnd"/>
      <w:r w:rsidRPr="00E71E7C">
        <w:rPr>
          <w:rFonts w:cstheme="minorHAnsi"/>
          <w:iCs/>
          <w:sz w:val="24"/>
          <w:szCs w:val="24"/>
        </w:rPr>
        <w:t xml:space="preserve"> Spa, di cui alla DGR 1393 /2018.</w:t>
      </w:r>
    </w:p>
    <w:p w:rsidR="00E71E7C" w:rsidRPr="00E71E7C" w:rsidRDefault="00E71E7C" w:rsidP="00E71E7C">
      <w:pPr>
        <w:ind w:left="720"/>
        <w:contextualSpacing/>
        <w:jc w:val="both"/>
        <w:rPr>
          <w:rFonts w:cstheme="minorHAnsi"/>
          <w:iCs/>
          <w:sz w:val="24"/>
          <w:szCs w:val="24"/>
        </w:rPr>
      </w:pPr>
      <w:r w:rsidRPr="00E71E7C">
        <w:rPr>
          <w:rFonts w:cstheme="minorHAnsi"/>
          <w:iCs/>
          <w:sz w:val="24"/>
          <w:szCs w:val="24"/>
        </w:rPr>
        <w:t>La Regione Umbria con DGR</w:t>
      </w:r>
      <w:r w:rsidR="006134DF">
        <w:rPr>
          <w:rFonts w:cstheme="minorHAnsi"/>
          <w:iCs/>
          <w:sz w:val="24"/>
          <w:szCs w:val="24"/>
        </w:rPr>
        <w:t xml:space="preserve"> </w:t>
      </w:r>
      <w:r w:rsidRPr="00E71E7C">
        <w:rPr>
          <w:rFonts w:cstheme="minorHAnsi"/>
          <w:iCs/>
          <w:sz w:val="24"/>
          <w:szCs w:val="24"/>
        </w:rPr>
        <w:t>398/2019 ha approvato gli indirizzi e i criteri per la definizione dell'avviso pubblico: "Internazionalizzazione delle imprese e professionisti - anno 2019", che si prevede sarà pubblicato entro i prossimi mesi.</w:t>
      </w:r>
    </w:p>
    <w:p w:rsidR="008B0906" w:rsidRPr="00D517C3" w:rsidRDefault="008B0906" w:rsidP="00D517C3">
      <w:pPr>
        <w:numPr>
          <w:ilvl w:val="0"/>
          <w:numId w:val="11"/>
        </w:numPr>
        <w:contextualSpacing/>
        <w:jc w:val="both"/>
        <w:rPr>
          <w:rFonts w:cstheme="minorHAnsi"/>
          <w:iCs/>
          <w:sz w:val="24"/>
          <w:szCs w:val="24"/>
        </w:rPr>
      </w:pPr>
      <w:r w:rsidRPr="00D517C3">
        <w:rPr>
          <w:rFonts w:cstheme="minorHAnsi"/>
          <w:b/>
          <w:iCs/>
          <w:sz w:val="24"/>
          <w:szCs w:val="24"/>
        </w:rPr>
        <w:t xml:space="preserve">Azione 3.4.1 </w:t>
      </w:r>
      <w:r w:rsidR="00D517C3">
        <w:rPr>
          <w:rFonts w:cstheme="minorHAnsi"/>
          <w:iCs/>
          <w:sz w:val="24"/>
          <w:szCs w:val="24"/>
        </w:rPr>
        <w:t>Bando PIA 2018, dal titolo “</w:t>
      </w:r>
      <w:r w:rsidRPr="00D517C3">
        <w:rPr>
          <w:rFonts w:cstheme="minorHAnsi"/>
          <w:iCs/>
          <w:sz w:val="24"/>
          <w:szCs w:val="24"/>
        </w:rPr>
        <w:t>Aiuti per investimenti in macchinari, impianti e beni tangibili e accompagnamento dei processi di riorganizzazione e ristrutturazione aziendale</w:t>
      </w:r>
      <w:r w:rsidR="00D517C3">
        <w:rPr>
          <w:rFonts w:cstheme="minorHAnsi"/>
          <w:iCs/>
          <w:sz w:val="24"/>
          <w:szCs w:val="24"/>
        </w:rPr>
        <w:t>”</w:t>
      </w:r>
      <w:r w:rsidRPr="00D517C3">
        <w:rPr>
          <w:rFonts w:cstheme="minorHAnsi"/>
          <w:iCs/>
          <w:sz w:val="24"/>
          <w:szCs w:val="24"/>
        </w:rPr>
        <w:t>.</w:t>
      </w:r>
      <w:r w:rsidR="00D517C3" w:rsidRPr="00D517C3">
        <w:rPr>
          <w:rFonts w:cstheme="minorHAnsi"/>
          <w:iCs/>
          <w:sz w:val="24"/>
          <w:szCs w:val="24"/>
        </w:rPr>
        <w:t xml:space="preserve"> </w:t>
      </w:r>
    </w:p>
    <w:p w:rsidR="00FA4B78" w:rsidRDefault="00FA4B78" w:rsidP="00D517C3">
      <w:pPr>
        <w:ind w:left="720"/>
        <w:contextualSpacing/>
        <w:jc w:val="both"/>
        <w:rPr>
          <w:rFonts w:cstheme="minorHAnsi"/>
          <w:iCs/>
          <w:sz w:val="24"/>
          <w:szCs w:val="24"/>
          <w:highlight w:val="yellow"/>
        </w:rPr>
      </w:pPr>
      <w:r>
        <w:rPr>
          <w:rFonts w:cstheme="minorHAnsi"/>
          <w:iCs/>
          <w:sz w:val="24"/>
          <w:szCs w:val="24"/>
        </w:rPr>
        <w:t xml:space="preserve">Sono state </w:t>
      </w:r>
      <w:r w:rsidRPr="00FA4B78">
        <w:rPr>
          <w:rFonts w:cstheme="minorHAnsi"/>
          <w:iCs/>
          <w:sz w:val="24"/>
          <w:szCs w:val="24"/>
        </w:rPr>
        <w:t>finanziate n. 58</w:t>
      </w:r>
      <w:r>
        <w:rPr>
          <w:rFonts w:cstheme="minorHAnsi"/>
          <w:iCs/>
          <w:sz w:val="24"/>
          <w:szCs w:val="24"/>
        </w:rPr>
        <w:t xml:space="preserve"> domande </w:t>
      </w:r>
      <w:r w:rsidRPr="00FA4B78">
        <w:rPr>
          <w:rFonts w:cstheme="minorHAnsi"/>
          <w:iCs/>
          <w:sz w:val="24"/>
          <w:szCs w:val="24"/>
        </w:rPr>
        <w:t xml:space="preserve">per un contributo pari a 5 </w:t>
      </w:r>
      <w:proofErr w:type="spellStart"/>
      <w:r>
        <w:rPr>
          <w:rFonts w:cstheme="minorHAnsi"/>
          <w:iCs/>
          <w:sz w:val="24"/>
          <w:szCs w:val="24"/>
        </w:rPr>
        <w:t>m</w:t>
      </w:r>
      <w:r w:rsidRPr="00FA4B78">
        <w:rPr>
          <w:rFonts w:cstheme="minorHAnsi"/>
          <w:iCs/>
          <w:sz w:val="24"/>
          <w:szCs w:val="24"/>
        </w:rPr>
        <w:t>euro</w:t>
      </w:r>
      <w:proofErr w:type="spellEnd"/>
      <w:r w:rsidRPr="00FA4B78">
        <w:rPr>
          <w:rFonts w:cstheme="minorHAnsi"/>
          <w:iCs/>
          <w:sz w:val="24"/>
          <w:szCs w:val="24"/>
        </w:rPr>
        <w:t xml:space="preserve"> e spesa totale pari a 21,2 milioni. </w:t>
      </w:r>
      <w:r>
        <w:rPr>
          <w:rFonts w:cstheme="minorHAnsi"/>
          <w:iCs/>
          <w:sz w:val="24"/>
          <w:szCs w:val="24"/>
        </w:rPr>
        <w:t>E’ in corso l</w:t>
      </w:r>
      <w:r w:rsidRPr="00FA4B78">
        <w:rPr>
          <w:rFonts w:cstheme="minorHAnsi"/>
          <w:iCs/>
          <w:sz w:val="24"/>
          <w:szCs w:val="24"/>
        </w:rPr>
        <w:t xml:space="preserve">a liquidazione degli anticipi e </w:t>
      </w:r>
      <w:r>
        <w:rPr>
          <w:rFonts w:cstheme="minorHAnsi"/>
          <w:iCs/>
          <w:sz w:val="24"/>
          <w:szCs w:val="24"/>
        </w:rPr>
        <w:t xml:space="preserve">dei </w:t>
      </w:r>
      <w:r w:rsidRPr="00FA4B78">
        <w:rPr>
          <w:rFonts w:cstheme="minorHAnsi"/>
          <w:iCs/>
          <w:sz w:val="24"/>
          <w:szCs w:val="24"/>
        </w:rPr>
        <w:t>saldi</w:t>
      </w:r>
      <w:r>
        <w:rPr>
          <w:rFonts w:cstheme="minorHAnsi"/>
          <w:iCs/>
          <w:sz w:val="24"/>
          <w:szCs w:val="24"/>
        </w:rPr>
        <w:t>.</w:t>
      </w:r>
    </w:p>
    <w:p w:rsidR="00102682" w:rsidRPr="00FA4B78" w:rsidRDefault="00FA4B78" w:rsidP="00102682">
      <w:pPr>
        <w:ind w:left="708"/>
        <w:contextualSpacing/>
        <w:jc w:val="both"/>
        <w:rPr>
          <w:rFonts w:cstheme="minorHAnsi"/>
          <w:iCs/>
          <w:sz w:val="24"/>
          <w:szCs w:val="24"/>
        </w:rPr>
      </w:pPr>
      <w:r w:rsidRPr="00FA4B78">
        <w:rPr>
          <w:rFonts w:cstheme="minorHAnsi"/>
          <w:iCs/>
          <w:sz w:val="24"/>
          <w:szCs w:val="24"/>
        </w:rPr>
        <w:t xml:space="preserve">Nuovo Bando PIA 2019. “Avviso a sostegno investimenti innovativi 2019”. </w:t>
      </w:r>
      <w:r w:rsidR="00102682">
        <w:rPr>
          <w:rFonts w:cstheme="minorHAnsi"/>
          <w:iCs/>
          <w:sz w:val="24"/>
          <w:szCs w:val="24"/>
        </w:rPr>
        <w:t xml:space="preserve">Con la DGR 533/2019 sono state approvate le linee </w:t>
      </w:r>
      <w:r w:rsidR="00102682" w:rsidRPr="00102682">
        <w:rPr>
          <w:rFonts w:cstheme="minorHAnsi"/>
          <w:iCs/>
          <w:sz w:val="24"/>
          <w:szCs w:val="24"/>
        </w:rPr>
        <w:t>guida per la predisposizione dell’avviso a sostegno degli investimenti innovativi 2019.</w:t>
      </w:r>
      <w:r w:rsidR="00D517C3">
        <w:rPr>
          <w:rFonts w:cstheme="minorHAnsi"/>
          <w:iCs/>
          <w:sz w:val="24"/>
          <w:szCs w:val="24"/>
        </w:rPr>
        <w:t xml:space="preserve"> Nei prossimi mesi verrà emanato il Bando.</w:t>
      </w:r>
    </w:p>
    <w:p w:rsidR="008B0906" w:rsidRPr="005A1D5E" w:rsidRDefault="008B0906" w:rsidP="00372268">
      <w:pPr>
        <w:numPr>
          <w:ilvl w:val="0"/>
          <w:numId w:val="11"/>
        </w:numPr>
        <w:contextualSpacing/>
        <w:jc w:val="both"/>
        <w:rPr>
          <w:b/>
          <w:color w:val="4F81BD" w:themeColor="accent1"/>
          <w:sz w:val="24"/>
          <w:szCs w:val="24"/>
        </w:rPr>
      </w:pPr>
      <w:r w:rsidRPr="00C7732C">
        <w:rPr>
          <w:rFonts w:cstheme="minorHAnsi"/>
          <w:b/>
          <w:sz w:val="24"/>
          <w:szCs w:val="24"/>
        </w:rPr>
        <w:t>Azione 3.6.1 e 3.6.2</w:t>
      </w:r>
      <w:r w:rsidRPr="008B0906">
        <w:rPr>
          <w:rFonts w:cstheme="minorHAnsi"/>
          <w:sz w:val="24"/>
          <w:szCs w:val="24"/>
        </w:rPr>
        <w:t xml:space="preserve"> a seguito dell’aggiudicazione della gara </w:t>
      </w:r>
      <w:r w:rsidR="00372268" w:rsidRPr="008B0906">
        <w:rPr>
          <w:rFonts w:cstheme="minorHAnsi"/>
          <w:sz w:val="24"/>
          <w:szCs w:val="24"/>
        </w:rPr>
        <w:t xml:space="preserve"> per la gestione</w:t>
      </w:r>
      <w:r w:rsidR="00376CEB" w:rsidRPr="008B0906">
        <w:rPr>
          <w:rFonts w:cstheme="minorHAnsi"/>
          <w:sz w:val="24"/>
          <w:szCs w:val="24"/>
        </w:rPr>
        <w:t xml:space="preserve"> </w:t>
      </w:r>
      <w:r w:rsidR="00372268" w:rsidRPr="008B0906">
        <w:rPr>
          <w:rFonts w:cstheme="minorHAnsi"/>
          <w:iCs/>
          <w:sz w:val="24"/>
          <w:szCs w:val="24"/>
        </w:rPr>
        <w:t xml:space="preserve">degli </w:t>
      </w:r>
      <w:r w:rsidR="00376CEB" w:rsidRPr="008B0906">
        <w:rPr>
          <w:rFonts w:cstheme="minorHAnsi"/>
          <w:iCs/>
          <w:sz w:val="24"/>
          <w:szCs w:val="24"/>
        </w:rPr>
        <w:t xml:space="preserve">strumenti finanziari (Fondo </w:t>
      </w:r>
      <w:proofErr w:type="spellStart"/>
      <w:r w:rsidR="00376CEB" w:rsidRPr="008B0906">
        <w:rPr>
          <w:rFonts w:cstheme="minorHAnsi"/>
          <w:iCs/>
          <w:sz w:val="24"/>
          <w:szCs w:val="24"/>
        </w:rPr>
        <w:t>Equity</w:t>
      </w:r>
      <w:proofErr w:type="spellEnd"/>
      <w:r w:rsidR="00376CEB" w:rsidRPr="008B0906">
        <w:rPr>
          <w:rFonts w:cstheme="minorHAnsi"/>
          <w:iCs/>
          <w:sz w:val="24"/>
          <w:szCs w:val="24"/>
        </w:rPr>
        <w:t xml:space="preserve"> e quasi </w:t>
      </w:r>
      <w:proofErr w:type="spellStart"/>
      <w:r w:rsidR="00376CEB" w:rsidRPr="008B0906">
        <w:rPr>
          <w:rFonts w:cstheme="minorHAnsi"/>
          <w:iCs/>
          <w:sz w:val="24"/>
          <w:szCs w:val="24"/>
        </w:rPr>
        <w:t>Equity</w:t>
      </w:r>
      <w:proofErr w:type="spellEnd"/>
      <w:r w:rsidR="00376CEB" w:rsidRPr="008B0906">
        <w:rPr>
          <w:rFonts w:cstheme="minorHAnsi"/>
          <w:iCs/>
          <w:sz w:val="24"/>
          <w:szCs w:val="24"/>
        </w:rPr>
        <w:t>, Fondo Garanzie e Fondo Rotativo per l’</w:t>
      </w:r>
      <w:proofErr w:type="spellStart"/>
      <w:r w:rsidR="00376CEB" w:rsidRPr="008B0906">
        <w:rPr>
          <w:rFonts w:cstheme="minorHAnsi"/>
          <w:iCs/>
          <w:sz w:val="24"/>
          <w:szCs w:val="24"/>
        </w:rPr>
        <w:t>efficientamento</w:t>
      </w:r>
      <w:proofErr w:type="spellEnd"/>
      <w:r w:rsidR="00376CEB" w:rsidRPr="008B0906">
        <w:rPr>
          <w:rFonts w:cstheme="minorHAnsi"/>
          <w:iCs/>
          <w:sz w:val="24"/>
          <w:szCs w:val="24"/>
        </w:rPr>
        <w:t xml:space="preserve"> energetico) a valere sia sulle Azioni dell’Asse III sia sulle Azioni dell’Asse I e IV, </w:t>
      </w:r>
      <w:r w:rsidRPr="008B0906">
        <w:rPr>
          <w:rFonts w:cstheme="minorHAnsi"/>
          <w:iCs/>
          <w:sz w:val="24"/>
          <w:szCs w:val="24"/>
        </w:rPr>
        <w:t>sono state avviate le attività</w:t>
      </w:r>
      <w:r w:rsidR="00376CEB" w:rsidRPr="008B0906">
        <w:rPr>
          <w:rFonts w:cstheme="minorHAnsi"/>
          <w:iCs/>
          <w:sz w:val="24"/>
          <w:szCs w:val="24"/>
        </w:rPr>
        <w:t xml:space="preserve">. </w:t>
      </w:r>
    </w:p>
    <w:p w:rsidR="00AB1F51" w:rsidRDefault="00372268" w:rsidP="005A1D5E">
      <w:pPr>
        <w:numPr>
          <w:ilvl w:val="0"/>
          <w:numId w:val="11"/>
        </w:numPr>
        <w:spacing w:after="0" w:line="240" w:lineRule="atLeast"/>
        <w:ind w:left="709" w:hanging="283"/>
        <w:contextualSpacing/>
        <w:jc w:val="both"/>
        <w:rPr>
          <w:rFonts w:cstheme="minorHAnsi"/>
          <w:sz w:val="24"/>
          <w:szCs w:val="24"/>
        </w:rPr>
      </w:pPr>
      <w:r w:rsidRPr="00AB1F51">
        <w:rPr>
          <w:rFonts w:cstheme="minorHAnsi"/>
          <w:b/>
          <w:iCs/>
          <w:sz w:val="24"/>
          <w:szCs w:val="24"/>
        </w:rPr>
        <w:t xml:space="preserve">Azione 3.5.1 </w:t>
      </w:r>
      <w:r w:rsidRPr="00AB1F51">
        <w:rPr>
          <w:rFonts w:cstheme="minorHAnsi"/>
          <w:iCs/>
          <w:sz w:val="24"/>
          <w:szCs w:val="24"/>
        </w:rPr>
        <w:t>(economia sociale)</w:t>
      </w:r>
      <w:r w:rsidRPr="00AB1F51">
        <w:rPr>
          <w:rFonts w:cstheme="minorHAnsi"/>
          <w:iCs/>
          <w:sz w:val="24"/>
          <w:szCs w:val="24"/>
        </w:rPr>
        <w:softHyphen/>
        <w:t xml:space="preserve"> </w:t>
      </w:r>
      <w:r w:rsidR="00AB1F51" w:rsidRPr="00AB1F51">
        <w:rPr>
          <w:rFonts w:cstheme="minorHAnsi"/>
          <w:sz w:val="24"/>
          <w:szCs w:val="24"/>
        </w:rPr>
        <w:t>Avviso pubblico in regime di concessione ex art. 12 L. 241/90 per la presentazione di progetti sperimentali del terzo settore _ Azioni innovative di welfare territoriale in attuazione delle misure previste da POR FSE 2014-2020 Regione Umbria- ASSE 2_ Inclusione sociale e lotta alla povertà e POR FESR 2014-2020 Regione Umbria- ASSE 3_ Competitività delle PMI. 2.1 (DD n. 5100 del 25/05/2018)” – sono stati ammessi a finanziamento n. 15 progetti che risultano in corso di attuazione.</w:t>
      </w:r>
    </w:p>
    <w:p w:rsidR="00F56D1E" w:rsidRPr="00AB1F51" w:rsidRDefault="00F56D1E" w:rsidP="00F56D1E">
      <w:pPr>
        <w:spacing w:after="0" w:line="240" w:lineRule="atLeast"/>
        <w:ind w:left="709"/>
        <w:contextualSpacing/>
        <w:jc w:val="both"/>
        <w:rPr>
          <w:rFonts w:cstheme="minorHAnsi"/>
          <w:sz w:val="24"/>
          <w:szCs w:val="24"/>
        </w:rPr>
      </w:pPr>
    </w:p>
    <w:p w:rsidR="00AB1F51" w:rsidRDefault="00AB1F51" w:rsidP="00F56D1E">
      <w:pPr>
        <w:ind w:left="720"/>
        <w:contextualSpacing/>
        <w:jc w:val="both"/>
        <w:rPr>
          <w:color w:val="4F81BD" w:themeColor="accent1"/>
          <w:sz w:val="24"/>
          <w:szCs w:val="24"/>
        </w:rPr>
      </w:pPr>
    </w:p>
    <w:p w:rsidR="00500CEB" w:rsidRPr="00F56D1E" w:rsidRDefault="00500CEB" w:rsidP="00F56D1E">
      <w:pPr>
        <w:spacing w:after="120" w:line="240" w:lineRule="atLeast"/>
        <w:rPr>
          <w:b/>
          <w:color w:val="4F81BD" w:themeColor="accent1"/>
          <w:sz w:val="24"/>
          <w:szCs w:val="24"/>
        </w:rPr>
      </w:pPr>
      <w:r w:rsidRPr="00951190">
        <w:rPr>
          <w:b/>
          <w:color w:val="4F81BD" w:themeColor="accent1"/>
          <w:sz w:val="24"/>
          <w:szCs w:val="24"/>
        </w:rPr>
        <w:t>Asse IV  Energia sostenibile</w:t>
      </w:r>
    </w:p>
    <w:p w:rsidR="0008178C" w:rsidRPr="00F56D1E" w:rsidRDefault="00500CEB" w:rsidP="00F56D1E">
      <w:pPr>
        <w:pStyle w:val="Paragrafoelenco"/>
        <w:numPr>
          <w:ilvl w:val="0"/>
          <w:numId w:val="19"/>
        </w:numPr>
        <w:spacing w:after="120" w:line="240" w:lineRule="atLeast"/>
        <w:ind w:left="709" w:hanging="283"/>
        <w:jc w:val="both"/>
        <w:rPr>
          <w:rFonts w:cstheme="minorHAnsi"/>
          <w:iCs/>
          <w:sz w:val="24"/>
          <w:szCs w:val="24"/>
        </w:rPr>
      </w:pPr>
      <w:r w:rsidRPr="00F56D1E">
        <w:rPr>
          <w:b/>
          <w:sz w:val="24"/>
          <w:szCs w:val="24"/>
        </w:rPr>
        <w:t xml:space="preserve">Azione 4.1.1 </w:t>
      </w:r>
      <w:r w:rsidR="008B0906" w:rsidRPr="00F56D1E">
        <w:rPr>
          <w:b/>
          <w:sz w:val="24"/>
          <w:szCs w:val="24"/>
        </w:rPr>
        <w:t>–</w:t>
      </w:r>
      <w:r w:rsidR="00920CF5" w:rsidRPr="00F56D1E">
        <w:rPr>
          <w:b/>
          <w:sz w:val="24"/>
          <w:szCs w:val="24"/>
        </w:rPr>
        <w:t xml:space="preserve"> </w:t>
      </w:r>
      <w:r w:rsidR="00920CF5" w:rsidRPr="00F56D1E">
        <w:rPr>
          <w:sz w:val="24"/>
          <w:szCs w:val="24"/>
        </w:rPr>
        <w:t>La Regione Umbria</w:t>
      </w:r>
      <w:r w:rsidR="0008178C" w:rsidRPr="00F56D1E">
        <w:rPr>
          <w:sz w:val="24"/>
          <w:szCs w:val="24"/>
        </w:rPr>
        <w:t xml:space="preserve"> con la DGR 553/2019 ha approvato le linee guida per la predisposizione dell’Avviso</w:t>
      </w:r>
      <w:r w:rsidR="0008178C" w:rsidRPr="00F56D1E">
        <w:rPr>
          <w:rFonts w:cstheme="minorHAnsi"/>
          <w:iCs/>
          <w:sz w:val="24"/>
          <w:szCs w:val="24"/>
        </w:rPr>
        <w:t xml:space="preserve"> a sportello a sostegno </w:t>
      </w:r>
      <w:r w:rsidR="0008178C" w:rsidRPr="00F56D1E">
        <w:rPr>
          <w:rFonts w:cstheme="minorHAnsi"/>
          <w:sz w:val="24"/>
          <w:szCs w:val="24"/>
        </w:rPr>
        <w:t>agli investimenti per l’efficienza energetica e l’utilizzo delle fonti di energia rinnovabili – Avviso Efficienza energetica 2019, che verrà pubblicato a breve</w:t>
      </w:r>
      <w:r w:rsidR="0008178C" w:rsidRPr="00F56D1E">
        <w:rPr>
          <w:rFonts w:cstheme="minorHAnsi"/>
          <w:lang w:eastAsia="it-IT"/>
        </w:rPr>
        <w:t>.</w:t>
      </w:r>
    </w:p>
    <w:p w:rsidR="00F56D1E" w:rsidRPr="0008178C" w:rsidRDefault="00F56D1E" w:rsidP="00657686">
      <w:pPr>
        <w:pStyle w:val="Paragrafoelenco"/>
        <w:numPr>
          <w:ilvl w:val="0"/>
          <w:numId w:val="12"/>
        </w:numPr>
        <w:jc w:val="both"/>
        <w:rPr>
          <w:rFonts w:cstheme="minorHAnsi"/>
          <w:iCs/>
          <w:sz w:val="24"/>
          <w:szCs w:val="24"/>
        </w:rPr>
      </w:pPr>
      <w:r w:rsidRPr="00F56D1E">
        <w:rPr>
          <w:rFonts w:cstheme="minorHAnsi"/>
          <w:b/>
          <w:iCs/>
          <w:sz w:val="24"/>
          <w:szCs w:val="24"/>
        </w:rPr>
        <w:t>Azione 4.2.2</w:t>
      </w:r>
      <w:r w:rsidRPr="00F56D1E">
        <w:rPr>
          <w:rFonts w:cstheme="minorHAnsi"/>
          <w:iCs/>
          <w:sz w:val="24"/>
          <w:szCs w:val="24"/>
        </w:rPr>
        <w:t xml:space="preserve"> - Bando per la concessione di contributi per la realizzazione di interventi di</w:t>
      </w:r>
      <w:r w:rsidRPr="0008178C">
        <w:rPr>
          <w:rFonts w:cstheme="minorHAnsi"/>
          <w:iCs/>
          <w:sz w:val="24"/>
          <w:szCs w:val="24"/>
        </w:rPr>
        <w:t xml:space="preserve"> </w:t>
      </w:r>
      <w:proofErr w:type="spellStart"/>
      <w:r w:rsidRPr="0008178C">
        <w:rPr>
          <w:rFonts w:cstheme="minorHAnsi"/>
          <w:iCs/>
          <w:sz w:val="24"/>
          <w:szCs w:val="24"/>
        </w:rPr>
        <w:t>efficientamento</w:t>
      </w:r>
      <w:proofErr w:type="spellEnd"/>
      <w:r w:rsidRPr="0008178C">
        <w:rPr>
          <w:rFonts w:cstheme="minorHAnsi"/>
          <w:iCs/>
          <w:sz w:val="24"/>
          <w:szCs w:val="24"/>
        </w:rPr>
        <w:t xml:space="preserve"> energetico degli edifici di proprietà pubblica e destinati ad uso pubblico (DD </w:t>
      </w:r>
      <w:r w:rsidRPr="0008178C">
        <w:rPr>
          <w:rFonts w:cstheme="minorHAnsi"/>
          <w:iCs/>
          <w:sz w:val="24"/>
          <w:szCs w:val="24"/>
        </w:rPr>
        <w:lastRenderedPageBreak/>
        <w:t>2917 del 27/03/2017). Sono</w:t>
      </w:r>
      <w:r w:rsidRPr="0008178C">
        <w:rPr>
          <w:rFonts w:cstheme="minorHAnsi"/>
          <w:sz w:val="24"/>
          <w:szCs w:val="24"/>
        </w:rPr>
        <w:t xml:space="preserve"> in corso di esecuzione i progetti finanziati a valere sulle risorse del bando pubblicato nel 2017.</w:t>
      </w:r>
    </w:p>
    <w:p w:rsidR="00E71E7C" w:rsidRPr="00534FF9" w:rsidRDefault="00DA6055" w:rsidP="00E71E7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40" w:lineRule="atLeast"/>
        <w:ind w:left="709"/>
        <w:jc w:val="both"/>
        <w:rPr>
          <w:rFonts w:cstheme="minorHAnsi"/>
          <w:iCs/>
          <w:sz w:val="24"/>
          <w:szCs w:val="24"/>
        </w:rPr>
      </w:pPr>
      <w:r w:rsidRPr="00534FF9">
        <w:rPr>
          <w:rFonts w:cstheme="minorHAnsi"/>
          <w:b/>
          <w:iCs/>
          <w:sz w:val="24"/>
          <w:szCs w:val="24"/>
        </w:rPr>
        <w:t>Azione</w:t>
      </w:r>
      <w:r w:rsidR="00500CEB" w:rsidRPr="00534FF9">
        <w:rPr>
          <w:rFonts w:cstheme="minorHAnsi"/>
          <w:b/>
          <w:iCs/>
          <w:sz w:val="24"/>
          <w:szCs w:val="24"/>
        </w:rPr>
        <w:t xml:space="preserve"> 4.4.1</w:t>
      </w:r>
      <w:r w:rsidR="006C0456" w:rsidRPr="00534FF9">
        <w:rPr>
          <w:rFonts w:cstheme="minorHAnsi"/>
          <w:iCs/>
          <w:sz w:val="24"/>
          <w:szCs w:val="24"/>
        </w:rPr>
        <w:t xml:space="preserve"> </w:t>
      </w:r>
      <w:r w:rsidR="004C30CE" w:rsidRPr="00534FF9">
        <w:rPr>
          <w:rFonts w:cstheme="minorHAnsi"/>
          <w:iCs/>
          <w:sz w:val="24"/>
          <w:szCs w:val="24"/>
        </w:rPr>
        <w:t>Rinnovo materiale rotabile Avviso 2019 - sostegno agli investimenti per l’aumento della mobilità sostenibile nelle aree urbane di Perugia, Terni, Foligno, Città di Castello e Spoleto</w:t>
      </w:r>
      <w:r w:rsidR="006C0456" w:rsidRPr="00534FF9">
        <w:rPr>
          <w:rFonts w:cstheme="minorHAnsi"/>
          <w:iCs/>
          <w:sz w:val="24"/>
          <w:szCs w:val="24"/>
        </w:rPr>
        <w:t xml:space="preserve">: con la DD </w:t>
      </w:r>
      <w:r w:rsidR="0000102D" w:rsidRPr="00534FF9">
        <w:rPr>
          <w:rFonts w:cstheme="minorHAnsi"/>
          <w:iCs/>
          <w:sz w:val="24"/>
          <w:szCs w:val="24"/>
        </w:rPr>
        <w:t>4518/2019 è stato approvato il</w:t>
      </w:r>
      <w:r w:rsidR="006C0456" w:rsidRPr="00534FF9">
        <w:rPr>
          <w:rFonts w:cstheme="minorHAnsi"/>
          <w:iCs/>
          <w:sz w:val="24"/>
          <w:szCs w:val="24"/>
        </w:rPr>
        <w:t xml:space="preserve"> Bando pubblico</w:t>
      </w:r>
      <w:r w:rsidR="0000102D" w:rsidRPr="00534FF9">
        <w:rPr>
          <w:rFonts w:cstheme="minorHAnsi"/>
          <w:iCs/>
          <w:sz w:val="24"/>
          <w:szCs w:val="24"/>
        </w:rPr>
        <w:t xml:space="preserve"> </w:t>
      </w:r>
      <w:r w:rsidR="006C0456" w:rsidRPr="00534FF9">
        <w:rPr>
          <w:rFonts w:cstheme="minorHAnsi"/>
          <w:iCs/>
          <w:sz w:val="24"/>
          <w:szCs w:val="24"/>
        </w:rPr>
        <w:t>per la concessione di contributi per l’acquisto di veicoli a basse emissioni in</w:t>
      </w:r>
      <w:r w:rsidR="0000102D" w:rsidRPr="00534FF9">
        <w:rPr>
          <w:rFonts w:cstheme="minorHAnsi"/>
          <w:iCs/>
          <w:sz w:val="24"/>
          <w:szCs w:val="24"/>
        </w:rPr>
        <w:t xml:space="preserve"> </w:t>
      </w:r>
      <w:r w:rsidR="006C0456" w:rsidRPr="00534FF9">
        <w:rPr>
          <w:rFonts w:cstheme="minorHAnsi"/>
          <w:iCs/>
          <w:sz w:val="24"/>
          <w:szCs w:val="24"/>
        </w:rPr>
        <w:t>sostituzione di automezzi di scarse prestazioni ambientali utilizzati per il</w:t>
      </w:r>
      <w:r w:rsidR="0000102D" w:rsidRPr="00534FF9">
        <w:rPr>
          <w:rFonts w:cstheme="minorHAnsi"/>
          <w:iCs/>
          <w:sz w:val="24"/>
          <w:szCs w:val="24"/>
        </w:rPr>
        <w:t xml:space="preserve"> </w:t>
      </w:r>
      <w:r w:rsidR="006C0456" w:rsidRPr="00534FF9">
        <w:rPr>
          <w:rFonts w:cstheme="minorHAnsi"/>
          <w:iCs/>
          <w:sz w:val="24"/>
          <w:szCs w:val="24"/>
        </w:rPr>
        <w:t>TPL, per servizi pubblici</w:t>
      </w:r>
      <w:r w:rsidR="007427E5" w:rsidRPr="00534FF9">
        <w:rPr>
          <w:rFonts w:cstheme="minorHAnsi"/>
          <w:iCs/>
          <w:sz w:val="24"/>
          <w:szCs w:val="24"/>
        </w:rPr>
        <w:t xml:space="preserve"> per 8 </w:t>
      </w:r>
      <w:proofErr w:type="spellStart"/>
      <w:r w:rsidR="007427E5" w:rsidRPr="00534FF9">
        <w:rPr>
          <w:rFonts w:cstheme="minorHAnsi"/>
          <w:iCs/>
          <w:sz w:val="24"/>
          <w:szCs w:val="24"/>
        </w:rPr>
        <w:t>meuro</w:t>
      </w:r>
      <w:proofErr w:type="spellEnd"/>
      <w:r w:rsidR="006C0456" w:rsidRPr="00534FF9">
        <w:rPr>
          <w:rFonts w:cstheme="minorHAnsi"/>
          <w:iCs/>
          <w:sz w:val="24"/>
          <w:szCs w:val="24"/>
        </w:rPr>
        <w:t>, in esecuzione della D.G.R. n. 211 del 06/03/2018</w:t>
      </w:r>
      <w:r w:rsidR="0000102D" w:rsidRPr="00534FF9">
        <w:rPr>
          <w:rFonts w:cstheme="minorHAnsi"/>
          <w:iCs/>
          <w:sz w:val="24"/>
          <w:szCs w:val="24"/>
        </w:rPr>
        <w:t xml:space="preserve">, pubblicato sul </w:t>
      </w:r>
      <w:r w:rsidR="00534FF9" w:rsidRPr="00534FF9">
        <w:rPr>
          <w:rFonts w:cstheme="minorHAnsi"/>
          <w:iCs/>
          <w:sz w:val="24"/>
          <w:szCs w:val="24"/>
        </w:rPr>
        <w:t>Supplemento ordinario n. 9 al «Bollettino Ufficiale» - Serie Generale - n. 26 del 22 maggio 2019</w:t>
      </w:r>
      <w:r w:rsidR="0000102D" w:rsidRPr="00534FF9">
        <w:rPr>
          <w:rFonts w:cstheme="minorHAnsi"/>
          <w:iCs/>
          <w:sz w:val="24"/>
          <w:szCs w:val="24"/>
        </w:rPr>
        <w:t>.</w:t>
      </w:r>
      <w:r w:rsidR="00534FF9" w:rsidRPr="00534FF9">
        <w:rPr>
          <w:rFonts w:cstheme="minorHAnsi"/>
          <w:iCs/>
          <w:sz w:val="24"/>
          <w:szCs w:val="24"/>
        </w:rPr>
        <w:t xml:space="preserve"> </w:t>
      </w:r>
      <w:r w:rsidR="00122D96" w:rsidRPr="00534FF9">
        <w:rPr>
          <w:rFonts w:cstheme="minorHAnsi"/>
          <w:iCs/>
          <w:sz w:val="24"/>
          <w:szCs w:val="24"/>
        </w:rPr>
        <w:t xml:space="preserve">L'azione mira a sostenere interventi finalizzati alla riduzione delle emissioni delle sostanze climalteranti nei </w:t>
      </w:r>
      <w:r w:rsidR="00122D96" w:rsidRPr="00534FF9">
        <w:rPr>
          <w:rFonts w:cstheme="minorHAnsi"/>
          <w:b/>
          <w:bCs/>
          <w:iCs/>
          <w:sz w:val="24"/>
          <w:szCs w:val="24"/>
        </w:rPr>
        <w:t>centri urbani di Perugia, Terni, Foligno, Città di Castello e Spoleto</w:t>
      </w:r>
      <w:r w:rsidR="00122D96" w:rsidRPr="00534FF9">
        <w:rPr>
          <w:rFonts w:cstheme="minorHAnsi"/>
          <w:iCs/>
          <w:sz w:val="24"/>
          <w:szCs w:val="24"/>
        </w:rPr>
        <w:t xml:space="preserve">, ad integrazione dei progetti realizzati nell'ambito delle azioni 6.3.1 e 6.3.2. dell'Asse Urbano. </w:t>
      </w:r>
    </w:p>
    <w:p w:rsidR="00534FF9" w:rsidRPr="00534FF9" w:rsidRDefault="00534FF9" w:rsidP="00534FF9">
      <w:pPr>
        <w:pStyle w:val="Paragrafoelenco"/>
        <w:autoSpaceDE w:val="0"/>
        <w:autoSpaceDN w:val="0"/>
        <w:adjustRightInd w:val="0"/>
        <w:spacing w:after="120" w:line="240" w:lineRule="atLeast"/>
        <w:ind w:left="709"/>
        <w:jc w:val="both"/>
        <w:rPr>
          <w:rFonts w:cstheme="minorHAnsi"/>
          <w:iCs/>
          <w:sz w:val="24"/>
          <w:szCs w:val="24"/>
        </w:rPr>
      </w:pPr>
    </w:p>
    <w:p w:rsidR="004C30CE" w:rsidRPr="004C30CE" w:rsidRDefault="004C30CE" w:rsidP="004C30CE">
      <w:pPr>
        <w:pStyle w:val="Paragrafoelenco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500CEB" w:rsidRPr="00930FAF" w:rsidRDefault="00500CEB" w:rsidP="00500CEB">
      <w:pPr>
        <w:spacing w:after="120" w:line="240" w:lineRule="atLeast"/>
        <w:rPr>
          <w:b/>
          <w:color w:val="4F81BD" w:themeColor="accent1"/>
          <w:sz w:val="24"/>
          <w:szCs w:val="24"/>
        </w:rPr>
      </w:pPr>
      <w:r w:rsidRPr="00930FAF">
        <w:rPr>
          <w:b/>
          <w:color w:val="4F81BD" w:themeColor="accent1"/>
          <w:sz w:val="24"/>
          <w:szCs w:val="24"/>
        </w:rPr>
        <w:t xml:space="preserve">Asse V </w:t>
      </w:r>
      <w:r w:rsidR="00CF275D" w:rsidRPr="00930FAF">
        <w:rPr>
          <w:b/>
          <w:color w:val="4F81BD" w:themeColor="accent1"/>
          <w:sz w:val="24"/>
          <w:szCs w:val="24"/>
        </w:rPr>
        <w:t xml:space="preserve"> </w:t>
      </w:r>
      <w:r w:rsidRPr="00930FAF">
        <w:rPr>
          <w:b/>
          <w:color w:val="4F81BD" w:themeColor="accent1"/>
          <w:sz w:val="24"/>
          <w:szCs w:val="24"/>
        </w:rPr>
        <w:t>Ambiente e cultura</w:t>
      </w:r>
    </w:p>
    <w:p w:rsidR="003B0805" w:rsidRPr="005B0F89" w:rsidRDefault="003B0805" w:rsidP="00655524">
      <w:pPr>
        <w:pStyle w:val="Paragrafoelenco"/>
        <w:numPr>
          <w:ilvl w:val="0"/>
          <w:numId w:val="6"/>
        </w:numPr>
        <w:jc w:val="both"/>
        <w:rPr>
          <w:rFonts w:cstheme="minorHAnsi"/>
          <w:iCs/>
          <w:sz w:val="24"/>
          <w:szCs w:val="24"/>
        </w:rPr>
      </w:pPr>
      <w:r w:rsidRPr="00A35B36">
        <w:rPr>
          <w:rFonts w:cstheme="minorHAnsi"/>
          <w:b/>
          <w:iCs/>
          <w:sz w:val="24"/>
          <w:szCs w:val="24"/>
        </w:rPr>
        <w:t>Azione 5.1.1</w:t>
      </w:r>
      <w:r w:rsidRPr="00A35B36">
        <w:rPr>
          <w:rFonts w:cstheme="minorHAnsi"/>
          <w:iCs/>
          <w:sz w:val="24"/>
          <w:szCs w:val="24"/>
        </w:rPr>
        <w:t xml:space="preserve"> </w:t>
      </w:r>
      <w:r w:rsidRPr="00A35B36">
        <w:rPr>
          <w:rFonts w:cstheme="minorHAnsi"/>
          <w:b/>
          <w:iCs/>
          <w:sz w:val="24"/>
          <w:szCs w:val="24"/>
        </w:rPr>
        <w:t>Interventi per la tutela delle aree naturali.</w:t>
      </w:r>
      <w:r w:rsidRPr="00A35B36">
        <w:rPr>
          <w:rFonts w:cstheme="minorHAnsi"/>
          <w:iCs/>
          <w:sz w:val="24"/>
          <w:szCs w:val="24"/>
        </w:rPr>
        <w:t xml:space="preserve"> </w:t>
      </w:r>
      <w:r w:rsidRPr="005B0F89">
        <w:rPr>
          <w:rFonts w:cstheme="minorHAnsi"/>
          <w:iCs/>
          <w:sz w:val="24"/>
          <w:szCs w:val="24"/>
        </w:rPr>
        <w:t xml:space="preserve">Le aree strategiche oggetto degli interventi sono riconducibili principalmente all’Eugubino – Gualdese, al Trasimeno, all’Orvietano e alla </w:t>
      </w:r>
      <w:proofErr w:type="spellStart"/>
      <w:r w:rsidRPr="005B0F89">
        <w:rPr>
          <w:rFonts w:cstheme="minorHAnsi"/>
          <w:iCs/>
          <w:sz w:val="24"/>
          <w:szCs w:val="24"/>
        </w:rPr>
        <w:t>Valnerina</w:t>
      </w:r>
      <w:proofErr w:type="spellEnd"/>
      <w:r w:rsidRPr="005B0F89">
        <w:rPr>
          <w:rFonts w:cstheme="minorHAnsi"/>
          <w:iCs/>
          <w:sz w:val="24"/>
          <w:szCs w:val="24"/>
        </w:rPr>
        <w:t xml:space="preserve">. </w:t>
      </w:r>
      <w:r w:rsidR="00655524" w:rsidRPr="00655524">
        <w:rPr>
          <w:rFonts w:cstheme="minorHAnsi"/>
          <w:iCs/>
          <w:sz w:val="24"/>
          <w:szCs w:val="24"/>
        </w:rPr>
        <w:t>L’Azione è attuata attraverso 12 interventi</w:t>
      </w:r>
      <w:r w:rsidR="00655524">
        <w:rPr>
          <w:rFonts w:cstheme="minorHAnsi"/>
          <w:iCs/>
          <w:sz w:val="24"/>
          <w:szCs w:val="24"/>
        </w:rPr>
        <w:t xml:space="preserve"> che risultano in corso di esecuzione.</w:t>
      </w:r>
      <w:r w:rsidR="00A35B36" w:rsidRPr="005B0F89">
        <w:rPr>
          <w:rFonts w:cstheme="minorHAnsi"/>
          <w:iCs/>
          <w:sz w:val="24"/>
          <w:szCs w:val="24"/>
        </w:rPr>
        <w:t xml:space="preserve"> </w:t>
      </w:r>
    </w:p>
    <w:p w:rsidR="005F275E" w:rsidRPr="00C94073" w:rsidRDefault="003B0805" w:rsidP="003B0805">
      <w:pPr>
        <w:pStyle w:val="Paragrafoelenco"/>
        <w:numPr>
          <w:ilvl w:val="0"/>
          <w:numId w:val="6"/>
        </w:numPr>
        <w:jc w:val="both"/>
        <w:rPr>
          <w:rFonts w:cstheme="minorHAnsi"/>
          <w:iCs/>
          <w:sz w:val="24"/>
          <w:szCs w:val="24"/>
        </w:rPr>
      </w:pPr>
      <w:r w:rsidRPr="00B41634">
        <w:rPr>
          <w:rFonts w:cstheme="minorHAnsi"/>
          <w:b/>
          <w:iCs/>
          <w:sz w:val="24"/>
          <w:szCs w:val="24"/>
        </w:rPr>
        <w:t xml:space="preserve">Azione 5.2.1 </w:t>
      </w:r>
      <w:r w:rsidR="008B0906" w:rsidRPr="00B41634">
        <w:rPr>
          <w:rFonts w:cstheme="minorHAnsi"/>
          <w:iCs/>
          <w:sz w:val="24"/>
          <w:szCs w:val="24"/>
        </w:rPr>
        <w:t xml:space="preserve">Sono stati approvati n. </w:t>
      </w:r>
      <w:r w:rsidR="0000772B" w:rsidRPr="00B41634">
        <w:rPr>
          <w:rFonts w:cstheme="minorHAnsi"/>
          <w:iCs/>
          <w:sz w:val="24"/>
          <w:szCs w:val="24"/>
        </w:rPr>
        <w:t xml:space="preserve">8 </w:t>
      </w:r>
      <w:r w:rsidR="008B0906" w:rsidRPr="00B41634">
        <w:rPr>
          <w:rFonts w:cstheme="minorHAnsi"/>
          <w:iCs/>
          <w:sz w:val="24"/>
          <w:szCs w:val="24"/>
        </w:rPr>
        <w:t xml:space="preserve">progetti </w:t>
      </w:r>
      <w:r w:rsidR="0000772B" w:rsidRPr="00C94073">
        <w:rPr>
          <w:rFonts w:cstheme="minorHAnsi"/>
          <w:iCs/>
          <w:sz w:val="24"/>
          <w:szCs w:val="24"/>
        </w:rPr>
        <w:t>individuati con il Programma regionale, di cui alle DGR 1625/2016 e 24/2017, a cui si sono aggiunti ulteriori n. 17 interventi individuati nell’ambito delle strateg</w:t>
      </w:r>
      <w:r w:rsidR="00F56D1E" w:rsidRPr="00C94073">
        <w:rPr>
          <w:rFonts w:cstheme="minorHAnsi"/>
          <w:iCs/>
          <w:sz w:val="24"/>
          <w:szCs w:val="24"/>
        </w:rPr>
        <w:t xml:space="preserve">ie di approccio territoriale </w:t>
      </w:r>
      <w:bookmarkStart w:id="2" w:name="_GoBack"/>
      <w:bookmarkEnd w:id="2"/>
      <w:r w:rsidR="00F56D1E" w:rsidRPr="00C94073">
        <w:rPr>
          <w:rFonts w:cstheme="minorHAnsi"/>
          <w:iCs/>
          <w:sz w:val="24"/>
          <w:szCs w:val="24"/>
        </w:rPr>
        <w:t>Are</w:t>
      </w:r>
      <w:r w:rsidR="0000772B" w:rsidRPr="00C94073">
        <w:rPr>
          <w:rFonts w:cstheme="minorHAnsi"/>
          <w:iCs/>
          <w:sz w:val="24"/>
          <w:szCs w:val="24"/>
        </w:rPr>
        <w:t xml:space="preserve">e Interne e ITI Trasimeno. Attualmente </w:t>
      </w:r>
      <w:r w:rsidR="008C72CD" w:rsidRPr="00B41634">
        <w:rPr>
          <w:rFonts w:cstheme="minorHAnsi"/>
          <w:iCs/>
          <w:sz w:val="24"/>
          <w:szCs w:val="24"/>
        </w:rPr>
        <w:t xml:space="preserve"> </w:t>
      </w:r>
      <w:r w:rsidR="00F56D1E">
        <w:rPr>
          <w:rFonts w:cstheme="minorHAnsi"/>
          <w:iCs/>
          <w:sz w:val="24"/>
          <w:szCs w:val="24"/>
        </w:rPr>
        <w:t xml:space="preserve">sono </w:t>
      </w:r>
      <w:r w:rsidR="008C72CD" w:rsidRPr="00B41634">
        <w:rPr>
          <w:rFonts w:cstheme="minorHAnsi"/>
          <w:iCs/>
          <w:sz w:val="24"/>
          <w:szCs w:val="24"/>
        </w:rPr>
        <w:t xml:space="preserve">in corso </w:t>
      </w:r>
      <w:r w:rsidR="00F56D1E">
        <w:rPr>
          <w:rFonts w:cstheme="minorHAnsi"/>
          <w:iCs/>
          <w:sz w:val="24"/>
          <w:szCs w:val="24"/>
        </w:rPr>
        <w:t xml:space="preserve">di attuazione </w:t>
      </w:r>
      <w:r w:rsidR="008C72CD" w:rsidRPr="00B41634">
        <w:rPr>
          <w:rFonts w:cstheme="minorHAnsi"/>
          <w:iCs/>
          <w:sz w:val="24"/>
          <w:szCs w:val="24"/>
        </w:rPr>
        <w:t>la realizzazione dei progetti</w:t>
      </w:r>
      <w:r w:rsidR="00B3571F" w:rsidRPr="00B41634">
        <w:rPr>
          <w:rFonts w:cstheme="minorHAnsi"/>
          <w:iCs/>
          <w:sz w:val="24"/>
          <w:szCs w:val="24"/>
        </w:rPr>
        <w:t>.</w:t>
      </w:r>
      <w:r w:rsidR="005F275E" w:rsidRPr="00B41634">
        <w:rPr>
          <w:rFonts w:cstheme="minorHAnsi"/>
          <w:iCs/>
          <w:sz w:val="24"/>
          <w:szCs w:val="24"/>
        </w:rPr>
        <w:t xml:space="preserve"> </w:t>
      </w:r>
    </w:p>
    <w:p w:rsidR="00DE41EC" w:rsidRPr="00DE41EC" w:rsidRDefault="003B0805" w:rsidP="00DE41EC">
      <w:pPr>
        <w:pStyle w:val="Paragrafoelenco"/>
        <w:numPr>
          <w:ilvl w:val="0"/>
          <w:numId w:val="6"/>
        </w:numPr>
        <w:jc w:val="both"/>
        <w:rPr>
          <w:rFonts w:cstheme="minorHAnsi"/>
          <w:iCs/>
          <w:sz w:val="24"/>
          <w:szCs w:val="24"/>
        </w:rPr>
      </w:pPr>
      <w:r w:rsidRPr="00B41634">
        <w:rPr>
          <w:rFonts w:cstheme="minorHAnsi"/>
          <w:b/>
          <w:iCs/>
          <w:sz w:val="24"/>
          <w:szCs w:val="24"/>
        </w:rPr>
        <w:t xml:space="preserve">Azione 5.3.1 </w:t>
      </w:r>
      <w:r w:rsidRPr="00B41634">
        <w:rPr>
          <w:rFonts w:cstheme="minorHAnsi"/>
          <w:iCs/>
          <w:sz w:val="24"/>
          <w:szCs w:val="24"/>
        </w:rPr>
        <w:t>Promozione risorse culturali-naturali e turistiche. Sono state pianificate le</w:t>
      </w:r>
      <w:r w:rsidRPr="00DE41EC">
        <w:rPr>
          <w:rFonts w:cstheme="minorHAnsi"/>
          <w:iCs/>
          <w:sz w:val="24"/>
          <w:szCs w:val="24"/>
        </w:rPr>
        <w:t xml:space="preserve"> campagne di comunicazione che riguarderanno sia il mercato nazionale attraverso progetti strategici, che il mercato estero, nei paesi obiettivo, attraverso il rafforzamento delle antenne esistenti e la selezione di nuove antenne. </w:t>
      </w:r>
      <w:proofErr w:type="spellStart"/>
      <w:r w:rsidRPr="00DE41EC">
        <w:rPr>
          <w:rFonts w:cstheme="minorHAnsi"/>
          <w:iCs/>
          <w:sz w:val="24"/>
          <w:szCs w:val="24"/>
        </w:rPr>
        <w:t>Sviluppumbria</w:t>
      </w:r>
      <w:proofErr w:type="spellEnd"/>
      <w:r w:rsidRPr="00DE41EC">
        <w:rPr>
          <w:rFonts w:cstheme="minorHAnsi"/>
          <w:iCs/>
          <w:sz w:val="24"/>
          <w:szCs w:val="24"/>
        </w:rPr>
        <w:t xml:space="preserve"> – società in </w:t>
      </w:r>
      <w:proofErr w:type="spellStart"/>
      <w:r w:rsidRPr="00DE41EC">
        <w:rPr>
          <w:rFonts w:cstheme="minorHAnsi"/>
          <w:iCs/>
          <w:sz w:val="24"/>
          <w:szCs w:val="24"/>
        </w:rPr>
        <w:t>house</w:t>
      </w:r>
      <w:proofErr w:type="spellEnd"/>
      <w:r w:rsidRPr="00DE41EC">
        <w:rPr>
          <w:rFonts w:cstheme="minorHAnsi"/>
          <w:iCs/>
          <w:sz w:val="24"/>
          <w:szCs w:val="24"/>
        </w:rPr>
        <w:t xml:space="preserve"> –</w:t>
      </w:r>
      <w:r w:rsidR="00FB295C" w:rsidRPr="00DE41EC">
        <w:rPr>
          <w:rFonts w:cstheme="minorHAnsi"/>
          <w:iCs/>
          <w:sz w:val="24"/>
          <w:szCs w:val="24"/>
        </w:rPr>
        <w:t xml:space="preserve"> </w:t>
      </w:r>
      <w:r w:rsidRPr="00DE41EC">
        <w:rPr>
          <w:rFonts w:cstheme="minorHAnsi"/>
          <w:iCs/>
          <w:sz w:val="24"/>
          <w:szCs w:val="24"/>
        </w:rPr>
        <w:t>sta realizzando le connesse</w:t>
      </w:r>
      <w:r w:rsidR="008B0906" w:rsidRPr="00DE41EC">
        <w:rPr>
          <w:rFonts w:cstheme="minorHAnsi"/>
          <w:iCs/>
          <w:sz w:val="24"/>
          <w:szCs w:val="24"/>
        </w:rPr>
        <w:t xml:space="preserve"> azioni promozionali</w:t>
      </w:r>
      <w:r w:rsidRPr="00DE41EC">
        <w:rPr>
          <w:rFonts w:cstheme="minorHAnsi"/>
          <w:iCs/>
          <w:sz w:val="24"/>
          <w:szCs w:val="24"/>
        </w:rPr>
        <w:t>.</w:t>
      </w:r>
      <w:r w:rsidR="00DE41EC">
        <w:rPr>
          <w:rFonts w:cstheme="minorHAnsi"/>
          <w:iCs/>
          <w:sz w:val="24"/>
          <w:szCs w:val="24"/>
        </w:rPr>
        <w:t xml:space="preserve"> </w:t>
      </w:r>
      <w:r w:rsidR="00997FDB" w:rsidRPr="00DE41EC">
        <w:rPr>
          <w:rFonts w:cstheme="minorHAnsi"/>
          <w:iCs/>
          <w:sz w:val="24"/>
          <w:szCs w:val="24"/>
        </w:rPr>
        <w:t xml:space="preserve">La Regione Umbria con la DGR </w:t>
      </w:r>
      <w:r w:rsidR="00EC591A" w:rsidRPr="00DE41EC">
        <w:rPr>
          <w:rFonts w:cstheme="minorHAnsi"/>
          <w:iCs/>
          <w:sz w:val="24"/>
          <w:szCs w:val="24"/>
        </w:rPr>
        <w:t>246</w:t>
      </w:r>
      <w:r w:rsidR="00997FDB" w:rsidRPr="00DE41EC">
        <w:rPr>
          <w:rFonts w:cstheme="minorHAnsi"/>
          <w:iCs/>
          <w:sz w:val="24"/>
          <w:szCs w:val="24"/>
        </w:rPr>
        <w:t>/</w:t>
      </w:r>
      <w:r w:rsidR="00EC591A" w:rsidRPr="00DE41EC">
        <w:rPr>
          <w:rFonts w:cstheme="minorHAnsi"/>
          <w:iCs/>
          <w:sz w:val="24"/>
          <w:szCs w:val="24"/>
        </w:rPr>
        <w:t>2019</w:t>
      </w:r>
      <w:r w:rsidR="00997FDB" w:rsidRPr="00DE41EC">
        <w:rPr>
          <w:rFonts w:cstheme="minorHAnsi"/>
          <w:iCs/>
          <w:sz w:val="24"/>
          <w:szCs w:val="24"/>
        </w:rPr>
        <w:t xml:space="preserve"> ha approvato la </w:t>
      </w:r>
      <w:r w:rsidR="00EC591A" w:rsidRPr="00DE41EC">
        <w:rPr>
          <w:rFonts w:cstheme="minorHAnsi"/>
          <w:iCs/>
          <w:sz w:val="24"/>
          <w:szCs w:val="24"/>
        </w:rPr>
        <w:t>Campagna di comunicazione 2019</w:t>
      </w:r>
      <w:r w:rsidR="00DE41EC" w:rsidRPr="00DE41EC">
        <w:rPr>
          <w:rFonts w:cstheme="minorHAnsi"/>
          <w:iCs/>
          <w:sz w:val="24"/>
          <w:szCs w:val="24"/>
        </w:rPr>
        <w:t>,</w:t>
      </w:r>
      <w:r w:rsidR="00997FDB" w:rsidRPr="00DE41EC">
        <w:rPr>
          <w:rFonts w:cstheme="minorHAnsi"/>
          <w:iCs/>
          <w:sz w:val="24"/>
          <w:szCs w:val="24"/>
        </w:rPr>
        <w:t xml:space="preserve"> </w:t>
      </w:r>
      <w:r w:rsidR="00DE41EC" w:rsidRPr="00DE41EC">
        <w:rPr>
          <w:rFonts w:cstheme="minorHAnsi"/>
          <w:iCs/>
          <w:sz w:val="24"/>
          <w:szCs w:val="24"/>
        </w:rPr>
        <w:t xml:space="preserve">articolata in 3 tranche di campagna (Primavera, Estate, Autunno-Inverno) </w:t>
      </w:r>
      <w:r w:rsidR="00997FDB" w:rsidRPr="00DE41EC">
        <w:rPr>
          <w:rFonts w:cstheme="minorHAnsi"/>
          <w:iCs/>
          <w:sz w:val="24"/>
          <w:szCs w:val="24"/>
        </w:rPr>
        <w:t xml:space="preserve">e il </w:t>
      </w:r>
      <w:r w:rsidR="00EC591A" w:rsidRPr="00DE41EC">
        <w:rPr>
          <w:rFonts w:cstheme="minorHAnsi"/>
          <w:iCs/>
          <w:sz w:val="24"/>
          <w:szCs w:val="24"/>
        </w:rPr>
        <w:t>Quadro degli interventi.</w:t>
      </w:r>
      <w:r w:rsidR="00DE41EC" w:rsidRPr="00DE41EC">
        <w:rPr>
          <w:rFonts w:cstheme="minorHAnsi"/>
          <w:iCs/>
          <w:sz w:val="24"/>
          <w:szCs w:val="24"/>
        </w:rPr>
        <w:t xml:space="preserve"> Con la Determinazione Dirigenziale 3195</w:t>
      </w:r>
      <w:r w:rsidR="006E3295" w:rsidRPr="00DE41EC">
        <w:rPr>
          <w:rFonts w:cstheme="minorHAnsi"/>
          <w:iCs/>
          <w:sz w:val="24"/>
          <w:szCs w:val="24"/>
        </w:rPr>
        <w:t>/2019</w:t>
      </w:r>
      <w:r w:rsidR="00DE41EC" w:rsidRPr="00DE41EC">
        <w:rPr>
          <w:rFonts w:cstheme="minorHAnsi"/>
          <w:iCs/>
          <w:sz w:val="24"/>
          <w:szCs w:val="24"/>
        </w:rPr>
        <w:t xml:space="preserve"> è stata approvata la Campagna di comunicazione Estate 2019 a valere sulle risorse dell’Azione 5.3.1. per un ammontare di risorse pari a 558.042,64 euro.</w:t>
      </w:r>
    </w:p>
    <w:p w:rsidR="00DE41EC" w:rsidRPr="00DE41EC" w:rsidRDefault="00DE41EC" w:rsidP="00500CEB">
      <w:pPr>
        <w:spacing w:after="120" w:line="240" w:lineRule="atLeast"/>
        <w:rPr>
          <w:rFonts w:cstheme="minorHAnsi"/>
          <w:iCs/>
          <w:sz w:val="24"/>
          <w:szCs w:val="24"/>
        </w:rPr>
      </w:pPr>
    </w:p>
    <w:p w:rsidR="00500CEB" w:rsidRPr="00E326BC" w:rsidRDefault="00500CEB" w:rsidP="00500CEB">
      <w:pPr>
        <w:spacing w:after="120" w:line="240" w:lineRule="atLeast"/>
        <w:rPr>
          <w:rFonts w:cstheme="minorHAnsi"/>
          <w:color w:val="4F81BD" w:themeColor="accent1"/>
          <w:sz w:val="24"/>
          <w:szCs w:val="24"/>
        </w:rPr>
      </w:pPr>
      <w:r w:rsidRPr="00E326BC">
        <w:rPr>
          <w:rFonts w:cstheme="minorHAnsi"/>
          <w:b/>
          <w:color w:val="4F81BD" w:themeColor="accent1"/>
          <w:sz w:val="24"/>
          <w:szCs w:val="24"/>
        </w:rPr>
        <w:t>Asse VI Sviluppo urbano sostenibile</w:t>
      </w:r>
    </w:p>
    <w:p w:rsidR="003B0805" w:rsidRPr="00E326BC" w:rsidRDefault="003B0805" w:rsidP="003B0805">
      <w:pPr>
        <w:spacing w:after="0"/>
        <w:jc w:val="both"/>
        <w:rPr>
          <w:rFonts w:cstheme="minorHAnsi"/>
          <w:iCs/>
          <w:sz w:val="24"/>
          <w:szCs w:val="24"/>
        </w:rPr>
      </w:pPr>
      <w:r w:rsidRPr="00E326BC">
        <w:rPr>
          <w:rFonts w:cstheme="minorHAnsi"/>
          <w:iCs/>
          <w:sz w:val="24"/>
          <w:szCs w:val="24"/>
        </w:rPr>
        <w:t>Le 5 città individuate dall’Agenda Urbana sono: Perugia, Terni, Foligno, Città di Castello, Spoleto.</w:t>
      </w:r>
    </w:p>
    <w:p w:rsidR="00E36509" w:rsidRPr="00E326BC" w:rsidRDefault="00463498" w:rsidP="00463498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E326BC">
        <w:rPr>
          <w:rFonts w:eastAsia="Times New Roman" w:cstheme="minorHAnsi"/>
          <w:sz w:val="24"/>
          <w:szCs w:val="24"/>
          <w:lang w:eastAsia="it-IT"/>
        </w:rPr>
        <w:t>Tutte hanno avviato gli interventi previsti dal programma</w:t>
      </w:r>
      <w:r w:rsidR="0053020D" w:rsidRPr="00E326BC">
        <w:rPr>
          <w:rFonts w:eastAsia="Times New Roman" w:cstheme="minorHAnsi"/>
          <w:sz w:val="24"/>
          <w:szCs w:val="24"/>
          <w:lang w:eastAsia="it-IT"/>
        </w:rPr>
        <w:t>.</w:t>
      </w:r>
    </w:p>
    <w:p w:rsidR="0053020D" w:rsidRDefault="0053020D" w:rsidP="0053020D">
      <w:pPr>
        <w:spacing w:after="0"/>
        <w:jc w:val="both"/>
        <w:rPr>
          <w:rFonts w:cstheme="minorHAnsi"/>
          <w:iCs/>
          <w:sz w:val="24"/>
          <w:szCs w:val="24"/>
        </w:rPr>
      </w:pPr>
    </w:p>
    <w:p w:rsidR="0053020D" w:rsidRPr="0053020D" w:rsidRDefault="0053020D" w:rsidP="0053020D">
      <w:pPr>
        <w:spacing w:after="120" w:line="240" w:lineRule="atLeast"/>
        <w:rPr>
          <w:rFonts w:cstheme="minorHAnsi"/>
          <w:b/>
          <w:color w:val="4F81BD" w:themeColor="accent1"/>
          <w:sz w:val="24"/>
          <w:szCs w:val="24"/>
        </w:rPr>
      </w:pPr>
      <w:r w:rsidRPr="0053020D">
        <w:rPr>
          <w:rFonts w:cstheme="minorHAnsi"/>
          <w:b/>
          <w:color w:val="4F81BD" w:themeColor="accent1"/>
          <w:sz w:val="24"/>
          <w:szCs w:val="24"/>
        </w:rPr>
        <w:t>Asse VIII Prevenzione sismica e sostegno ai territori colpiti dal sisma</w:t>
      </w:r>
    </w:p>
    <w:p w:rsidR="0060296C" w:rsidRDefault="00C82C91" w:rsidP="0053020D">
      <w:pPr>
        <w:spacing w:after="120" w:line="240" w:lineRule="atLeast"/>
        <w:jc w:val="both"/>
        <w:rPr>
          <w:rFonts w:cstheme="minorHAnsi"/>
          <w:sz w:val="24"/>
          <w:szCs w:val="24"/>
        </w:rPr>
      </w:pPr>
      <w:r w:rsidRPr="00C82C91">
        <w:rPr>
          <w:rFonts w:cstheme="minorHAnsi"/>
          <w:sz w:val="24"/>
          <w:szCs w:val="24"/>
        </w:rPr>
        <w:t xml:space="preserve">La Regione Umbria con la DGR 246/2019 ha approvato la Campagna di comunicazione 2019, articolata in 3 tranche di campagna (Primavera, Estate, Autunno-Inverno) e il Quadro degli interventi. Con la Determinazione Dirigenziale 5355/2019 è stata approvata la Campagna di </w:t>
      </w:r>
      <w:r w:rsidRPr="00C82C91">
        <w:rPr>
          <w:rFonts w:cstheme="minorHAnsi"/>
          <w:sz w:val="24"/>
          <w:szCs w:val="24"/>
        </w:rPr>
        <w:lastRenderedPageBreak/>
        <w:t xml:space="preserve">comunicazione Estate 2019 a valere sulle risorse dell’Azione </w:t>
      </w:r>
      <w:r w:rsidRPr="001D5960">
        <w:rPr>
          <w:rFonts w:cstheme="minorHAnsi"/>
          <w:b/>
          <w:sz w:val="24"/>
          <w:szCs w:val="24"/>
        </w:rPr>
        <w:t>8.7.1</w:t>
      </w:r>
      <w:r w:rsidRPr="00C82C91">
        <w:rPr>
          <w:rFonts w:cstheme="minorHAnsi"/>
          <w:sz w:val="24"/>
          <w:szCs w:val="24"/>
        </w:rPr>
        <w:t>. per un ammontare di risorse pari a 402.650,00 euro.</w:t>
      </w:r>
    </w:p>
    <w:p w:rsidR="0060296C" w:rsidRDefault="001D5960" w:rsidP="00ED46EC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Con la DGR 545/2019 sono state approvate le linee </w:t>
      </w:r>
      <w:r w:rsidRPr="00102682">
        <w:rPr>
          <w:rFonts w:cstheme="minorHAnsi"/>
          <w:iCs/>
          <w:sz w:val="24"/>
          <w:szCs w:val="24"/>
        </w:rPr>
        <w:t>guida per la predisposizione dell’avviso a sostegno degli investimenti innovativi 2019</w:t>
      </w:r>
      <w:r w:rsidR="00F23B59">
        <w:rPr>
          <w:rFonts w:cstheme="minorHAnsi"/>
          <w:iCs/>
          <w:sz w:val="24"/>
          <w:szCs w:val="24"/>
        </w:rPr>
        <w:t xml:space="preserve"> a valere sulle risorse dell’</w:t>
      </w:r>
      <w:r w:rsidRPr="001D5960">
        <w:rPr>
          <w:rFonts w:cstheme="minorHAnsi"/>
          <w:sz w:val="24"/>
          <w:szCs w:val="24"/>
        </w:rPr>
        <w:t>Azione 8.2.2</w:t>
      </w:r>
      <w:r w:rsidR="00F23B59">
        <w:rPr>
          <w:rFonts w:cstheme="minorHAnsi"/>
          <w:sz w:val="24"/>
          <w:szCs w:val="24"/>
        </w:rPr>
        <w:t xml:space="preserve"> – Asse VIII</w:t>
      </w:r>
      <w:r w:rsidRPr="001D5960">
        <w:rPr>
          <w:rFonts w:cstheme="minorHAnsi"/>
          <w:sz w:val="24"/>
          <w:szCs w:val="24"/>
        </w:rPr>
        <w:t xml:space="preserve">. </w:t>
      </w:r>
      <w:r w:rsidR="00F56D1E">
        <w:rPr>
          <w:rFonts w:cstheme="minorHAnsi"/>
          <w:sz w:val="24"/>
          <w:szCs w:val="24"/>
        </w:rPr>
        <w:t>S</w:t>
      </w:r>
      <w:r w:rsidR="0048088C">
        <w:rPr>
          <w:rFonts w:cstheme="minorHAnsi"/>
          <w:sz w:val="24"/>
          <w:szCs w:val="24"/>
        </w:rPr>
        <w:t>i prevede a breve l’emanazione del Bando.</w:t>
      </w:r>
    </w:p>
    <w:p w:rsidR="0053020D" w:rsidRPr="0053020D" w:rsidRDefault="0053020D" w:rsidP="0053020D">
      <w:pPr>
        <w:spacing w:after="0"/>
        <w:jc w:val="both"/>
        <w:rPr>
          <w:rFonts w:cstheme="minorHAnsi"/>
          <w:iCs/>
          <w:sz w:val="24"/>
          <w:szCs w:val="24"/>
        </w:rPr>
      </w:pPr>
    </w:p>
    <w:p w:rsidR="000D1C52" w:rsidRPr="0053020D" w:rsidRDefault="0053020D" w:rsidP="0053020D">
      <w:pPr>
        <w:spacing w:after="120" w:line="240" w:lineRule="atLeast"/>
        <w:rPr>
          <w:rFonts w:cstheme="minorHAnsi"/>
          <w:b/>
          <w:color w:val="4F81BD" w:themeColor="accent1"/>
          <w:sz w:val="24"/>
          <w:szCs w:val="24"/>
        </w:rPr>
      </w:pPr>
      <w:r w:rsidRPr="0053020D">
        <w:rPr>
          <w:rFonts w:cstheme="minorHAnsi"/>
          <w:b/>
          <w:color w:val="4F81BD" w:themeColor="accent1"/>
          <w:sz w:val="24"/>
          <w:szCs w:val="24"/>
        </w:rPr>
        <w:t>Asse VII Assistenza tecnica</w:t>
      </w:r>
    </w:p>
    <w:p w:rsidR="00C04858" w:rsidRDefault="00C04858" w:rsidP="00C04858">
      <w:pPr>
        <w:spacing w:after="120" w:line="240" w:lineRule="atLeast"/>
        <w:jc w:val="both"/>
        <w:rPr>
          <w:rFonts w:cstheme="minorHAnsi"/>
          <w:sz w:val="24"/>
          <w:szCs w:val="24"/>
        </w:rPr>
      </w:pPr>
      <w:r w:rsidRPr="00F56D1E">
        <w:rPr>
          <w:rFonts w:cstheme="minorHAnsi"/>
          <w:sz w:val="24"/>
          <w:szCs w:val="24"/>
        </w:rPr>
        <w:t xml:space="preserve">E’ </w:t>
      </w:r>
      <w:r w:rsidR="009F74A2" w:rsidRPr="00F56D1E">
        <w:rPr>
          <w:rFonts w:cstheme="minorHAnsi"/>
          <w:sz w:val="24"/>
          <w:szCs w:val="24"/>
        </w:rPr>
        <w:t>stato affidato i</w:t>
      </w:r>
      <w:r w:rsidRPr="00F56D1E">
        <w:rPr>
          <w:rFonts w:cstheme="minorHAnsi"/>
          <w:sz w:val="24"/>
          <w:szCs w:val="24"/>
        </w:rPr>
        <w:t>l servizio di Valutazione coerentemente a quanto previsto dal Pian</w:t>
      </w:r>
      <w:r w:rsidR="005D6B27" w:rsidRPr="00F56D1E">
        <w:rPr>
          <w:rFonts w:cstheme="minorHAnsi"/>
          <w:sz w:val="24"/>
          <w:szCs w:val="24"/>
        </w:rPr>
        <w:t>o</w:t>
      </w:r>
      <w:r w:rsidRPr="00F56D1E">
        <w:rPr>
          <w:rFonts w:cstheme="minorHAnsi"/>
          <w:sz w:val="24"/>
          <w:szCs w:val="24"/>
        </w:rPr>
        <w:t xml:space="preserve"> di valutazione.</w:t>
      </w:r>
    </w:p>
    <w:p w:rsidR="002E5487" w:rsidRDefault="002E5487" w:rsidP="00C04858">
      <w:pPr>
        <w:spacing w:after="120" w:line="240" w:lineRule="atLeast"/>
        <w:jc w:val="both"/>
        <w:rPr>
          <w:rFonts w:cstheme="minorHAnsi"/>
          <w:sz w:val="24"/>
          <w:szCs w:val="24"/>
        </w:rPr>
      </w:pPr>
    </w:p>
    <w:p w:rsidR="002E5487" w:rsidRPr="002E5487" w:rsidRDefault="002E5487" w:rsidP="002E5487">
      <w:pPr>
        <w:spacing w:after="120" w:line="240" w:lineRule="atLeast"/>
        <w:jc w:val="both"/>
        <w:rPr>
          <w:b/>
          <w:color w:val="4F81BD" w:themeColor="accent1"/>
          <w:sz w:val="24"/>
          <w:szCs w:val="24"/>
        </w:rPr>
      </w:pPr>
      <w:r w:rsidRPr="002E5487">
        <w:rPr>
          <w:b/>
          <w:color w:val="4F81BD" w:themeColor="accent1"/>
          <w:sz w:val="24"/>
          <w:szCs w:val="24"/>
        </w:rPr>
        <w:t>Attuazione RIS3 - Strategia di ricerca e innovazione per la specializzazione intelligente della Regione Umbria</w:t>
      </w:r>
    </w:p>
    <w:p w:rsidR="00CC01A0" w:rsidRPr="00713FCD" w:rsidRDefault="002E5487" w:rsidP="00713FCD">
      <w:pPr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L</w:t>
      </w:r>
      <w:r w:rsidRPr="00742843">
        <w:rPr>
          <w:rFonts w:cstheme="minorHAnsi"/>
          <w:iCs/>
          <w:sz w:val="24"/>
          <w:szCs w:val="24"/>
        </w:rPr>
        <w:t>a RIS</w:t>
      </w:r>
      <w:r>
        <w:rPr>
          <w:rFonts w:cstheme="minorHAnsi"/>
          <w:iCs/>
          <w:sz w:val="24"/>
          <w:szCs w:val="24"/>
        </w:rPr>
        <w:t xml:space="preserve">3 </w:t>
      </w:r>
      <w:r w:rsidRPr="00742843">
        <w:rPr>
          <w:rFonts w:cstheme="minorHAnsi"/>
          <w:iCs/>
          <w:sz w:val="24"/>
          <w:szCs w:val="24"/>
        </w:rPr>
        <w:t xml:space="preserve">è stata rivista e adottata nella versione finale nell’ambito del II° </w:t>
      </w:r>
      <w:proofErr w:type="spellStart"/>
      <w:r w:rsidRPr="00742843">
        <w:rPr>
          <w:rFonts w:cstheme="minorHAnsi"/>
          <w:iCs/>
          <w:sz w:val="24"/>
          <w:szCs w:val="24"/>
        </w:rPr>
        <w:t>Steering</w:t>
      </w:r>
      <w:proofErr w:type="spellEnd"/>
      <w:r w:rsidRPr="00742843">
        <w:rPr>
          <w:rFonts w:cstheme="minorHAnsi"/>
          <w:iCs/>
          <w:sz w:val="24"/>
          <w:szCs w:val="24"/>
        </w:rPr>
        <w:t xml:space="preserve"> Group nel dicembre 2018. Il documento di aggiornamento è stato approvato dalla Giunta Regionale con DGR 1481 del 20/12/2018 e inviato ai Servizi della Commissione Europea che dopo alcune osservazioni ha condiviso l’aggiornamento. </w:t>
      </w:r>
      <w:r>
        <w:rPr>
          <w:rFonts w:cstheme="minorHAnsi"/>
          <w:sz w:val="24"/>
          <w:szCs w:val="24"/>
        </w:rPr>
        <w:t>C</w:t>
      </w:r>
      <w:r w:rsidR="00CC01A0" w:rsidRPr="00CC01A0">
        <w:rPr>
          <w:rFonts w:cstheme="minorHAnsi"/>
          <w:sz w:val="24"/>
          <w:szCs w:val="24"/>
        </w:rPr>
        <w:t xml:space="preserve">on nota Ares n. 2343414 del 03/04/2019 i Servizi della Commissione Europea hanno notificato e chiuso la procedura per l’aggiornamento della Strategia Regionale di Ricerca e Innovazione per la Specializzazione Intelligente (RIS3). In particolare, la modifica ha riguardato l’introduzione di due aree di specializzazione “Made in </w:t>
      </w:r>
      <w:proofErr w:type="spellStart"/>
      <w:r w:rsidR="00CC01A0" w:rsidRPr="00CC01A0">
        <w:rPr>
          <w:rFonts w:cstheme="minorHAnsi"/>
          <w:sz w:val="24"/>
          <w:szCs w:val="24"/>
        </w:rPr>
        <w:t>Italy</w:t>
      </w:r>
      <w:proofErr w:type="spellEnd"/>
      <w:r w:rsidR="00CC01A0" w:rsidRPr="00CC01A0">
        <w:rPr>
          <w:rFonts w:cstheme="minorHAnsi"/>
          <w:sz w:val="24"/>
          <w:szCs w:val="24"/>
        </w:rPr>
        <w:t xml:space="preserve"> Design Creatività” e “Smart </w:t>
      </w:r>
      <w:proofErr w:type="spellStart"/>
      <w:r w:rsidR="00CC01A0" w:rsidRPr="00CC01A0">
        <w:rPr>
          <w:rFonts w:cstheme="minorHAnsi"/>
          <w:sz w:val="24"/>
          <w:szCs w:val="24"/>
        </w:rPr>
        <w:t>secure</w:t>
      </w:r>
      <w:proofErr w:type="spellEnd"/>
      <w:r w:rsidR="00CC01A0" w:rsidRPr="00CC01A0">
        <w:rPr>
          <w:rFonts w:cstheme="minorHAnsi"/>
          <w:sz w:val="24"/>
          <w:szCs w:val="24"/>
        </w:rPr>
        <w:t xml:space="preserve"> and inclusive </w:t>
      </w:r>
      <w:proofErr w:type="spellStart"/>
      <w:r w:rsidR="00CC01A0" w:rsidRPr="00CC01A0">
        <w:rPr>
          <w:rFonts w:cstheme="minorHAnsi"/>
          <w:sz w:val="24"/>
          <w:szCs w:val="24"/>
        </w:rPr>
        <w:t>Communities</w:t>
      </w:r>
      <w:proofErr w:type="spellEnd"/>
      <w:r w:rsidR="00CC01A0" w:rsidRPr="00CC01A0">
        <w:rPr>
          <w:rFonts w:cstheme="minorHAnsi"/>
          <w:sz w:val="24"/>
          <w:szCs w:val="24"/>
        </w:rPr>
        <w:t xml:space="preserve">” e la revisione delle relative traiettorie tecnologiche. </w:t>
      </w:r>
      <w:r w:rsidR="00713FCD">
        <w:rPr>
          <w:rFonts w:cstheme="minorHAnsi"/>
          <w:sz w:val="24"/>
          <w:szCs w:val="24"/>
        </w:rPr>
        <w:t xml:space="preserve"> </w:t>
      </w:r>
      <w:r w:rsidR="00CC01A0" w:rsidRPr="00713FCD">
        <w:rPr>
          <w:rFonts w:cstheme="minorHAnsi"/>
          <w:iCs/>
          <w:sz w:val="24"/>
          <w:szCs w:val="24"/>
        </w:rPr>
        <w:t xml:space="preserve">Inoltre, in data 24 maggio si è svolto </w:t>
      </w:r>
      <w:r w:rsidRPr="00713FCD">
        <w:rPr>
          <w:rFonts w:cstheme="minorHAnsi"/>
          <w:iCs/>
          <w:sz w:val="24"/>
          <w:szCs w:val="24"/>
        </w:rPr>
        <w:t>i</w:t>
      </w:r>
      <w:r w:rsidR="00CC01A0" w:rsidRPr="00713FCD">
        <w:rPr>
          <w:rFonts w:cstheme="minorHAnsi"/>
          <w:iCs/>
          <w:sz w:val="24"/>
          <w:szCs w:val="24"/>
        </w:rPr>
        <w:t>l</w:t>
      </w:r>
      <w:r w:rsidRPr="00713FCD">
        <w:rPr>
          <w:rFonts w:cstheme="minorHAnsi"/>
          <w:iCs/>
          <w:sz w:val="24"/>
          <w:szCs w:val="24"/>
        </w:rPr>
        <w:t xml:space="preserve"> terzo </w:t>
      </w:r>
      <w:r w:rsidR="00CC01A0" w:rsidRPr="00713FCD">
        <w:rPr>
          <w:rFonts w:cstheme="minorHAnsi"/>
          <w:iCs/>
          <w:sz w:val="24"/>
          <w:szCs w:val="24"/>
        </w:rPr>
        <w:t xml:space="preserve">incontro dello </w:t>
      </w:r>
      <w:proofErr w:type="spellStart"/>
      <w:r w:rsidR="00CC01A0" w:rsidRPr="00713FCD">
        <w:rPr>
          <w:rFonts w:cstheme="minorHAnsi"/>
          <w:iCs/>
          <w:sz w:val="24"/>
          <w:szCs w:val="24"/>
        </w:rPr>
        <w:t>Steering</w:t>
      </w:r>
      <w:proofErr w:type="spellEnd"/>
      <w:r w:rsidR="00CC01A0" w:rsidRPr="00713FCD">
        <w:rPr>
          <w:rFonts w:cstheme="minorHAnsi"/>
          <w:iCs/>
          <w:sz w:val="24"/>
          <w:szCs w:val="24"/>
        </w:rPr>
        <w:t xml:space="preserve"> Group della RIS3, concepito quale organismo responsabile dell’elaborazione e revisione della Strategia per la Specializzazione Intelligente (RIS3), durante il quale sono state condivise e approvate le linee di ricerca e innovazione - afferenti alle traiettorie tecnologiche individuate. Successivamente all’ incontro l’Autorità di gestione del Por FESR, responsabile della RIS3, ha avviato la consultazione on line delle linee di ricerca e di innovazione. La consultazione è aperta  fino al 20 giungo 2019 ed è disponibile  sul sito della regione Umbria e possono partecipare  tutti gli stakeholder interessati.</w:t>
      </w:r>
    </w:p>
    <w:p w:rsidR="00E326BC" w:rsidRPr="00BC707F" w:rsidRDefault="00E326BC" w:rsidP="00BC707F">
      <w:pPr>
        <w:spacing w:after="120" w:line="240" w:lineRule="atLeast"/>
        <w:jc w:val="both"/>
        <w:rPr>
          <w:b/>
          <w:color w:val="4F81BD" w:themeColor="accent1"/>
          <w:sz w:val="24"/>
          <w:szCs w:val="24"/>
        </w:rPr>
      </w:pPr>
      <w:r w:rsidRPr="00BC707F">
        <w:rPr>
          <w:b/>
          <w:color w:val="4F81BD" w:themeColor="accent1"/>
          <w:sz w:val="24"/>
          <w:szCs w:val="24"/>
        </w:rPr>
        <w:t>Strategie Territoriali</w:t>
      </w:r>
    </w:p>
    <w:p w:rsidR="00E326BC" w:rsidRDefault="00E326BC" w:rsidP="00E326BC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B85A6F">
        <w:rPr>
          <w:rFonts w:eastAsia="Times New Roman" w:cstheme="minorHAnsi"/>
          <w:sz w:val="24"/>
          <w:szCs w:val="24"/>
          <w:lang w:eastAsia="it-IT"/>
        </w:rPr>
        <w:t xml:space="preserve">All’interno del programma si è attivata anche un’importante partita legata alla dimensione dello sviluppo territoriale e del rapporto tra la regione ed il sistema delle autonomie locali. Essa si articola </w:t>
      </w:r>
      <w:r w:rsidRPr="00EE61F4">
        <w:rPr>
          <w:rFonts w:eastAsia="Times New Roman" w:cstheme="minorHAnsi"/>
          <w:sz w:val="24"/>
          <w:szCs w:val="24"/>
          <w:lang w:eastAsia="it-IT"/>
        </w:rPr>
        <w:t>nell’attuazione dell’Agenda urbana dell’Umbria (che in Umbria riguarda le città di Perugia, Terni,</w:t>
      </w:r>
      <w:r w:rsidRPr="00B85A6F">
        <w:rPr>
          <w:rFonts w:eastAsia="Times New Roman" w:cstheme="minorHAnsi"/>
          <w:sz w:val="24"/>
          <w:szCs w:val="24"/>
          <w:lang w:eastAsia="it-IT"/>
        </w:rPr>
        <w:t xml:space="preserve"> Foligno, Città di Castello e Spoleto chiamate a definire una propria politica di sviluppo urbano integrato, in coerenza con i contenuti scelti dalla Regione così come declinati all’interno dei Programmi Operativi </w:t>
      </w:r>
      <w:proofErr w:type="spellStart"/>
      <w:r w:rsidRPr="00B85A6F">
        <w:rPr>
          <w:rFonts w:eastAsia="Times New Roman" w:cstheme="minorHAnsi"/>
          <w:sz w:val="24"/>
          <w:szCs w:val="24"/>
          <w:lang w:eastAsia="it-IT"/>
        </w:rPr>
        <w:t>Fesr</w:t>
      </w:r>
      <w:proofErr w:type="spellEnd"/>
      <w:r w:rsidRPr="00B85A6F">
        <w:rPr>
          <w:rFonts w:eastAsia="Times New Roman" w:cstheme="minorHAnsi"/>
          <w:sz w:val="24"/>
          <w:szCs w:val="24"/>
          <w:lang w:eastAsia="it-IT"/>
        </w:rPr>
        <w:t xml:space="preserve"> e </w:t>
      </w:r>
      <w:proofErr w:type="spellStart"/>
      <w:r w:rsidRPr="00B85A6F">
        <w:rPr>
          <w:rFonts w:eastAsia="Times New Roman" w:cstheme="minorHAnsi"/>
          <w:sz w:val="24"/>
          <w:szCs w:val="24"/>
          <w:lang w:eastAsia="it-IT"/>
        </w:rPr>
        <w:t>Fse</w:t>
      </w:r>
      <w:proofErr w:type="spellEnd"/>
      <w:r w:rsidRPr="00B85A6F">
        <w:rPr>
          <w:rFonts w:eastAsia="Times New Roman" w:cstheme="minorHAnsi"/>
          <w:sz w:val="24"/>
          <w:szCs w:val="24"/>
          <w:lang w:eastAsia="it-IT"/>
        </w:rPr>
        <w:t xml:space="preserve"> 2014-2020), della Strategia della Aree Interne e dell’ITI. </w:t>
      </w:r>
    </w:p>
    <w:p w:rsidR="00E326BC" w:rsidRPr="00B85A6F" w:rsidRDefault="00E326BC" w:rsidP="00E326BC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B85A6F">
        <w:rPr>
          <w:rFonts w:eastAsia="Times New Roman" w:cstheme="minorHAnsi"/>
          <w:sz w:val="24"/>
          <w:szCs w:val="24"/>
          <w:lang w:eastAsia="it-IT"/>
        </w:rPr>
        <w:t>L’</w:t>
      </w:r>
      <w:r w:rsidRPr="00EE61F4">
        <w:rPr>
          <w:rFonts w:eastAsia="Times New Roman" w:cstheme="minorHAnsi"/>
          <w:b/>
          <w:sz w:val="24"/>
          <w:szCs w:val="24"/>
          <w:lang w:eastAsia="it-IT"/>
        </w:rPr>
        <w:t>Agenda urbana</w:t>
      </w:r>
      <w:r w:rsidRPr="00B85A6F">
        <w:rPr>
          <w:rFonts w:eastAsia="Times New Roman" w:cstheme="minorHAnsi"/>
          <w:sz w:val="24"/>
          <w:szCs w:val="24"/>
          <w:lang w:eastAsia="it-IT"/>
        </w:rPr>
        <w:t xml:space="preserve"> prevede la modernizzazione dei servizi urbani per i residenti e gli utilizzatori delle città attraverso l’utilizzo di servizi digitali nell’ottica delle </w:t>
      </w:r>
      <w:proofErr w:type="spellStart"/>
      <w:r w:rsidRPr="00B85A6F">
        <w:rPr>
          <w:rFonts w:eastAsia="Times New Roman" w:cstheme="minorHAnsi"/>
          <w:sz w:val="24"/>
          <w:szCs w:val="24"/>
          <w:lang w:eastAsia="it-IT"/>
        </w:rPr>
        <w:t>smart-cities</w:t>
      </w:r>
      <w:proofErr w:type="spellEnd"/>
      <w:r w:rsidRPr="00B85A6F">
        <w:rPr>
          <w:rFonts w:eastAsia="Times New Roman" w:cstheme="minorHAnsi"/>
          <w:sz w:val="24"/>
          <w:szCs w:val="24"/>
          <w:lang w:eastAsia="it-IT"/>
        </w:rPr>
        <w:t xml:space="preserve">, la mobilità sostenibile, il risparmio energetico. Le risorse a disposizione dello sviluppo urbano ammontano a </w:t>
      </w:r>
      <w:r w:rsidRPr="00B85A6F">
        <w:rPr>
          <w:rFonts w:eastAsia="Times New Roman" w:cstheme="minorHAnsi"/>
          <w:b/>
          <w:sz w:val="24"/>
          <w:szCs w:val="24"/>
          <w:lang w:eastAsia="it-IT"/>
        </w:rPr>
        <w:t>35,0 m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ilioni di </w:t>
      </w:r>
      <w:r w:rsidRPr="00B85A6F">
        <w:rPr>
          <w:rFonts w:eastAsia="Times New Roman" w:cstheme="minorHAnsi"/>
          <w:b/>
          <w:sz w:val="24"/>
          <w:szCs w:val="24"/>
          <w:lang w:eastAsia="it-IT"/>
        </w:rPr>
        <w:t>euro</w:t>
      </w:r>
      <w:r w:rsidRPr="00B85A6F">
        <w:rPr>
          <w:rFonts w:eastAsia="Times New Roman" w:cstheme="minorHAnsi"/>
          <w:sz w:val="24"/>
          <w:szCs w:val="24"/>
          <w:lang w:eastAsia="it-IT"/>
        </w:rPr>
        <w:t xml:space="preserve">: gli interventi saranno attuati con saranno attuati con un Asse del PO FESR appositamente dedicato allo sviluppo urbano e con il PO FSE (inclusione sociale). Un obiettivo trasversale poiché nelle città si concentrano l'innovazione produttiva e sociale, la mobilità delle persone, il capitale </w:t>
      </w:r>
      <w:r w:rsidRPr="00B85A6F">
        <w:rPr>
          <w:rFonts w:eastAsia="Times New Roman" w:cstheme="minorHAnsi"/>
          <w:sz w:val="24"/>
          <w:szCs w:val="24"/>
          <w:lang w:eastAsia="it-IT"/>
        </w:rPr>
        <w:lastRenderedPageBreak/>
        <w:t>fisico, intellettuale e sono luoghi di connettività, creatività, cultura e innovazione. Al contempo esse scontano problemi economici, conflitti e diseguaglianze di carattere sociale.</w:t>
      </w:r>
    </w:p>
    <w:p w:rsidR="00E326BC" w:rsidRPr="00B85A6F" w:rsidRDefault="00E326BC" w:rsidP="00E326BC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B85A6F">
        <w:rPr>
          <w:rFonts w:eastAsia="Times New Roman" w:cstheme="minorHAnsi"/>
          <w:sz w:val="24"/>
          <w:szCs w:val="24"/>
          <w:lang w:eastAsia="it-IT"/>
        </w:rPr>
        <w:t xml:space="preserve">Ai fini di garantire i principi di adeguatezza e di capacità di selezione e gestione di progetti complessi ed integrati alla scala urbana, è stato concepito un sistema di </w:t>
      </w:r>
      <w:proofErr w:type="spellStart"/>
      <w:r w:rsidRPr="00B85A6F">
        <w:rPr>
          <w:rFonts w:eastAsia="Times New Roman" w:cstheme="minorHAnsi"/>
          <w:sz w:val="24"/>
          <w:szCs w:val="24"/>
          <w:lang w:eastAsia="it-IT"/>
        </w:rPr>
        <w:t>governance</w:t>
      </w:r>
      <w:proofErr w:type="spellEnd"/>
      <w:r w:rsidRPr="00B85A6F">
        <w:rPr>
          <w:rFonts w:eastAsia="Times New Roman" w:cstheme="minorHAnsi"/>
          <w:sz w:val="24"/>
          <w:szCs w:val="24"/>
          <w:lang w:eastAsia="it-IT"/>
        </w:rPr>
        <w:t xml:space="preserve"> multilivello adeguato per la co-progettazione degli interventi a valere sulle città.</w:t>
      </w:r>
    </w:p>
    <w:p w:rsidR="00E326BC" w:rsidRDefault="00E326BC" w:rsidP="00E326BC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B85A6F">
        <w:rPr>
          <w:rFonts w:eastAsia="Times New Roman" w:cstheme="minorHAnsi"/>
          <w:sz w:val="24"/>
          <w:szCs w:val="24"/>
          <w:lang w:eastAsia="it-IT"/>
        </w:rPr>
        <w:t xml:space="preserve">Rafforzare la dimensione urbana europea rappresenta l'unico modo per affrontare efficacemente le sfide che le città si trovano ad affrontare che manifesta proprio sui contesti urbani i suoi effetti più significativi. A problemi come la scarsità di </w:t>
      </w:r>
      <w:proofErr w:type="spellStart"/>
      <w:r w:rsidRPr="00B85A6F">
        <w:rPr>
          <w:rFonts w:eastAsia="Times New Roman" w:cstheme="minorHAnsi"/>
          <w:sz w:val="24"/>
          <w:szCs w:val="24"/>
          <w:lang w:eastAsia="it-IT"/>
        </w:rPr>
        <w:t>housing</w:t>
      </w:r>
      <w:proofErr w:type="spellEnd"/>
      <w:r w:rsidRPr="00B85A6F">
        <w:rPr>
          <w:rFonts w:eastAsia="Times New Roman" w:cstheme="minorHAnsi"/>
          <w:sz w:val="24"/>
          <w:szCs w:val="24"/>
          <w:lang w:eastAsia="it-IT"/>
        </w:rPr>
        <w:t xml:space="preserve"> sociale, la mancanza di trasporti pubblici di qualità e la lentezza dei meccanismi di </w:t>
      </w:r>
      <w:proofErr w:type="spellStart"/>
      <w:r w:rsidRPr="00B85A6F">
        <w:rPr>
          <w:rFonts w:eastAsia="Times New Roman" w:cstheme="minorHAnsi"/>
          <w:sz w:val="24"/>
          <w:szCs w:val="24"/>
          <w:lang w:eastAsia="it-IT"/>
        </w:rPr>
        <w:t>governance</w:t>
      </w:r>
      <w:proofErr w:type="spellEnd"/>
      <w:r w:rsidRPr="00B85A6F">
        <w:rPr>
          <w:rFonts w:eastAsia="Times New Roman" w:cstheme="minorHAnsi"/>
          <w:sz w:val="24"/>
          <w:szCs w:val="24"/>
          <w:lang w:eastAsia="it-IT"/>
        </w:rPr>
        <w:t xml:space="preserve"> sono però proprio le città di tutta Europa a sperimentare dal basso soluzioni che ristabiliscono la cooperazione tra diversi livelli istituzionali e rimettono di nuovo le persone al centro delle politiche.</w:t>
      </w:r>
    </w:p>
    <w:p w:rsidR="00E326BC" w:rsidRDefault="00E326BC" w:rsidP="00E326BC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L’attuazione degli interventi previsti dall’agenda urbana è entrata a pieno regime e risulta in corso di attuazione per tutte e 5 le città. Inoltre t</w:t>
      </w:r>
      <w:r w:rsidRPr="00EE61F4">
        <w:rPr>
          <w:rFonts w:eastAsia="Times New Roman" w:cstheme="minorHAnsi"/>
          <w:sz w:val="24"/>
          <w:szCs w:val="24"/>
          <w:lang w:eastAsia="it-IT"/>
        </w:rPr>
        <w:t>utti i sistemi di gestione e controllo delle Autorità Urbane sono stati approvati.</w:t>
      </w:r>
    </w:p>
    <w:p w:rsidR="00E326BC" w:rsidRDefault="00E326BC" w:rsidP="00E326BC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EE61F4">
        <w:rPr>
          <w:rFonts w:eastAsia="Times New Roman" w:cstheme="minorHAnsi"/>
          <w:sz w:val="24"/>
          <w:szCs w:val="24"/>
          <w:lang w:eastAsia="it-IT"/>
        </w:rPr>
        <w:t>Sul versante del rafforzamento della capacità istituzionale, si è anche avviata l’attività dei laboratori formativi L.U.C.E. (Laboratori urbani Crescono esperienze) dedicata all’approfondimento delle capacità di programmazione di tecnici regionali e comunali, che viene attuata nel corso del 2019.</w:t>
      </w:r>
    </w:p>
    <w:p w:rsidR="00E326BC" w:rsidRDefault="00E326BC" w:rsidP="00E326BC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P</w:t>
      </w:r>
      <w:r w:rsidRPr="00B85A6F">
        <w:rPr>
          <w:rFonts w:eastAsia="Times New Roman" w:cstheme="minorHAnsi"/>
          <w:sz w:val="24"/>
          <w:szCs w:val="24"/>
          <w:lang w:eastAsia="it-IT"/>
        </w:rPr>
        <w:t xml:space="preserve">er quanto riguarda la strategia delle </w:t>
      </w:r>
      <w:r w:rsidRPr="00EE61F4">
        <w:rPr>
          <w:rFonts w:eastAsia="Times New Roman" w:cstheme="minorHAnsi"/>
          <w:b/>
          <w:sz w:val="24"/>
          <w:szCs w:val="24"/>
          <w:lang w:eastAsia="it-IT"/>
        </w:rPr>
        <w:t>Aree interne</w:t>
      </w:r>
      <w:r w:rsidRPr="00B85A6F">
        <w:rPr>
          <w:rFonts w:eastAsia="Times New Roman" w:cstheme="minorHAnsi"/>
          <w:sz w:val="24"/>
          <w:szCs w:val="24"/>
          <w:lang w:eastAsia="it-IT"/>
        </w:rPr>
        <w:t xml:space="preserve"> si attua attraverso una combinazione di azioni di rafforzamento dei servizi essenziali di cittadinanza quali sanità, trasporti ed istruzione (finanziate principalmente con le risorse nazionali delle leggi di stabilità 2014, 2015 e 2016 per un importo di 3,74 milioni di euro per ciascuna area) e con azioni per lo sviluppo locale da finanziare con risorse comunitarie a valere sul FSE, sul FESR, sul FEASR. In Umbria le risorse complessive </w:t>
      </w:r>
      <w:r>
        <w:rPr>
          <w:rFonts w:eastAsia="Times New Roman" w:cstheme="minorHAnsi"/>
          <w:sz w:val="24"/>
          <w:szCs w:val="24"/>
          <w:lang w:eastAsia="it-IT"/>
        </w:rPr>
        <w:t xml:space="preserve">comunitarie </w:t>
      </w:r>
      <w:r w:rsidRPr="00B85A6F">
        <w:rPr>
          <w:rFonts w:eastAsia="Times New Roman" w:cstheme="minorHAnsi"/>
          <w:sz w:val="24"/>
          <w:szCs w:val="24"/>
          <w:lang w:eastAsia="it-IT"/>
        </w:rPr>
        <w:t xml:space="preserve">ammontano a circa </w:t>
      </w:r>
      <w:r w:rsidRPr="006D3BCE">
        <w:rPr>
          <w:rFonts w:eastAsia="Times New Roman" w:cstheme="minorHAnsi"/>
          <w:sz w:val="24"/>
          <w:szCs w:val="24"/>
          <w:lang w:eastAsia="it-IT"/>
        </w:rPr>
        <w:t>23,75 milioni di euro e riguardano tre diverse</w:t>
      </w:r>
      <w:r w:rsidRPr="00B85A6F">
        <w:rPr>
          <w:rFonts w:eastAsia="Times New Roman" w:cstheme="minorHAnsi"/>
          <w:sz w:val="24"/>
          <w:szCs w:val="24"/>
          <w:lang w:eastAsia="it-IT"/>
        </w:rPr>
        <w:t xml:space="preserve"> Aree tutte risultate candidabili alla SNAI.</w:t>
      </w:r>
      <w:r>
        <w:rPr>
          <w:rFonts w:eastAsia="Times New Roman" w:cstheme="minorHAnsi"/>
          <w:sz w:val="24"/>
          <w:szCs w:val="24"/>
          <w:lang w:eastAsia="it-IT"/>
        </w:rPr>
        <w:t xml:space="preserve"> Pertanto ad oggi la dotazione complessiva programmata è pari a </w:t>
      </w:r>
      <w:r w:rsidRPr="006D3BCE">
        <w:rPr>
          <w:rFonts w:eastAsia="Times New Roman" w:cstheme="minorHAnsi"/>
          <w:b/>
          <w:sz w:val="24"/>
          <w:szCs w:val="24"/>
          <w:lang w:eastAsia="it-IT"/>
        </w:rPr>
        <w:t>34,97 milioni di euro</w:t>
      </w:r>
      <w:r>
        <w:rPr>
          <w:rFonts w:eastAsia="Times New Roman" w:cstheme="minorHAnsi"/>
          <w:sz w:val="24"/>
          <w:szCs w:val="24"/>
          <w:lang w:eastAsia="it-IT"/>
        </w:rPr>
        <w:t>.</w:t>
      </w:r>
    </w:p>
    <w:p w:rsidR="00E326BC" w:rsidRDefault="00E326BC" w:rsidP="00E326BC">
      <w:pPr>
        <w:pStyle w:val="NormaleWeb"/>
        <w:spacing w:before="0" w:beforeAutospacing="0"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 31 maggio 2019 le tre aree interne hanno raggiunto livelli differenziati di avanzamento delle fasi programmatorie ed attuative per effetto della differente tempistica di avvio dei percorsi, come di seguito specificato.</w:t>
      </w:r>
    </w:p>
    <w:p w:rsidR="00E326BC" w:rsidRPr="00B85A6F" w:rsidRDefault="00E326BC" w:rsidP="00E326BC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B85A6F">
        <w:rPr>
          <w:rFonts w:eastAsia="Times New Roman" w:cstheme="minorHAnsi"/>
          <w:sz w:val="24"/>
          <w:szCs w:val="24"/>
          <w:lang w:eastAsia="it-IT"/>
        </w:rPr>
        <w:t>Per l’</w:t>
      </w:r>
      <w:r w:rsidRPr="008B62D7">
        <w:rPr>
          <w:rFonts w:eastAsia="Times New Roman" w:cstheme="minorHAnsi"/>
          <w:b/>
          <w:color w:val="1D1B11" w:themeColor="background2" w:themeShade="1A"/>
          <w:sz w:val="24"/>
          <w:szCs w:val="24"/>
          <w:lang w:eastAsia="it-IT"/>
        </w:rPr>
        <w:t>area Sud Ovest Orvietano</w:t>
      </w:r>
      <w:r w:rsidRPr="00B85A6F">
        <w:rPr>
          <w:rFonts w:eastAsia="Times New Roman" w:cstheme="minorHAnsi"/>
          <w:sz w:val="24"/>
          <w:szCs w:val="24"/>
          <w:lang w:eastAsia="it-IT"/>
        </w:rPr>
        <w:t>, indicata come area prototipo è stato predisposto l’Accordo di programma quadro che è stato sottoscritto in data 6 febbraio 2018, consentendo di avviare la fase di attuazione degli interventi. Ad oggi sono stati emanati gran parte dei bandi a valere sulle risorse comunitarie per la selezione degli interventi e i soggetti attuatori dell’area hanno presentato le relative domande di finanziamento e sono state definite diverse graduatorie di ammissibilità a finanziamento, mentre altre sono in fase istruttoria. Inoltre si sono avviate le progettazioni degli interventi individuati direttamente dai programmi regionali.</w:t>
      </w:r>
    </w:p>
    <w:p w:rsidR="00E326BC" w:rsidRPr="00B85A6F" w:rsidRDefault="00E326BC" w:rsidP="00E326BC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B85A6F">
        <w:rPr>
          <w:rFonts w:eastAsia="Times New Roman" w:cstheme="minorHAnsi"/>
          <w:sz w:val="24"/>
          <w:szCs w:val="24"/>
          <w:lang w:eastAsia="it-IT"/>
        </w:rPr>
        <w:t>Per l’</w:t>
      </w:r>
      <w:r w:rsidRPr="008B62D7">
        <w:rPr>
          <w:rFonts w:eastAsia="Times New Roman" w:cstheme="minorHAnsi"/>
          <w:b/>
          <w:color w:val="1D1B11" w:themeColor="background2" w:themeShade="1A"/>
          <w:sz w:val="24"/>
          <w:szCs w:val="24"/>
          <w:lang w:eastAsia="it-IT"/>
        </w:rPr>
        <w:t>area Nord-Est Umbria</w:t>
      </w:r>
      <w:r w:rsidRPr="00B85A6F">
        <w:rPr>
          <w:rFonts w:eastAsia="Times New Roman" w:cstheme="minorHAnsi"/>
          <w:sz w:val="24"/>
          <w:szCs w:val="24"/>
          <w:lang w:eastAsia="it-IT"/>
        </w:rPr>
        <w:t xml:space="preserve">, </w:t>
      </w:r>
      <w:r>
        <w:rPr>
          <w:rFonts w:eastAsia="Times New Roman" w:cstheme="minorHAnsi"/>
          <w:sz w:val="24"/>
          <w:szCs w:val="24"/>
          <w:lang w:eastAsia="it-IT"/>
        </w:rPr>
        <w:t>n</w:t>
      </w:r>
      <w:r w:rsidRPr="00AD35F8">
        <w:rPr>
          <w:rFonts w:eastAsia="Times New Roman" w:cstheme="minorHAnsi"/>
          <w:sz w:val="24"/>
          <w:szCs w:val="24"/>
          <w:lang w:eastAsia="it-IT"/>
        </w:rPr>
        <w:t>ella prima metà dell’anno, si sono realizzate le attività propedeutiche alla definizione del documento di Strategia dell’Area, la cui approvazione da parte della Regione è avvenuta con DGR n. 857 del 2 agosto 2018. Hanno quindi avuto inizio le operazioni relative alla progressiva messa a punto dell’Accordo di Programma Quadro per l’attuazione della Strategia dell’area interna Nord Est Umbria, la cui proposta tecnica è stata approvata dalla Giunta regionale con deliberazione n. 1344 del 26 novembre 2018. La procedura di firma dell’APQ si è conclusa in data 16 maggio 2019.</w:t>
      </w:r>
      <w:r w:rsidRPr="00B85A6F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E326BC" w:rsidRDefault="00E326BC" w:rsidP="00E326BC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B85A6F">
        <w:rPr>
          <w:rFonts w:eastAsia="Times New Roman" w:cstheme="minorHAnsi"/>
          <w:sz w:val="24"/>
          <w:szCs w:val="24"/>
          <w:lang w:eastAsia="it-IT"/>
        </w:rPr>
        <w:lastRenderedPageBreak/>
        <w:t>Per l’</w:t>
      </w:r>
      <w:r w:rsidRPr="008B62D7">
        <w:rPr>
          <w:rFonts w:eastAsia="Times New Roman" w:cstheme="minorHAnsi"/>
          <w:b/>
          <w:color w:val="1D1B11" w:themeColor="background2" w:themeShade="1A"/>
          <w:sz w:val="24"/>
          <w:szCs w:val="24"/>
          <w:lang w:eastAsia="it-IT"/>
        </w:rPr>
        <w:t xml:space="preserve">area </w:t>
      </w:r>
      <w:proofErr w:type="spellStart"/>
      <w:r w:rsidRPr="008B62D7">
        <w:rPr>
          <w:rFonts w:eastAsia="Times New Roman" w:cstheme="minorHAnsi"/>
          <w:b/>
          <w:color w:val="1D1B11" w:themeColor="background2" w:themeShade="1A"/>
          <w:sz w:val="24"/>
          <w:szCs w:val="24"/>
          <w:lang w:eastAsia="it-IT"/>
        </w:rPr>
        <w:t>Valnerina</w:t>
      </w:r>
      <w:proofErr w:type="spellEnd"/>
      <w:r w:rsidRPr="00B85A6F">
        <w:rPr>
          <w:rFonts w:eastAsia="Times New Roman" w:cstheme="minorHAnsi"/>
          <w:sz w:val="24"/>
          <w:szCs w:val="24"/>
          <w:lang w:eastAsia="it-IT"/>
        </w:rPr>
        <w:t>, la terza area regionale individuata, è iniziato il processo di elaborazione del documento “Preliminare rafforzato di Strategia”</w:t>
      </w:r>
      <w:r>
        <w:rPr>
          <w:rFonts w:eastAsia="Times New Roman" w:cstheme="minorHAnsi"/>
          <w:sz w:val="24"/>
          <w:szCs w:val="24"/>
          <w:lang w:eastAsia="it-IT"/>
        </w:rPr>
        <w:t xml:space="preserve">. </w:t>
      </w:r>
      <w:r w:rsidRPr="00B85A6F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D35F8">
        <w:rPr>
          <w:rFonts w:eastAsia="Times New Roman" w:cstheme="minorHAnsi"/>
          <w:sz w:val="24"/>
          <w:szCs w:val="24"/>
          <w:lang w:eastAsia="it-IT"/>
        </w:rPr>
        <w:t xml:space="preserve">Trattandosi di un territorio che ricade nell’area cratere del sisma 2016, la </w:t>
      </w:r>
      <w:proofErr w:type="spellStart"/>
      <w:r w:rsidRPr="00AD35F8">
        <w:rPr>
          <w:rFonts w:eastAsia="Times New Roman" w:cstheme="minorHAnsi"/>
          <w:sz w:val="24"/>
          <w:szCs w:val="24"/>
          <w:lang w:eastAsia="it-IT"/>
        </w:rPr>
        <w:t>Valnerina</w:t>
      </w:r>
      <w:proofErr w:type="spellEnd"/>
      <w:r w:rsidRPr="00AD35F8">
        <w:rPr>
          <w:rFonts w:eastAsia="Times New Roman" w:cstheme="minorHAnsi"/>
          <w:sz w:val="24"/>
          <w:szCs w:val="24"/>
          <w:lang w:eastAsia="it-IT"/>
        </w:rPr>
        <w:t xml:space="preserve"> ha potuto beneficiare di una procedura semplificata che consente di redigere direttamente un documento “Preliminare rafforzato” propedeutico alla predisposizione dell’APQ, evitando così il doppio passaggio di redazione del “Preliminare di Strategia” e quindi della “Strategia” vera e propria. La Regione Umbria ha approvato il Preliminare rafforzato di Strategia dell’Area interna </w:t>
      </w:r>
      <w:proofErr w:type="spellStart"/>
      <w:r w:rsidRPr="00AD35F8">
        <w:rPr>
          <w:rFonts w:eastAsia="Times New Roman" w:cstheme="minorHAnsi"/>
          <w:sz w:val="24"/>
          <w:szCs w:val="24"/>
          <w:lang w:eastAsia="it-IT"/>
        </w:rPr>
        <w:t>Valnerina</w:t>
      </w:r>
      <w:proofErr w:type="spellEnd"/>
      <w:r w:rsidRPr="00AD35F8">
        <w:rPr>
          <w:rFonts w:eastAsia="Times New Roman" w:cstheme="minorHAnsi"/>
          <w:sz w:val="24"/>
          <w:szCs w:val="24"/>
          <w:lang w:eastAsia="it-IT"/>
        </w:rPr>
        <w:t xml:space="preserve"> con la DGR n. 557 del 6 maggio 2019. Per l’area </w:t>
      </w:r>
      <w:proofErr w:type="spellStart"/>
      <w:r w:rsidRPr="00AD35F8">
        <w:rPr>
          <w:rFonts w:eastAsia="Times New Roman" w:cstheme="minorHAnsi"/>
          <w:sz w:val="24"/>
          <w:szCs w:val="24"/>
          <w:lang w:eastAsia="it-IT"/>
        </w:rPr>
        <w:t>Valnerina</w:t>
      </w:r>
      <w:proofErr w:type="spellEnd"/>
      <w:r w:rsidRPr="00AD35F8">
        <w:rPr>
          <w:rFonts w:eastAsia="Times New Roman" w:cstheme="minorHAnsi"/>
          <w:sz w:val="24"/>
          <w:szCs w:val="24"/>
          <w:lang w:eastAsia="it-IT"/>
        </w:rPr>
        <w:t xml:space="preserve"> si sta quindi procedendo all’avvio della fase di ingegnerizzazione delle schede intervento che costituiranno il contenuto del Accordo di Programma Quadro da stipulare.</w:t>
      </w:r>
    </w:p>
    <w:p w:rsidR="00E326BC" w:rsidRDefault="00E326BC" w:rsidP="00E326BC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B85A6F">
        <w:rPr>
          <w:rFonts w:eastAsia="Times New Roman" w:cstheme="minorHAnsi"/>
          <w:sz w:val="24"/>
          <w:szCs w:val="24"/>
          <w:lang w:eastAsia="it-IT"/>
        </w:rPr>
        <w:t>Per quanto riguarda l’</w:t>
      </w:r>
      <w:r w:rsidRPr="008B62D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 xml:space="preserve">Investimento territoriale Integrato (ITI) </w:t>
      </w:r>
      <w:r w:rsidRPr="00B85A6F">
        <w:rPr>
          <w:rFonts w:eastAsia="Times New Roman" w:cstheme="minorHAnsi"/>
          <w:sz w:val="24"/>
          <w:szCs w:val="24"/>
          <w:lang w:eastAsia="it-IT"/>
        </w:rPr>
        <w:t>previsto dall’art. 36 del Reg. UE n. 1303/2013, esso è stato utilizzato per avviare le procedure relative al “Progetto integrato d’area del bacino del Trasimeno”, che riguarda i Comuni di Castiglione del Lago, Città della Pieve, Magione, Paciano, Panicale, Passignano sul Trasimeno, Piegaro e Tuoro sul Trasimeno utilizzando le risorse finanziarie nell’ambito dei POR FESR e FSE e del PSR 2014-2020 per un totale di 15 milioni di euro, di cui 5,5 mln a carico del POR FESR, 2,0 mln a carico del POR FSE e 7,5 mln a carico del PSR FEASR. Gli 8 Comuni sono stati individuati in quanto hanno una lunga storia di collaborazione, iniziata con il Piano regionale di sviluppo 1982-85 e più recentemente rinnovata con un “Contratto di paesaggio”, strumento di programmazione negoziata che costituisce il contesto urbanistico e paesaggistico per l’ITI Trasimeno. La nuova collaborazione per l’ITI Trasimeno ha dato un forte impulso alla volontà associativa degli 8 Comuni che il 12 luglio 2016 hanno costituito l’Unione dei Comuni del Trasimeno. Dopo la sottoscrizione della Convenzione tra la Regione Umbria e l’Unione dei Comuni del Trasimeno per l’attuazione della Strategia di sviluppo territoriale integrata e intersettoriale per l’ITI Trasimeno avvenuta il 21 luglio 2017,  si è dato avvio concreto agli interventi in esso previsti.</w:t>
      </w:r>
    </w:p>
    <w:p w:rsidR="00E326BC" w:rsidRPr="00CC6D6F" w:rsidRDefault="00E326BC" w:rsidP="00E326BC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CC6D6F">
        <w:rPr>
          <w:rFonts w:eastAsia="Times New Roman" w:cstheme="minorHAnsi"/>
          <w:sz w:val="24"/>
          <w:szCs w:val="24"/>
          <w:lang w:eastAsia="it-IT"/>
        </w:rPr>
        <w:t>Gli interventi previsti nella Convenzione si attuano attraverso le due seguenti modalità:</w:t>
      </w:r>
    </w:p>
    <w:p w:rsidR="00E326BC" w:rsidRPr="00CC6D6F" w:rsidRDefault="00E326BC" w:rsidP="00E326BC">
      <w:pPr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it-IT"/>
        </w:rPr>
      </w:pPr>
      <w:r w:rsidRPr="00CC6D6F">
        <w:rPr>
          <w:rFonts w:eastAsia="Times New Roman" w:cstheme="minorHAnsi"/>
          <w:sz w:val="24"/>
          <w:szCs w:val="24"/>
          <w:lang w:eastAsia="it-IT"/>
        </w:rPr>
        <w:t xml:space="preserve">a) attraverso un “Organismo intermedio” (OI) individuato nell’Unione dei Comuni del Trasimeno (per gli interventi previsti dagli Assi ITI Trasimeno </w:t>
      </w:r>
      <w:proofErr w:type="spellStart"/>
      <w:r w:rsidRPr="00CC6D6F">
        <w:rPr>
          <w:rFonts w:eastAsia="Times New Roman" w:cstheme="minorHAnsi"/>
          <w:sz w:val="24"/>
          <w:szCs w:val="24"/>
          <w:lang w:eastAsia="it-IT"/>
        </w:rPr>
        <w:t>nn</w:t>
      </w:r>
      <w:proofErr w:type="spellEnd"/>
      <w:r w:rsidRPr="00CC6D6F">
        <w:rPr>
          <w:rFonts w:eastAsia="Times New Roman" w:cstheme="minorHAnsi"/>
          <w:sz w:val="24"/>
          <w:szCs w:val="24"/>
          <w:lang w:eastAsia="it-IT"/>
        </w:rPr>
        <w:t>. 1, 3 e 6 e finanziati con le risorse FESR e FSE); in questo caso la Regione Umbria mantiene funzioni di programmazione, monitoraggio e controllo (controlli di secondo livello e controllo della gestione delle funzioni delegate);</w:t>
      </w:r>
    </w:p>
    <w:p w:rsidR="00E326BC" w:rsidRPr="00CC6D6F" w:rsidRDefault="00E326BC" w:rsidP="00E326BC">
      <w:pPr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it-IT"/>
        </w:rPr>
      </w:pPr>
      <w:r w:rsidRPr="00CC6D6F">
        <w:rPr>
          <w:rFonts w:eastAsia="Times New Roman" w:cstheme="minorHAnsi"/>
          <w:sz w:val="24"/>
          <w:szCs w:val="24"/>
          <w:lang w:eastAsia="it-IT"/>
        </w:rPr>
        <w:t xml:space="preserve">b) direttamente dalla Regione (per gli interventi previsti negli Assi </w:t>
      </w:r>
      <w:proofErr w:type="spellStart"/>
      <w:r w:rsidRPr="00CC6D6F">
        <w:rPr>
          <w:rFonts w:eastAsia="Times New Roman" w:cstheme="minorHAnsi"/>
          <w:sz w:val="24"/>
          <w:szCs w:val="24"/>
          <w:lang w:eastAsia="it-IT"/>
        </w:rPr>
        <w:t>nn</w:t>
      </w:r>
      <w:proofErr w:type="spellEnd"/>
      <w:r w:rsidRPr="00CC6D6F">
        <w:rPr>
          <w:rFonts w:eastAsia="Times New Roman" w:cstheme="minorHAnsi"/>
          <w:sz w:val="24"/>
          <w:szCs w:val="24"/>
          <w:lang w:eastAsia="it-IT"/>
        </w:rPr>
        <w:t>. 2, 4 e 5 e per gli interventi degli assi 1, 3 e 6 finanziati con le risorse del PSR FEARS).</w:t>
      </w:r>
    </w:p>
    <w:p w:rsidR="00E326BC" w:rsidRDefault="00E326BC" w:rsidP="00E326BC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B85A6F">
        <w:rPr>
          <w:rFonts w:eastAsia="Times New Roman" w:cstheme="minorHAnsi"/>
          <w:sz w:val="24"/>
          <w:szCs w:val="24"/>
          <w:lang w:eastAsia="it-IT"/>
        </w:rPr>
        <w:t xml:space="preserve">Nel corso del 2018 </w:t>
      </w:r>
      <w:r>
        <w:rPr>
          <w:rFonts w:eastAsia="Times New Roman" w:cstheme="minorHAnsi"/>
          <w:sz w:val="24"/>
          <w:szCs w:val="24"/>
          <w:lang w:eastAsia="it-IT"/>
        </w:rPr>
        <w:t xml:space="preserve">e primi mesi 2019 </w:t>
      </w:r>
      <w:r w:rsidRPr="00B85A6F">
        <w:rPr>
          <w:rFonts w:eastAsia="Times New Roman" w:cstheme="minorHAnsi"/>
          <w:sz w:val="24"/>
          <w:szCs w:val="24"/>
          <w:lang w:eastAsia="it-IT"/>
        </w:rPr>
        <w:t>è stato dato avvio concreto agli interventi previsti nella Strategia di sviluppo territoriale integrata e intersettoriale per l’ITI Trasimeno, nell’ambito del Progetto integrato d’area per il bacino del Trasimeno. Nello specifico sono stati avviati i procedimenti attuativi relativi agli Assi 1 - Tutela e valorizzazione dei beni ambientali e culturali; Ass</w:t>
      </w:r>
      <w:r>
        <w:rPr>
          <w:rFonts w:eastAsia="Times New Roman" w:cstheme="minorHAnsi"/>
          <w:sz w:val="24"/>
          <w:szCs w:val="24"/>
          <w:lang w:eastAsia="it-IT"/>
        </w:rPr>
        <w:t xml:space="preserve">e 2 - Competitività delle PMI </w:t>
      </w:r>
      <w:r w:rsidRPr="00B85A6F">
        <w:rPr>
          <w:rFonts w:eastAsia="Times New Roman" w:cstheme="minorHAnsi"/>
          <w:sz w:val="24"/>
          <w:szCs w:val="24"/>
          <w:lang w:eastAsia="it-IT"/>
        </w:rPr>
        <w:t xml:space="preserve">e Asse 5 - </w:t>
      </w:r>
      <w:proofErr w:type="spellStart"/>
      <w:r w:rsidRPr="00B85A6F">
        <w:rPr>
          <w:rFonts w:eastAsia="Times New Roman" w:cstheme="minorHAnsi"/>
          <w:sz w:val="24"/>
          <w:szCs w:val="24"/>
          <w:lang w:eastAsia="it-IT"/>
        </w:rPr>
        <w:t>Efficientamento</w:t>
      </w:r>
      <w:proofErr w:type="spellEnd"/>
      <w:r w:rsidRPr="00B85A6F">
        <w:rPr>
          <w:rFonts w:eastAsia="Times New Roman" w:cstheme="minorHAnsi"/>
          <w:sz w:val="24"/>
          <w:szCs w:val="24"/>
          <w:lang w:eastAsia="it-IT"/>
        </w:rPr>
        <w:t xml:space="preserve"> delle PPAA del piano finanziario dell’ITI Trasimeno.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E326BC" w:rsidRPr="00A267DE" w:rsidRDefault="00E326BC" w:rsidP="00E326B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In particolare, a valere sulle risorse dell’Asse II dell’ITI Trasimeno è in corso di istruttoria </w:t>
      </w:r>
      <w:r w:rsidRPr="00A267DE">
        <w:rPr>
          <w:rFonts w:eastAsia="Times New Roman" w:cstheme="minorHAnsi"/>
          <w:sz w:val="24"/>
          <w:szCs w:val="24"/>
          <w:lang w:eastAsia="it-IT"/>
        </w:rPr>
        <w:t xml:space="preserve">il progetto </w:t>
      </w:r>
      <w:r w:rsidRPr="00A267DE">
        <w:rPr>
          <w:rFonts w:eastAsia="Times New Roman" w:cstheme="minorHAnsi"/>
          <w:i/>
          <w:sz w:val="24"/>
          <w:szCs w:val="24"/>
          <w:lang w:eastAsia="it-IT"/>
        </w:rPr>
        <w:t>“Vivi il Trasimeno”</w:t>
      </w:r>
      <w:r w:rsidRPr="00A267DE">
        <w:rPr>
          <w:rFonts w:eastAsia="Times New Roman" w:cstheme="minorHAnsi"/>
          <w:sz w:val="24"/>
          <w:szCs w:val="24"/>
          <w:lang w:eastAsia="it-IT"/>
        </w:rPr>
        <w:t xml:space="preserve"> unico progetto presentato rispetto al bando “</w:t>
      </w:r>
      <w:r w:rsidRPr="00A267DE">
        <w:rPr>
          <w:rFonts w:eastAsia="Times New Roman" w:cstheme="minorHAnsi"/>
          <w:i/>
          <w:sz w:val="24"/>
          <w:szCs w:val="24"/>
          <w:lang w:eastAsia="it-IT"/>
        </w:rPr>
        <w:t xml:space="preserve">Costruzione e </w:t>
      </w:r>
      <w:proofErr w:type="spellStart"/>
      <w:r w:rsidRPr="00A267DE">
        <w:rPr>
          <w:rFonts w:eastAsia="Times New Roman" w:cstheme="minorHAnsi"/>
          <w:i/>
          <w:sz w:val="24"/>
          <w:szCs w:val="24"/>
          <w:lang w:eastAsia="it-IT"/>
        </w:rPr>
        <w:t>promocommercializzazione</w:t>
      </w:r>
      <w:proofErr w:type="spellEnd"/>
      <w:r w:rsidRPr="00A267DE">
        <w:rPr>
          <w:rFonts w:eastAsia="Times New Roman" w:cstheme="minorHAnsi"/>
          <w:i/>
          <w:sz w:val="24"/>
          <w:szCs w:val="24"/>
          <w:lang w:eastAsia="it-IT"/>
        </w:rPr>
        <w:t xml:space="preserve"> dei prodotti turistici &lt;Le pievi e i sentieri del Trasimeno&gt;, &lt;Trasimeno lago felice&gt; e &lt;Vivi il Trasimeno&gt;</w:t>
      </w:r>
      <w:r w:rsidRPr="00A267DE">
        <w:rPr>
          <w:rFonts w:eastAsia="Times New Roman" w:cstheme="minorHAnsi"/>
          <w:sz w:val="24"/>
          <w:szCs w:val="24"/>
          <w:lang w:eastAsia="it-IT"/>
        </w:rPr>
        <w:t xml:space="preserve">”. Inoltre </w:t>
      </w:r>
      <w:r>
        <w:rPr>
          <w:rFonts w:eastAsia="Times New Roman" w:cstheme="minorHAnsi"/>
          <w:sz w:val="24"/>
          <w:szCs w:val="24"/>
          <w:lang w:eastAsia="it-IT"/>
        </w:rPr>
        <w:t>s</w:t>
      </w:r>
      <w:r w:rsidRPr="00A267DE">
        <w:rPr>
          <w:rFonts w:eastAsia="Times New Roman" w:cstheme="minorHAnsi"/>
          <w:sz w:val="24"/>
          <w:szCs w:val="24"/>
          <w:lang w:eastAsia="it-IT"/>
        </w:rPr>
        <w:t>ono stati recentemente pubblicati dalla Regione Umbria i bandi relativi ad aiuti alle imprese agrituristiche (Intervento 6.4.1 PSR) ed extra agricole (Intervento 6.4.3 PSR).</w:t>
      </w:r>
    </w:p>
    <w:p w:rsidR="00E326BC" w:rsidRDefault="00E326BC" w:rsidP="00E326BC">
      <w:pPr>
        <w:spacing w:after="0"/>
        <w:jc w:val="both"/>
        <w:rPr>
          <w:rFonts w:cstheme="minorHAnsi"/>
          <w:iCs/>
          <w:sz w:val="24"/>
          <w:szCs w:val="24"/>
        </w:rPr>
      </w:pPr>
      <w:r w:rsidRPr="00A267DE">
        <w:rPr>
          <w:rFonts w:eastAsia="Times New Roman" w:cstheme="minorHAnsi"/>
          <w:sz w:val="24"/>
          <w:szCs w:val="24"/>
          <w:lang w:eastAsia="it-IT"/>
        </w:rPr>
        <w:lastRenderedPageBreak/>
        <w:t>Per l’ITI Trasimeno, in qualità di Organismo intermedio, è in corso l’elaborazione del Sistema di</w:t>
      </w:r>
      <w:r>
        <w:rPr>
          <w:rFonts w:cstheme="minorHAnsi"/>
          <w:iCs/>
          <w:sz w:val="24"/>
          <w:szCs w:val="24"/>
        </w:rPr>
        <w:t xml:space="preserve"> gestione e controllo.</w:t>
      </w:r>
    </w:p>
    <w:p w:rsidR="00311E31" w:rsidRPr="00713FCD" w:rsidRDefault="00311E31" w:rsidP="00311E31">
      <w:pPr>
        <w:jc w:val="both"/>
        <w:rPr>
          <w:rFonts w:cstheme="minorHAnsi"/>
          <w:iCs/>
          <w:sz w:val="24"/>
          <w:szCs w:val="24"/>
        </w:rPr>
      </w:pPr>
      <w:r w:rsidRPr="00311E31">
        <w:rPr>
          <w:rFonts w:cstheme="minorHAnsi"/>
          <w:iCs/>
          <w:sz w:val="24"/>
          <w:szCs w:val="24"/>
        </w:rPr>
        <w:t xml:space="preserve">A sostegno di quanto proceduralmente illustrato si riporta la tabella del target 2019, degli impegni, </w:t>
      </w:r>
      <w:r>
        <w:rPr>
          <w:rFonts w:cstheme="minorHAnsi"/>
          <w:iCs/>
          <w:sz w:val="24"/>
          <w:szCs w:val="24"/>
        </w:rPr>
        <w:t xml:space="preserve">dei </w:t>
      </w:r>
      <w:r w:rsidRPr="00311E31">
        <w:rPr>
          <w:rFonts w:cstheme="minorHAnsi"/>
          <w:iCs/>
          <w:sz w:val="24"/>
          <w:szCs w:val="24"/>
        </w:rPr>
        <w:t xml:space="preserve">pagamenti e </w:t>
      </w:r>
      <w:r>
        <w:rPr>
          <w:rFonts w:cstheme="minorHAnsi"/>
          <w:iCs/>
          <w:sz w:val="24"/>
          <w:szCs w:val="24"/>
        </w:rPr>
        <w:t xml:space="preserve">delle </w:t>
      </w:r>
      <w:r w:rsidRPr="00311E31">
        <w:rPr>
          <w:rFonts w:cstheme="minorHAnsi"/>
          <w:iCs/>
          <w:sz w:val="24"/>
          <w:szCs w:val="24"/>
        </w:rPr>
        <w:t>previsioni a maggio 2019.</w:t>
      </w:r>
    </w:p>
    <w:p w:rsidR="00311E31" w:rsidRPr="00B85A6F" w:rsidRDefault="00311E31" w:rsidP="00E326BC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E326BC" w:rsidRDefault="00E326BC" w:rsidP="00E326BC">
      <w:pPr>
        <w:spacing w:after="0"/>
        <w:jc w:val="both"/>
        <w:rPr>
          <w:rFonts w:cstheme="minorHAnsi"/>
          <w:iCs/>
          <w:sz w:val="24"/>
          <w:szCs w:val="24"/>
        </w:rPr>
      </w:pPr>
    </w:p>
    <w:p w:rsidR="00CC01A0" w:rsidRDefault="00CC01A0" w:rsidP="00930FAF">
      <w:pPr>
        <w:pStyle w:val="Titolo1"/>
        <w:rPr>
          <w:color w:val="4F81BD" w:themeColor="accent1"/>
          <w:sz w:val="24"/>
          <w:szCs w:val="24"/>
        </w:rPr>
      </w:pPr>
    </w:p>
    <w:p w:rsidR="00040260" w:rsidRDefault="00040260" w:rsidP="00040260"/>
    <w:p w:rsidR="00040260" w:rsidRDefault="00040260" w:rsidP="00040260"/>
    <w:p w:rsidR="00040260" w:rsidRDefault="00040260" w:rsidP="00040260"/>
    <w:p w:rsidR="00040260" w:rsidRDefault="00040260" w:rsidP="00040260"/>
    <w:p w:rsidR="00040260" w:rsidRDefault="00040260" w:rsidP="00040260"/>
    <w:p w:rsidR="00040260" w:rsidRDefault="00040260" w:rsidP="00040260"/>
    <w:p w:rsidR="00040260" w:rsidRDefault="00040260" w:rsidP="00040260"/>
    <w:p w:rsidR="00040260" w:rsidRPr="00040260" w:rsidRDefault="00040260" w:rsidP="00040260"/>
    <w:p w:rsidR="00001F68" w:rsidRDefault="00001F68" w:rsidP="00F6092B">
      <w:pPr>
        <w:spacing w:after="120"/>
        <w:jc w:val="both"/>
        <w:rPr>
          <w:sz w:val="24"/>
          <w:szCs w:val="24"/>
        </w:rPr>
      </w:pPr>
    </w:p>
    <w:p w:rsidR="000815D7" w:rsidRPr="005B01B6" w:rsidRDefault="009D0B4E" w:rsidP="00311E31">
      <w:pPr>
        <w:spacing w:after="120"/>
        <w:jc w:val="both"/>
        <w:rPr>
          <w:i/>
          <w:sz w:val="20"/>
          <w:szCs w:val="20"/>
        </w:rPr>
      </w:pPr>
      <w:r w:rsidRPr="0089652C">
        <w:rPr>
          <w:sz w:val="24"/>
          <w:szCs w:val="24"/>
        </w:rPr>
        <w:t xml:space="preserve"> </w:t>
      </w:r>
    </w:p>
    <w:p w:rsidR="00457178" w:rsidRPr="00457178" w:rsidRDefault="00457178" w:rsidP="00D22E6E">
      <w:pPr>
        <w:spacing w:after="120"/>
        <w:jc w:val="both"/>
        <w:rPr>
          <w:sz w:val="24"/>
          <w:szCs w:val="24"/>
        </w:rPr>
        <w:sectPr w:rsidR="00457178" w:rsidRPr="00457178" w:rsidSect="00FA2C01">
          <w:pgSz w:w="11906" w:h="16838"/>
          <w:pgMar w:top="1440" w:right="1080" w:bottom="1440" w:left="1080" w:header="708" w:footer="708" w:gutter="0"/>
          <w:pgNumType w:start="0"/>
          <w:cols w:space="708"/>
          <w:titlePg/>
          <w:docGrid w:linePitch="360"/>
        </w:sectPr>
      </w:pPr>
    </w:p>
    <w:p w:rsidR="00983981" w:rsidRDefault="00983981" w:rsidP="00D150D5">
      <w:pPr>
        <w:spacing w:after="120"/>
        <w:jc w:val="center"/>
        <w:rPr>
          <w:sz w:val="24"/>
          <w:szCs w:val="24"/>
        </w:rPr>
      </w:pPr>
      <w:r w:rsidRPr="00983981">
        <w:rPr>
          <w:noProof/>
          <w:lang w:eastAsia="it-IT"/>
        </w:rPr>
        <w:lastRenderedPageBreak/>
        <w:drawing>
          <wp:inline distT="0" distB="0" distL="0" distR="0" wp14:anchorId="1BD35E27" wp14:editId="16CFD0F7">
            <wp:extent cx="9152626" cy="6090249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626" cy="609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C9F" w:rsidRPr="00B30C9F" w:rsidRDefault="00B30C9F" w:rsidP="00B30C9F">
      <w:pPr>
        <w:ind w:left="708" w:firstLine="708"/>
        <w:rPr>
          <w:i/>
          <w:sz w:val="16"/>
          <w:szCs w:val="16"/>
        </w:rPr>
      </w:pPr>
      <w:r w:rsidRPr="00B30C9F">
        <w:rPr>
          <w:i/>
          <w:sz w:val="16"/>
          <w:szCs w:val="16"/>
        </w:rPr>
        <w:t>Fonte: Sistema Informativo SMG FESR 2014-2020</w:t>
      </w:r>
    </w:p>
    <w:p w:rsidR="004873B3" w:rsidRDefault="004873B3" w:rsidP="00D150D5">
      <w:pPr>
        <w:spacing w:after="120"/>
        <w:jc w:val="center"/>
        <w:rPr>
          <w:sz w:val="24"/>
          <w:szCs w:val="24"/>
        </w:rPr>
      </w:pPr>
    </w:p>
    <w:p w:rsidR="00221B26" w:rsidRPr="00FB295C" w:rsidRDefault="00221B26" w:rsidP="00FB295C">
      <w:pPr>
        <w:rPr>
          <w:sz w:val="24"/>
          <w:szCs w:val="24"/>
        </w:rPr>
        <w:sectPr w:rsidR="00221B26" w:rsidRPr="00FB295C" w:rsidSect="00D150D5">
          <w:pgSz w:w="16838" w:h="11906" w:orient="landscape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:rsidR="000931B8" w:rsidRPr="0008633D" w:rsidRDefault="000931B8" w:rsidP="00D22E6E">
      <w:pPr>
        <w:spacing w:after="120"/>
        <w:jc w:val="both"/>
        <w:rPr>
          <w:sz w:val="24"/>
          <w:szCs w:val="24"/>
        </w:rPr>
      </w:pPr>
    </w:p>
    <w:sectPr w:rsidR="000931B8" w:rsidRPr="0008633D" w:rsidSect="00FA2C01"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0D" w:rsidRDefault="00A73D0D" w:rsidP="00FA2C01">
      <w:pPr>
        <w:spacing w:after="0" w:line="240" w:lineRule="auto"/>
      </w:pPr>
      <w:r>
        <w:separator/>
      </w:r>
    </w:p>
  </w:endnote>
  <w:endnote w:type="continuationSeparator" w:id="0">
    <w:p w:rsidR="00A73D0D" w:rsidRDefault="00A73D0D" w:rsidP="00FA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0D" w:rsidRDefault="00A73D0D" w:rsidP="00FA2C01">
      <w:pPr>
        <w:spacing w:after="0" w:line="240" w:lineRule="auto"/>
      </w:pPr>
      <w:r>
        <w:separator/>
      </w:r>
    </w:p>
  </w:footnote>
  <w:footnote w:type="continuationSeparator" w:id="0">
    <w:p w:rsidR="00A73D0D" w:rsidRDefault="00A73D0D" w:rsidP="00FA2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5pt;height:11.5pt" o:bullet="t">
        <v:imagedata r:id="rId1" o:title="msoEC18"/>
      </v:shape>
    </w:pict>
  </w:numPicBullet>
  <w:abstractNum w:abstractNumId="0">
    <w:nsid w:val="0E2605AF"/>
    <w:multiLevelType w:val="hybridMultilevel"/>
    <w:tmpl w:val="8174B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70B9D"/>
    <w:multiLevelType w:val="hybridMultilevel"/>
    <w:tmpl w:val="4A68E34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0022E"/>
    <w:multiLevelType w:val="hybridMultilevel"/>
    <w:tmpl w:val="7E04C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32B7F"/>
    <w:multiLevelType w:val="hybridMultilevel"/>
    <w:tmpl w:val="A9860CA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2DD376E"/>
    <w:multiLevelType w:val="hybridMultilevel"/>
    <w:tmpl w:val="89F6084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0664B"/>
    <w:multiLevelType w:val="hybridMultilevel"/>
    <w:tmpl w:val="2EFE3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A1F8D"/>
    <w:multiLevelType w:val="hybridMultilevel"/>
    <w:tmpl w:val="587A9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15CD5"/>
    <w:multiLevelType w:val="hybridMultilevel"/>
    <w:tmpl w:val="305227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E4E9C"/>
    <w:multiLevelType w:val="hybridMultilevel"/>
    <w:tmpl w:val="EFBA46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C3D53"/>
    <w:multiLevelType w:val="hybridMultilevel"/>
    <w:tmpl w:val="9F9000F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A07573"/>
    <w:multiLevelType w:val="hybridMultilevel"/>
    <w:tmpl w:val="3EBAE94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E6AAE"/>
    <w:multiLevelType w:val="hybridMultilevel"/>
    <w:tmpl w:val="A2482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01B4D"/>
    <w:multiLevelType w:val="hybridMultilevel"/>
    <w:tmpl w:val="00E23376"/>
    <w:lvl w:ilvl="0" w:tplc="0410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C85334D"/>
    <w:multiLevelType w:val="hybridMultilevel"/>
    <w:tmpl w:val="7F1271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F3258"/>
    <w:multiLevelType w:val="hybridMultilevel"/>
    <w:tmpl w:val="25AEF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01679"/>
    <w:multiLevelType w:val="hybridMultilevel"/>
    <w:tmpl w:val="C0FAEB1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77A4A"/>
    <w:multiLevelType w:val="hybridMultilevel"/>
    <w:tmpl w:val="9614158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F1982"/>
    <w:multiLevelType w:val="hybridMultilevel"/>
    <w:tmpl w:val="80A01BC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B06A4B"/>
    <w:multiLevelType w:val="hybridMultilevel"/>
    <w:tmpl w:val="3B34BB2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317EA"/>
    <w:multiLevelType w:val="hybridMultilevel"/>
    <w:tmpl w:val="F61ACA36"/>
    <w:lvl w:ilvl="0" w:tplc="BC941A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1822CA"/>
    <w:multiLevelType w:val="hybridMultilevel"/>
    <w:tmpl w:val="CC929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5"/>
  </w:num>
  <w:num w:numId="7">
    <w:abstractNumId w:val="7"/>
  </w:num>
  <w:num w:numId="8">
    <w:abstractNumId w:val="8"/>
  </w:num>
  <w:num w:numId="9">
    <w:abstractNumId w:val="10"/>
  </w:num>
  <w:num w:numId="10">
    <w:abstractNumId w:val="18"/>
  </w:num>
  <w:num w:numId="11">
    <w:abstractNumId w:val="1"/>
  </w:num>
  <w:num w:numId="12">
    <w:abstractNumId w:val="4"/>
  </w:num>
  <w:num w:numId="13">
    <w:abstractNumId w:val="17"/>
  </w:num>
  <w:num w:numId="14">
    <w:abstractNumId w:val="20"/>
  </w:num>
  <w:num w:numId="15">
    <w:abstractNumId w:val="16"/>
  </w:num>
  <w:num w:numId="16">
    <w:abstractNumId w:val="9"/>
  </w:num>
  <w:num w:numId="17">
    <w:abstractNumId w:val="19"/>
  </w:num>
  <w:num w:numId="18">
    <w:abstractNumId w:val="3"/>
  </w:num>
  <w:num w:numId="19">
    <w:abstractNumId w:val="12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92"/>
    <w:rsid w:val="00000D69"/>
    <w:rsid w:val="0000102D"/>
    <w:rsid w:val="00001F68"/>
    <w:rsid w:val="00002658"/>
    <w:rsid w:val="0000772B"/>
    <w:rsid w:val="0001408F"/>
    <w:rsid w:val="00015BE0"/>
    <w:rsid w:val="0002544C"/>
    <w:rsid w:val="00030D81"/>
    <w:rsid w:val="00040260"/>
    <w:rsid w:val="00040F75"/>
    <w:rsid w:val="00041934"/>
    <w:rsid w:val="0004213F"/>
    <w:rsid w:val="00076AC4"/>
    <w:rsid w:val="000815D7"/>
    <w:rsid w:val="0008178C"/>
    <w:rsid w:val="0008633D"/>
    <w:rsid w:val="000931B8"/>
    <w:rsid w:val="000971AD"/>
    <w:rsid w:val="000A777B"/>
    <w:rsid w:val="000B2675"/>
    <w:rsid w:val="000B2A8C"/>
    <w:rsid w:val="000C3739"/>
    <w:rsid w:val="000D0176"/>
    <w:rsid w:val="000D1C52"/>
    <w:rsid w:val="00100708"/>
    <w:rsid w:val="0010207E"/>
    <w:rsid w:val="00102682"/>
    <w:rsid w:val="00105828"/>
    <w:rsid w:val="00122D96"/>
    <w:rsid w:val="00156CB5"/>
    <w:rsid w:val="0016007F"/>
    <w:rsid w:val="00164870"/>
    <w:rsid w:val="00170ED0"/>
    <w:rsid w:val="001A0744"/>
    <w:rsid w:val="001C769A"/>
    <w:rsid w:val="001D5960"/>
    <w:rsid w:val="001E4436"/>
    <w:rsid w:val="0020096B"/>
    <w:rsid w:val="00205241"/>
    <w:rsid w:val="00221B26"/>
    <w:rsid w:val="002522B5"/>
    <w:rsid w:val="002726BA"/>
    <w:rsid w:val="00280C22"/>
    <w:rsid w:val="00281BAE"/>
    <w:rsid w:val="00282E0B"/>
    <w:rsid w:val="002A3640"/>
    <w:rsid w:val="002D3739"/>
    <w:rsid w:val="002E5487"/>
    <w:rsid w:val="002F35B0"/>
    <w:rsid w:val="00311E31"/>
    <w:rsid w:val="00331A7E"/>
    <w:rsid w:val="003342FB"/>
    <w:rsid w:val="00343B16"/>
    <w:rsid w:val="00346508"/>
    <w:rsid w:val="00372268"/>
    <w:rsid w:val="0037665E"/>
    <w:rsid w:val="00376CEB"/>
    <w:rsid w:val="00384846"/>
    <w:rsid w:val="00384D47"/>
    <w:rsid w:val="00386ACF"/>
    <w:rsid w:val="003B0805"/>
    <w:rsid w:val="003B5CCE"/>
    <w:rsid w:val="003C6392"/>
    <w:rsid w:val="00431F56"/>
    <w:rsid w:val="00436B3D"/>
    <w:rsid w:val="00457178"/>
    <w:rsid w:val="00463498"/>
    <w:rsid w:val="00464329"/>
    <w:rsid w:val="0048088C"/>
    <w:rsid w:val="004873B3"/>
    <w:rsid w:val="004A6795"/>
    <w:rsid w:val="004A7612"/>
    <w:rsid w:val="004B0D1A"/>
    <w:rsid w:val="004B306D"/>
    <w:rsid w:val="004C30CE"/>
    <w:rsid w:val="004F690A"/>
    <w:rsid w:val="00500CEB"/>
    <w:rsid w:val="00520E4E"/>
    <w:rsid w:val="0053020D"/>
    <w:rsid w:val="00531434"/>
    <w:rsid w:val="00534FF9"/>
    <w:rsid w:val="00543375"/>
    <w:rsid w:val="00582108"/>
    <w:rsid w:val="00584439"/>
    <w:rsid w:val="0058685B"/>
    <w:rsid w:val="005A1D5E"/>
    <w:rsid w:val="005A3AD7"/>
    <w:rsid w:val="005B01B6"/>
    <w:rsid w:val="005B0F89"/>
    <w:rsid w:val="005C26C9"/>
    <w:rsid w:val="005D3CA2"/>
    <w:rsid w:val="005D6B27"/>
    <w:rsid w:val="005E7A49"/>
    <w:rsid w:val="005F275E"/>
    <w:rsid w:val="005F418D"/>
    <w:rsid w:val="0060296C"/>
    <w:rsid w:val="006117CF"/>
    <w:rsid w:val="006134DF"/>
    <w:rsid w:val="006155F3"/>
    <w:rsid w:val="0062115F"/>
    <w:rsid w:val="0062792F"/>
    <w:rsid w:val="006449AF"/>
    <w:rsid w:val="00655524"/>
    <w:rsid w:val="00656722"/>
    <w:rsid w:val="00657686"/>
    <w:rsid w:val="0066089D"/>
    <w:rsid w:val="00673C48"/>
    <w:rsid w:val="00680607"/>
    <w:rsid w:val="00693442"/>
    <w:rsid w:val="006A513D"/>
    <w:rsid w:val="006B7C88"/>
    <w:rsid w:val="006C0456"/>
    <w:rsid w:val="006D1AF1"/>
    <w:rsid w:val="006D3BCE"/>
    <w:rsid w:val="006E3295"/>
    <w:rsid w:val="006E5FAD"/>
    <w:rsid w:val="006E6190"/>
    <w:rsid w:val="006F4AF2"/>
    <w:rsid w:val="00707F8A"/>
    <w:rsid w:val="00713FCD"/>
    <w:rsid w:val="00717AE2"/>
    <w:rsid w:val="007333DB"/>
    <w:rsid w:val="007427E5"/>
    <w:rsid w:val="00746341"/>
    <w:rsid w:val="00755BF6"/>
    <w:rsid w:val="00770B3E"/>
    <w:rsid w:val="00776ABE"/>
    <w:rsid w:val="007A167B"/>
    <w:rsid w:val="007A241B"/>
    <w:rsid w:val="007A257E"/>
    <w:rsid w:val="007A4D22"/>
    <w:rsid w:val="007B1927"/>
    <w:rsid w:val="007B308F"/>
    <w:rsid w:val="007C5519"/>
    <w:rsid w:val="007D75D9"/>
    <w:rsid w:val="007E0ABC"/>
    <w:rsid w:val="007F76DB"/>
    <w:rsid w:val="00801B18"/>
    <w:rsid w:val="008213E9"/>
    <w:rsid w:val="008218E3"/>
    <w:rsid w:val="00837A55"/>
    <w:rsid w:val="00857237"/>
    <w:rsid w:val="00877453"/>
    <w:rsid w:val="0089652C"/>
    <w:rsid w:val="008B0906"/>
    <w:rsid w:val="008B62D7"/>
    <w:rsid w:val="008C03A7"/>
    <w:rsid w:val="008C6802"/>
    <w:rsid w:val="008C72CD"/>
    <w:rsid w:val="008D4804"/>
    <w:rsid w:val="008E12BB"/>
    <w:rsid w:val="008E2F76"/>
    <w:rsid w:val="008E39D1"/>
    <w:rsid w:val="008F0D1E"/>
    <w:rsid w:val="00901232"/>
    <w:rsid w:val="00920CF5"/>
    <w:rsid w:val="00923706"/>
    <w:rsid w:val="00924E19"/>
    <w:rsid w:val="00930FAF"/>
    <w:rsid w:val="00936F51"/>
    <w:rsid w:val="00945291"/>
    <w:rsid w:val="00951190"/>
    <w:rsid w:val="00954898"/>
    <w:rsid w:val="00954A63"/>
    <w:rsid w:val="00974580"/>
    <w:rsid w:val="00983981"/>
    <w:rsid w:val="009866B2"/>
    <w:rsid w:val="00997FDB"/>
    <w:rsid w:val="009A1086"/>
    <w:rsid w:val="009B1EFC"/>
    <w:rsid w:val="009B703D"/>
    <w:rsid w:val="009D048E"/>
    <w:rsid w:val="009D0B4E"/>
    <w:rsid w:val="009D4706"/>
    <w:rsid w:val="009D7E21"/>
    <w:rsid w:val="009E0011"/>
    <w:rsid w:val="009F20C6"/>
    <w:rsid w:val="009F74A2"/>
    <w:rsid w:val="00A07F69"/>
    <w:rsid w:val="00A14330"/>
    <w:rsid w:val="00A227B2"/>
    <w:rsid w:val="00A267DE"/>
    <w:rsid w:val="00A35B36"/>
    <w:rsid w:val="00A3772A"/>
    <w:rsid w:val="00A54A58"/>
    <w:rsid w:val="00A64093"/>
    <w:rsid w:val="00A67317"/>
    <w:rsid w:val="00A73D0D"/>
    <w:rsid w:val="00A84277"/>
    <w:rsid w:val="00A87BD5"/>
    <w:rsid w:val="00A9522A"/>
    <w:rsid w:val="00AB1F51"/>
    <w:rsid w:val="00AB3686"/>
    <w:rsid w:val="00AC37FE"/>
    <w:rsid w:val="00AC69F6"/>
    <w:rsid w:val="00AD35F8"/>
    <w:rsid w:val="00AF4D98"/>
    <w:rsid w:val="00B04025"/>
    <w:rsid w:val="00B27EBC"/>
    <w:rsid w:val="00B30C9F"/>
    <w:rsid w:val="00B332CF"/>
    <w:rsid w:val="00B3571F"/>
    <w:rsid w:val="00B358B4"/>
    <w:rsid w:val="00B35B48"/>
    <w:rsid w:val="00B41634"/>
    <w:rsid w:val="00B4203F"/>
    <w:rsid w:val="00B439F5"/>
    <w:rsid w:val="00B50417"/>
    <w:rsid w:val="00B730F9"/>
    <w:rsid w:val="00B7463D"/>
    <w:rsid w:val="00B85A6F"/>
    <w:rsid w:val="00BB2B20"/>
    <w:rsid w:val="00BB4479"/>
    <w:rsid w:val="00BB5D4A"/>
    <w:rsid w:val="00BC707F"/>
    <w:rsid w:val="00BE1489"/>
    <w:rsid w:val="00BF07B5"/>
    <w:rsid w:val="00C04858"/>
    <w:rsid w:val="00C26748"/>
    <w:rsid w:val="00C41CC8"/>
    <w:rsid w:val="00C656F3"/>
    <w:rsid w:val="00C7560F"/>
    <w:rsid w:val="00C7732C"/>
    <w:rsid w:val="00C82987"/>
    <w:rsid w:val="00C82C91"/>
    <w:rsid w:val="00C90C85"/>
    <w:rsid w:val="00C94073"/>
    <w:rsid w:val="00CB18E7"/>
    <w:rsid w:val="00CC01A0"/>
    <w:rsid w:val="00CC0C3B"/>
    <w:rsid w:val="00CC6D6F"/>
    <w:rsid w:val="00CD59F9"/>
    <w:rsid w:val="00CF275D"/>
    <w:rsid w:val="00CF3D66"/>
    <w:rsid w:val="00CF7BD2"/>
    <w:rsid w:val="00D0102E"/>
    <w:rsid w:val="00D12027"/>
    <w:rsid w:val="00D150D5"/>
    <w:rsid w:val="00D164D8"/>
    <w:rsid w:val="00D22E6E"/>
    <w:rsid w:val="00D37D74"/>
    <w:rsid w:val="00D43A8B"/>
    <w:rsid w:val="00D51420"/>
    <w:rsid w:val="00D517C3"/>
    <w:rsid w:val="00D51F05"/>
    <w:rsid w:val="00D537B2"/>
    <w:rsid w:val="00D72E75"/>
    <w:rsid w:val="00D76B32"/>
    <w:rsid w:val="00D83846"/>
    <w:rsid w:val="00D86EFB"/>
    <w:rsid w:val="00D904F2"/>
    <w:rsid w:val="00DA6055"/>
    <w:rsid w:val="00DB1DCF"/>
    <w:rsid w:val="00DC3917"/>
    <w:rsid w:val="00DE41EC"/>
    <w:rsid w:val="00E2441C"/>
    <w:rsid w:val="00E326BC"/>
    <w:rsid w:val="00E36509"/>
    <w:rsid w:val="00E646BD"/>
    <w:rsid w:val="00E64E04"/>
    <w:rsid w:val="00E71E7C"/>
    <w:rsid w:val="00E74575"/>
    <w:rsid w:val="00E77DE1"/>
    <w:rsid w:val="00E95A33"/>
    <w:rsid w:val="00EA096E"/>
    <w:rsid w:val="00EA17C2"/>
    <w:rsid w:val="00EC221A"/>
    <w:rsid w:val="00EC591A"/>
    <w:rsid w:val="00ED1633"/>
    <w:rsid w:val="00ED43BA"/>
    <w:rsid w:val="00ED46EC"/>
    <w:rsid w:val="00EE09B1"/>
    <w:rsid w:val="00EE61F4"/>
    <w:rsid w:val="00F21350"/>
    <w:rsid w:val="00F23B59"/>
    <w:rsid w:val="00F4533A"/>
    <w:rsid w:val="00F51D4F"/>
    <w:rsid w:val="00F56D1E"/>
    <w:rsid w:val="00F60830"/>
    <w:rsid w:val="00F6092B"/>
    <w:rsid w:val="00F753FE"/>
    <w:rsid w:val="00F76DBF"/>
    <w:rsid w:val="00F910FB"/>
    <w:rsid w:val="00F96EDB"/>
    <w:rsid w:val="00FA0E68"/>
    <w:rsid w:val="00FA2C01"/>
    <w:rsid w:val="00FA4B78"/>
    <w:rsid w:val="00FB10C5"/>
    <w:rsid w:val="00FB295C"/>
    <w:rsid w:val="00FB3EDC"/>
    <w:rsid w:val="00F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D5E"/>
  </w:style>
  <w:style w:type="paragraph" w:styleId="Titolo1">
    <w:name w:val="heading 1"/>
    <w:basedOn w:val="Normale"/>
    <w:next w:val="Normale"/>
    <w:link w:val="Titolo1Carattere"/>
    <w:uiPriority w:val="9"/>
    <w:qFormat/>
    <w:rsid w:val="00930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3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7EBC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AC37F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C37F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2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C01"/>
  </w:style>
  <w:style w:type="paragraph" w:styleId="Pidipagina">
    <w:name w:val="footer"/>
    <w:basedOn w:val="Normale"/>
    <w:link w:val="PidipaginaCarattere"/>
    <w:uiPriority w:val="99"/>
    <w:unhideWhenUsed/>
    <w:rsid w:val="00FA2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C01"/>
  </w:style>
  <w:style w:type="character" w:customStyle="1" w:styleId="Titolo1Carattere">
    <w:name w:val="Titolo 1 Carattere"/>
    <w:basedOn w:val="Carpredefinitoparagrafo"/>
    <w:link w:val="Titolo1"/>
    <w:uiPriority w:val="9"/>
    <w:rsid w:val="00930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30FAF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30FAF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930FA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21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6">
    <w:name w:val="Light List Accent 6"/>
    <w:basedOn w:val="Tabellanormale"/>
    <w:uiPriority w:val="61"/>
    <w:rsid w:val="008E39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122D96"/>
    <w:rPr>
      <w:b/>
      <w:bCs/>
    </w:rPr>
  </w:style>
  <w:style w:type="paragraph" w:styleId="NormaleWeb">
    <w:name w:val="Normal (Web)"/>
    <w:basedOn w:val="Normale"/>
    <w:semiHidden/>
    <w:unhideWhenUsed/>
    <w:rsid w:val="00122D9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aliases w:val="Footnote symbol"/>
    <w:rsid w:val="005C26C9"/>
    <w:rPr>
      <w:sz w:val="20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5C26C9"/>
    <w:pPr>
      <w:spacing w:before="120" w:after="0" w:line="30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5C26C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D5E"/>
  </w:style>
  <w:style w:type="paragraph" w:styleId="Titolo1">
    <w:name w:val="heading 1"/>
    <w:basedOn w:val="Normale"/>
    <w:next w:val="Normale"/>
    <w:link w:val="Titolo1Carattere"/>
    <w:uiPriority w:val="9"/>
    <w:qFormat/>
    <w:rsid w:val="00930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3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7EBC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AC37F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C37F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2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C01"/>
  </w:style>
  <w:style w:type="paragraph" w:styleId="Pidipagina">
    <w:name w:val="footer"/>
    <w:basedOn w:val="Normale"/>
    <w:link w:val="PidipaginaCarattere"/>
    <w:uiPriority w:val="99"/>
    <w:unhideWhenUsed/>
    <w:rsid w:val="00FA2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C01"/>
  </w:style>
  <w:style w:type="character" w:customStyle="1" w:styleId="Titolo1Carattere">
    <w:name w:val="Titolo 1 Carattere"/>
    <w:basedOn w:val="Carpredefinitoparagrafo"/>
    <w:link w:val="Titolo1"/>
    <w:uiPriority w:val="9"/>
    <w:rsid w:val="00930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30FAF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30FAF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930FA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21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6">
    <w:name w:val="Light List Accent 6"/>
    <w:basedOn w:val="Tabellanormale"/>
    <w:uiPriority w:val="61"/>
    <w:rsid w:val="008E39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122D96"/>
    <w:rPr>
      <w:b/>
      <w:bCs/>
    </w:rPr>
  </w:style>
  <w:style w:type="paragraph" w:styleId="NormaleWeb">
    <w:name w:val="Normal (Web)"/>
    <w:basedOn w:val="Normale"/>
    <w:semiHidden/>
    <w:unhideWhenUsed/>
    <w:rsid w:val="00122D9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aliases w:val="Footnote symbol"/>
    <w:rsid w:val="005C26C9"/>
    <w:rPr>
      <w:sz w:val="20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5C26C9"/>
    <w:pPr>
      <w:spacing w:before="120" w:after="0" w:line="30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5C26C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09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9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53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3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8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6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83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85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348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7E6890-5A46-4737-BE16-0E66AA3A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15</Pages>
  <Words>4316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Informativa: Stato di avanzamento del PO FESR 2014-2020</vt:lpstr>
    </vt:vector>
  </TitlesOfParts>
  <Company/>
  <LinksUpToDate>false</LinksUpToDate>
  <CharactersWithSpaces>28866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Informativa: Stato di avanzamento del PO FESR 2014-2020</dc:title>
  <dc:creator>Alessandra Broccatelli</dc:creator>
  <cp:lastModifiedBy>Francesca Rondelli</cp:lastModifiedBy>
  <cp:revision>92</cp:revision>
  <cp:lastPrinted>2019-06-05T11:51:00Z</cp:lastPrinted>
  <dcterms:created xsi:type="dcterms:W3CDTF">2019-06-06T13:21:00Z</dcterms:created>
  <dcterms:modified xsi:type="dcterms:W3CDTF">2019-06-10T13:23:00Z</dcterms:modified>
</cp:coreProperties>
</file>