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802" w:rsidRPr="00FA2C66" w:rsidRDefault="00B8075C" w:rsidP="00FA2C66">
      <w:pPr>
        <w:widowControl/>
        <w:tabs>
          <w:tab w:val="center" w:pos="2001"/>
        </w:tabs>
        <w:jc w:val="left"/>
        <w:rPr>
          <w:color w:val="000000"/>
        </w:rPr>
      </w:pPr>
      <w:bookmarkStart w:id="0" w:name="_GoBack"/>
      <w:bookmarkEnd w:id="0"/>
    </w:p>
    <w:p w:rsidR="00DE3802" w:rsidRPr="00FA2C66" w:rsidRDefault="00B8075C" w:rsidP="00FA2C66">
      <w:pPr>
        <w:widowControl/>
        <w:tabs>
          <w:tab w:val="center" w:pos="2001"/>
        </w:tabs>
        <w:jc w:val="left"/>
        <w:rPr>
          <w:color w:val="000000"/>
        </w:rPr>
      </w:pPr>
    </w:p>
    <w:p w:rsidR="00125EA0" w:rsidRDefault="00125EA0">
      <w:pPr>
        <w:tabs>
          <w:tab w:val="right" w:pos="9070"/>
        </w:tabs>
      </w:pPr>
    </w:p>
    <w:tbl>
      <w:tblPr>
        <w:tblW w:w="0" w:type="auto"/>
        <w:tblLayout w:type="fixed"/>
        <w:tblCellMar>
          <w:left w:w="0" w:type="dxa"/>
          <w:right w:w="0" w:type="dxa"/>
        </w:tblCellMar>
        <w:tblLook w:val="0000" w:firstRow="0" w:lastRow="0" w:firstColumn="0" w:lastColumn="0" w:noHBand="0" w:noVBand="0"/>
      </w:tblPr>
      <w:tblGrid>
        <w:gridCol w:w="9070"/>
      </w:tblGrid>
      <w:tr w:rsidR="00125EA0">
        <w:tblPrEx>
          <w:tblCellMar>
            <w:top w:w="0" w:type="dxa"/>
            <w:left w:w="0" w:type="dxa"/>
            <w:bottom w:w="0" w:type="dxa"/>
            <w:right w:w="0" w:type="dxa"/>
          </w:tblCellMar>
        </w:tblPrEx>
        <w:tc>
          <w:tcPr>
            <w:tcW w:w="9070" w:type="dxa"/>
            <w:tcBorders>
              <w:top w:val="nil"/>
              <w:left w:val="nil"/>
              <w:bottom w:val="single" w:sz="2" w:space="0" w:color="000000"/>
              <w:right w:val="nil"/>
            </w:tcBorders>
          </w:tcPr>
          <w:p w:rsidR="00125EA0" w:rsidRDefault="00125EA0">
            <w:pPr>
              <w:tabs>
                <w:tab w:val="left" w:pos="0"/>
                <w:tab w:val="left" w:pos="8505"/>
              </w:tabs>
              <w:rPr>
                <w:b/>
                <w:bCs/>
                <w:sz w:val="16"/>
                <w:szCs w:val="16"/>
              </w:rPr>
            </w:pPr>
          </w:p>
          <w:p w:rsidR="00125EA0" w:rsidRDefault="00B8075C">
            <w:pPr>
              <w:tabs>
                <w:tab w:val="left" w:pos="8505"/>
              </w:tabs>
              <w:jc w:val="center"/>
              <w:rPr>
                <w:sz w:val="20"/>
                <w:szCs w:val="20"/>
              </w:rPr>
            </w:pPr>
            <w:r>
              <w:rPr>
                <w:noProof/>
                <w:sz w:val="20"/>
                <w:szCs w:val="20"/>
              </w:rPr>
              <w:drawing>
                <wp:inline distT="0" distB="0" distL="0" distR="0">
                  <wp:extent cx="457200" cy="685800"/>
                  <wp:effectExtent l="0" t="0" r="0" b="0"/>
                  <wp:docPr id="3" name="Immagin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a:ln>
                            <a:noFill/>
                          </a:ln>
                        </pic:spPr>
                      </pic:pic>
                    </a:graphicData>
                  </a:graphic>
                </wp:inline>
              </w:drawing>
            </w:r>
          </w:p>
          <w:p w:rsidR="00125EA0" w:rsidRDefault="00125EA0">
            <w:pPr>
              <w:tabs>
                <w:tab w:val="center" w:pos="4819"/>
                <w:tab w:val="right" w:pos="9638"/>
              </w:tabs>
              <w:spacing w:before="120"/>
              <w:jc w:val="center"/>
              <w:rPr>
                <w:rFonts w:ascii="Univers" w:hAnsi="Univers" w:cs="Univers"/>
                <w:color w:val="000000"/>
              </w:rPr>
            </w:pPr>
            <w:r>
              <w:rPr>
                <w:rFonts w:ascii="Univers" w:eastAsia="Times New Roman" w:cs="Univers"/>
                <w:b/>
                <w:bCs/>
                <w:color w:val="000000"/>
                <w:sz w:val="40"/>
                <w:szCs w:val="40"/>
              </w:rPr>
              <w:t>Regione Umbria</w:t>
            </w:r>
          </w:p>
          <w:p w:rsidR="00125EA0" w:rsidRDefault="00125EA0">
            <w:pPr>
              <w:jc w:val="center"/>
              <w:rPr>
                <w:rFonts w:ascii="Bodoni BT" w:hAnsi="Bodoni BT" w:cs="Bodoni BT"/>
                <w:color w:val="000000"/>
              </w:rPr>
            </w:pPr>
            <w:r>
              <w:rPr>
                <w:rFonts w:ascii="Bodoni BT" w:hAnsi="Bodoni BT" w:cs="Bodoni BT"/>
                <w:color w:val="000000"/>
              </w:rPr>
              <w:t>Giunta Regionale</w:t>
            </w:r>
          </w:p>
        </w:tc>
      </w:tr>
      <w:tr w:rsidR="00125EA0">
        <w:tblPrEx>
          <w:tblCellMar>
            <w:top w:w="0" w:type="dxa"/>
            <w:left w:w="0" w:type="dxa"/>
            <w:bottom w:w="0" w:type="dxa"/>
            <w:right w:w="0" w:type="dxa"/>
          </w:tblCellMar>
        </w:tblPrEx>
        <w:tc>
          <w:tcPr>
            <w:tcW w:w="9070" w:type="dxa"/>
            <w:tcBorders>
              <w:top w:val="single" w:sz="2" w:space="0" w:color="000000"/>
              <w:left w:val="nil"/>
              <w:bottom w:val="nil"/>
              <w:right w:val="nil"/>
            </w:tcBorders>
          </w:tcPr>
          <w:p w:rsidR="00125EA0" w:rsidRDefault="00125EA0">
            <w:pPr>
              <w:tabs>
                <w:tab w:val="left" w:pos="0"/>
                <w:tab w:val="left" w:pos="8505"/>
              </w:tabs>
              <w:rPr>
                <w:b/>
                <w:bCs/>
                <w:sz w:val="16"/>
                <w:szCs w:val="16"/>
              </w:rPr>
            </w:pPr>
          </w:p>
        </w:tc>
      </w:tr>
      <w:tr w:rsidR="00125EA0">
        <w:tblPrEx>
          <w:tblCellMar>
            <w:top w:w="0" w:type="dxa"/>
            <w:left w:w="0" w:type="dxa"/>
            <w:bottom w:w="0" w:type="dxa"/>
            <w:right w:w="0" w:type="dxa"/>
          </w:tblCellMar>
        </w:tblPrEx>
        <w:trPr>
          <w:trHeight w:val="567"/>
        </w:trPr>
        <w:tc>
          <w:tcPr>
            <w:tcW w:w="9070" w:type="dxa"/>
            <w:tcBorders>
              <w:top w:val="nil"/>
              <w:left w:val="nil"/>
              <w:bottom w:val="nil"/>
              <w:right w:val="nil"/>
            </w:tcBorders>
            <w:vAlign w:val="center"/>
          </w:tcPr>
          <w:p w:rsidR="00125EA0" w:rsidRDefault="00125EA0">
            <w:pPr>
              <w:tabs>
                <w:tab w:val="left" w:pos="0"/>
                <w:tab w:val="left" w:pos="8505"/>
              </w:tabs>
              <w:jc w:val="center"/>
              <w:rPr>
                <w:b/>
                <w:bCs/>
              </w:rPr>
            </w:pPr>
            <w:r>
              <w:rPr>
                <w:b/>
                <w:bCs/>
              </w:rPr>
              <w:t>DIREZIONE REGIONALE PROGRAMMAZIONE, AFFARI INTERNAZIONALI ED EUROPEI. AGENDA DIGITALE, AGENZIE E SOCIETA' PARTECIPATE</w:t>
            </w:r>
          </w:p>
        </w:tc>
      </w:tr>
      <w:tr w:rsidR="00125EA0">
        <w:tblPrEx>
          <w:tblCellMar>
            <w:top w:w="0" w:type="dxa"/>
            <w:left w:w="0" w:type="dxa"/>
            <w:bottom w:w="0" w:type="dxa"/>
            <w:right w:w="0" w:type="dxa"/>
          </w:tblCellMar>
        </w:tblPrEx>
        <w:trPr>
          <w:trHeight w:val="567"/>
        </w:trPr>
        <w:tc>
          <w:tcPr>
            <w:tcW w:w="9070" w:type="dxa"/>
            <w:tcBorders>
              <w:top w:val="nil"/>
              <w:left w:val="nil"/>
              <w:bottom w:val="nil"/>
              <w:right w:val="nil"/>
            </w:tcBorders>
            <w:vAlign w:val="center"/>
          </w:tcPr>
          <w:p w:rsidR="00125EA0" w:rsidRDefault="00125EA0">
            <w:pPr>
              <w:jc w:val="center"/>
              <w:rPr>
                <w:b/>
                <w:bCs/>
              </w:rPr>
            </w:pPr>
          </w:p>
          <w:p w:rsidR="00125EA0" w:rsidRDefault="00125EA0">
            <w:pPr>
              <w:jc w:val="center"/>
              <w:rPr>
                <w:b/>
                <w:bCs/>
              </w:rPr>
            </w:pPr>
          </w:p>
        </w:tc>
      </w:tr>
    </w:tbl>
    <w:p w:rsidR="00125EA0" w:rsidRDefault="00125EA0"/>
    <w:p w:rsidR="00125EA0" w:rsidRDefault="00125EA0"/>
    <w:p w:rsidR="00125EA0" w:rsidRDefault="00125EA0"/>
    <w:p w:rsidR="00125EA0" w:rsidRDefault="00125EA0">
      <w:pPr>
        <w:keepNext/>
        <w:jc w:val="center"/>
        <w:outlineLvl w:val="3"/>
        <w:rPr>
          <w:b/>
          <w:bCs/>
          <w:sz w:val="32"/>
          <w:szCs w:val="32"/>
        </w:rPr>
      </w:pPr>
      <w:r>
        <w:rPr>
          <w:b/>
          <w:bCs/>
          <w:sz w:val="32"/>
          <w:szCs w:val="32"/>
        </w:rPr>
        <w:t>DETERMINAZIONE DI</w:t>
      </w:r>
      <w:r w:rsidR="00F3409D">
        <w:rPr>
          <w:b/>
          <w:bCs/>
          <w:sz w:val="32"/>
          <w:szCs w:val="32"/>
        </w:rPr>
        <w:t>RETTORIALE</w:t>
      </w:r>
    </w:p>
    <w:p w:rsidR="00125EA0" w:rsidRDefault="00125EA0">
      <w:pPr>
        <w:jc w:val="center"/>
      </w:pPr>
    </w:p>
    <w:p w:rsidR="00125EA0" w:rsidRDefault="00125EA0"/>
    <w:p w:rsidR="00125EA0" w:rsidRDefault="00125EA0">
      <w:pPr>
        <w:jc w:val="center"/>
        <w:rPr>
          <w:b/>
          <w:bCs/>
          <w:lang w:val="de-DE"/>
        </w:rPr>
      </w:pPr>
      <w:r>
        <w:rPr>
          <w:b/>
          <w:bCs/>
          <w:lang w:val="de-DE"/>
        </w:rPr>
        <w:t>N. 11343  DEL  18/11/2016</w:t>
      </w:r>
    </w:p>
    <w:p w:rsidR="00125EA0" w:rsidRDefault="00125EA0">
      <w:pPr>
        <w:rPr>
          <w:lang w:val="de-DE"/>
        </w:rPr>
      </w:pPr>
    </w:p>
    <w:p w:rsidR="00125EA0" w:rsidRDefault="00125EA0">
      <w:pPr>
        <w:ind w:left="1418" w:hanging="1418"/>
        <w:rPr>
          <w:lang w:val="de-DE"/>
        </w:rPr>
      </w:pPr>
    </w:p>
    <w:tbl>
      <w:tblPr>
        <w:tblW w:w="0" w:type="auto"/>
        <w:tblInd w:w="-108" w:type="dxa"/>
        <w:tblLayout w:type="fixed"/>
        <w:tblCellMar>
          <w:left w:w="0" w:type="dxa"/>
          <w:right w:w="0" w:type="dxa"/>
        </w:tblCellMar>
        <w:tblLook w:val="0000" w:firstRow="0" w:lastRow="0" w:firstColumn="0" w:lastColumn="0" w:noHBand="0" w:noVBand="0"/>
      </w:tblPr>
      <w:tblGrid>
        <w:gridCol w:w="1787"/>
        <w:gridCol w:w="7391"/>
      </w:tblGrid>
      <w:tr w:rsidR="00125EA0">
        <w:tblPrEx>
          <w:tblCellMar>
            <w:top w:w="0" w:type="dxa"/>
            <w:left w:w="0" w:type="dxa"/>
            <w:bottom w:w="0" w:type="dxa"/>
            <w:right w:w="0" w:type="dxa"/>
          </w:tblCellMar>
        </w:tblPrEx>
        <w:trPr>
          <w:trHeight w:val="2835"/>
        </w:trPr>
        <w:tc>
          <w:tcPr>
            <w:tcW w:w="1787" w:type="dxa"/>
            <w:tcBorders>
              <w:top w:val="nil"/>
              <w:left w:val="nil"/>
              <w:bottom w:val="nil"/>
              <w:right w:val="nil"/>
            </w:tcBorders>
          </w:tcPr>
          <w:p w:rsidR="00125EA0" w:rsidRDefault="00125EA0">
            <w:pPr>
              <w:tabs>
                <w:tab w:val="left" w:pos="1418"/>
              </w:tabs>
            </w:pPr>
            <w:r>
              <w:rPr>
                <w:b/>
                <w:bCs/>
              </w:rPr>
              <w:t>OGGETTO:</w:t>
            </w:r>
          </w:p>
        </w:tc>
        <w:tc>
          <w:tcPr>
            <w:tcW w:w="7391" w:type="dxa"/>
            <w:tcBorders>
              <w:top w:val="nil"/>
              <w:left w:val="nil"/>
              <w:bottom w:val="nil"/>
              <w:right w:val="nil"/>
            </w:tcBorders>
          </w:tcPr>
          <w:p w:rsidR="00125EA0" w:rsidRDefault="00125EA0">
            <w:pPr>
              <w:tabs>
                <w:tab w:val="left" w:pos="1418"/>
              </w:tabs>
            </w:pPr>
            <w:r>
              <w:t>PO Umbria FSE 2014-2020: approvazione Manuale Generale delle Operazioni (GE.O).</w:t>
            </w:r>
          </w:p>
        </w:tc>
      </w:tr>
    </w:tbl>
    <w:p w:rsidR="00125EA0" w:rsidRDefault="00125EA0">
      <w:pPr>
        <w:tabs>
          <w:tab w:val="left" w:pos="1418"/>
        </w:tabs>
        <w:ind w:left="1418" w:hanging="1418"/>
      </w:pPr>
    </w:p>
    <w:p w:rsidR="00033A86" w:rsidRPr="00EE2748" w:rsidRDefault="00033A86" w:rsidP="00033A86">
      <w:pPr>
        <w:rPr>
          <w:b/>
        </w:rPr>
      </w:pPr>
      <w:r w:rsidRPr="00EE2748">
        <w:rPr>
          <w:b/>
        </w:rPr>
        <w:t>Visto</w:t>
      </w:r>
      <w:r w:rsidRPr="00EE2748">
        <w:t xml:space="preserve"> il Regolamento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w:t>
      </w:r>
    </w:p>
    <w:p w:rsidR="00033A86" w:rsidRPr="00EE2748" w:rsidRDefault="00033A86" w:rsidP="00033A86">
      <w:r w:rsidRPr="00EE2748">
        <w:rPr>
          <w:b/>
        </w:rPr>
        <w:t>Visto</w:t>
      </w:r>
      <w:r w:rsidRPr="00EE2748">
        <w:t xml:space="preserve"> il Regolamento (UE) n. 1304/2013 del Parlamento europeo e del consiglio del 17 dicembre 2013 relativo al fondo sociale europeo e che abroga il regolamento (CE) n. 1081/2006 del Consiglio;</w:t>
      </w:r>
    </w:p>
    <w:p w:rsidR="00033A86" w:rsidRPr="00EE2748" w:rsidRDefault="00033A86" w:rsidP="00033A86">
      <w:r w:rsidRPr="00EE2748">
        <w:rPr>
          <w:b/>
        </w:rPr>
        <w:t>Visto</w:t>
      </w:r>
      <w:r w:rsidRPr="00EE2748">
        <w:t xml:space="preserve"> il Regolamento n. 215/2014 di esecuzione della Commissione del 7 marzo 2014 che stabilisce norme di attuazione del regolamento (UE) n. 1303/2013, per quanto riguarda la determinazione dei target intermedi e dei target finali nel quadro di riferimento dell'efficacia dell'attuazione e la nomenclatura delle categorie di intervento per i fondi strutturali e di investimento europei;</w:t>
      </w:r>
    </w:p>
    <w:p w:rsidR="00033A86" w:rsidRPr="00EE2748" w:rsidRDefault="00033A86" w:rsidP="00033A86">
      <w:r w:rsidRPr="00EE2748">
        <w:rPr>
          <w:b/>
        </w:rPr>
        <w:t>Visto</w:t>
      </w:r>
      <w:r w:rsidRPr="00EE2748">
        <w:t xml:space="preserve"> il Regolamento Delegato (UE) n. 480/2014 della Commissione del 3 marzo 2014 che integra il regolamento (UE) n. 1303/2013;</w:t>
      </w:r>
    </w:p>
    <w:p w:rsidR="00033A86" w:rsidRPr="00EE2748" w:rsidRDefault="00033A86" w:rsidP="00033A86">
      <w:r w:rsidRPr="00EE2748">
        <w:rPr>
          <w:b/>
        </w:rPr>
        <w:t>Visto</w:t>
      </w:r>
      <w:r w:rsidRPr="00EE2748">
        <w:t xml:space="preserve"> il Regolamento Delegato (UE) n. 240/2014 della Commissione del 7 gennaio 2014 </w:t>
      </w:r>
      <w:r w:rsidRPr="00EE2748">
        <w:lastRenderedPageBreak/>
        <w:t>recante un codice europeo di condotta sul partenariato nell’ambito dei fondi strutturali e d'investimento europei;</w:t>
      </w:r>
    </w:p>
    <w:p w:rsidR="00033A86" w:rsidRPr="00EE2748" w:rsidRDefault="00033A86" w:rsidP="00033A86">
      <w:pPr>
        <w:tabs>
          <w:tab w:val="right" w:leader="dot" w:pos="9580"/>
        </w:tabs>
        <w:rPr>
          <w:rFonts w:cs="Calibri"/>
          <w:b/>
        </w:rPr>
      </w:pPr>
      <w:r w:rsidRPr="00EE2748">
        <w:rPr>
          <w:b/>
        </w:rPr>
        <w:t>Visto</w:t>
      </w:r>
      <w:r w:rsidRPr="00EE2748">
        <w:t xml:space="preserve"> il Regolamento di esecuzione (UE) n. 1011/2014 della Commissione del 22 settembre 2014 recante modalità di esecuzione del Regolamento UE n. 1303/2014 del Parlamento europeo e del Consiglio per quanto riguarda i modelli per la presentazione di determinate informazioni alla Commissione e le norme dettagliate concernenti gli scambi di informazioni tra beneficiari e autorità di gestione, autorità di certificazione, autorità di audit e organismi intermedi, ed in particolare l’allegato III “Modello che descrive le funzioni e le procedure in essere dell’autorità di gestione e dell’autorità di certificazione”;</w:t>
      </w:r>
    </w:p>
    <w:p w:rsidR="00033A86" w:rsidRPr="00EE2748" w:rsidRDefault="00033A86" w:rsidP="00033A86">
      <w:pPr>
        <w:tabs>
          <w:tab w:val="right" w:leader="dot" w:pos="9580"/>
        </w:tabs>
        <w:rPr>
          <w:rFonts w:cs="Calibri"/>
        </w:rPr>
      </w:pPr>
      <w:r w:rsidRPr="00EE2748">
        <w:rPr>
          <w:rFonts w:cs="Calibri"/>
          <w:b/>
        </w:rPr>
        <w:t>Vista</w:t>
      </w:r>
      <w:r w:rsidRPr="00EE2748">
        <w:rPr>
          <w:rFonts w:cs="Calibri"/>
        </w:rPr>
        <w:t xml:space="preserve"> la Decisione di esecuzione della Commissione C(2014) n. 9916 del 12.12.2014 inerente l’approvazione di determinati elementi del Programma Operativo “Regione Umbria – Programma Operativo Fondo Sociale Europeo 2014-2020” per il sostegno del Fondo Sociale Europeo nell’ambito dell’obiettivo “Investimenti in favore della crescita e dell’occupazione” per la Regione Umbria in Italia -  CCI 2014IT05SFOP010;</w:t>
      </w:r>
    </w:p>
    <w:p w:rsidR="00033A86" w:rsidRPr="00EE2748" w:rsidRDefault="00033A86" w:rsidP="00033A86">
      <w:pPr>
        <w:tabs>
          <w:tab w:val="right" w:leader="dot" w:pos="9580"/>
        </w:tabs>
        <w:rPr>
          <w:rFonts w:cs="Calibri"/>
        </w:rPr>
      </w:pPr>
      <w:r w:rsidRPr="00EE2748">
        <w:rPr>
          <w:rFonts w:cs="Calibri"/>
          <w:b/>
        </w:rPr>
        <w:t>Vista</w:t>
      </w:r>
      <w:r w:rsidRPr="00EE2748">
        <w:rPr>
          <w:rFonts w:cs="Calibri"/>
        </w:rPr>
        <w:t xml:space="preserve"> la D.G.R. n. 118 del 02.02.2015 con la quale si è preso atto della Decisione di esecuzione della Commissione C(2014) n. 9916 del 12.12.2014 relativa al PO Regione Umbria Fondo Sociale Europeo 2014-2020 – CCI 2014IT05SFOP010, pubblicata nel Supplemento Ordinario n. 2 al Bollettino Ufficiale della Regione Umbria n. 11 del 25.02.2015 e tutti gli atti normativi e amministrativi di livello comunitario, nazionale e regionale ivi richiamati;</w:t>
      </w:r>
    </w:p>
    <w:p w:rsidR="00033A86" w:rsidRPr="00EE2748" w:rsidRDefault="00033A86" w:rsidP="00033A86">
      <w:r w:rsidRPr="00EE2748">
        <w:rPr>
          <w:b/>
        </w:rPr>
        <w:t>Vista</w:t>
      </w:r>
      <w:r w:rsidRPr="00EE2748">
        <w:t xml:space="preserve"> la Deliberazione di Giunta Regionale n. 430 del 27.03.2015 con cui è stato approvato il Documento di Indirizzo Attuativo (DIA), che individua gli interventi specifici finanziabili all’interno di ogni Asse prioritario ed </w:t>
      </w:r>
      <w:r w:rsidRPr="00EE2748">
        <w:rPr>
          <w:color w:val="000000"/>
        </w:rPr>
        <w:t>il quadro generale di attribuzione delle responsabilità delle strutture regionali coinvolte nell’attuazione delle priorità di investimento in cui si articola il PO Umbria FSE,</w:t>
      </w:r>
      <w:r w:rsidRPr="00EE2748">
        <w:t xml:space="preserve"> successivamente modificata ed integrata con D.G.R. n. 192 del 29.02.2016 e con D.G.R. n. 285 del 21.03.2016;</w:t>
      </w:r>
    </w:p>
    <w:p w:rsidR="00033A86" w:rsidRPr="00EE2748" w:rsidRDefault="00033A86" w:rsidP="00033A86">
      <w:r w:rsidRPr="00EE2748">
        <w:rPr>
          <w:b/>
        </w:rPr>
        <w:t>Vista</w:t>
      </w:r>
      <w:r w:rsidRPr="00EE2748">
        <w:t xml:space="preserve"> la D.G.R. n. 270 del 10.03.2015 avente ad oggetto “POR FSE 2014-2020, approvato con Decisione di esecuzione della Commissione C(2014) 9916 del 12.12.2014 e POR FESR 2014-2020, approvato con Decisione di esecuzione della Commissione C(2015) 929 del 12 febbraio 2015. Istituzione del Comitato di Sorveglianza unico ex articolo 47, comma 1 del Regolamento (UE) n. 1303/2013”;</w:t>
      </w:r>
    </w:p>
    <w:p w:rsidR="00033A86" w:rsidRPr="00EE2748" w:rsidRDefault="00033A86" w:rsidP="00033A86">
      <w:pPr>
        <w:tabs>
          <w:tab w:val="right" w:leader="dot" w:pos="9580"/>
        </w:tabs>
      </w:pPr>
      <w:r w:rsidRPr="00EE2748">
        <w:rPr>
          <w:b/>
        </w:rPr>
        <w:t xml:space="preserve">Visti </w:t>
      </w:r>
      <w:r w:rsidRPr="00EE2748">
        <w:t>i Documenti denominati “Metodologia e criteri per la selezione delle operazioni” e “Strategia di comunicazione” approvati dal Comitato di Sorveglianza del FSE in data 07.07.2015;</w:t>
      </w:r>
    </w:p>
    <w:p w:rsidR="00033A86" w:rsidRPr="00EE2748" w:rsidRDefault="00033A86" w:rsidP="00033A86">
      <w:pPr>
        <w:tabs>
          <w:tab w:val="left" w:pos="360"/>
        </w:tabs>
      </w:pPr>
      <w:r w:rsidRPr="00EE2748">
        <w:rPr>
          <w:b/>
        </w:rPr>
        <w:t>Considerato</w:t>
      </w:r>
      <w:r w:rsidRPr="00EE2748">
        <w:t xml:space="preserve"> che, </w:t>
      </w:r>
      <w:r w:rsidRPr="00EE2748">
        <w:rPr>
          <w:rFonts w:cs="Calibri"/>
        </w:rPr>
        <w:t>differentemente dalle precedenti programmazioni, il Fondo Sociale Europeo 2014-2020 sostiene un’ampia gamma di interventi relativi non solo a politiche attive del lavoro, istruzione e formazione ma anche inclusione sociale attiva e sviluppo della capacità istituzionale ed amministrativa di Regione ed Enti locali;</w:t>
      </w:r>
    </w:p>
    <w:p w:rsidR="00033A86" w:rsidRPr="00EE2748" w:rsidRDefault="00033A86" w:rsidP="00033A86">
      <w:pPr>
        <w:tabs>
          <w:tab w:val="right" w:leader="dot" w:pos="9580"/>
        </w:tabs>
        <w:rPr>
          <w:rFonts w:cs="Calibri"/>
        </w:rPr>
      </w:pPr>
      <w:r w:rsidRPr="00EE2748">
        <w:rPr>
          <w:rFonts w:cs="Calibri"/>
          <w:b/>
        </w:rPr>
        <w:t>Considerato</w:t>
      </w:r>
      <w:r w:rsidRPr="00EE2748">
        <w:rPr>
          <w:rFonts w:cs="Calibri"/>
        </w:rPr>
        <w:t xml:space="preserve"> pertanto che questa rilevante estensione del campo di azione è accompagnata da una ampia articolazione delle modalità realizzative e, ove possibile ed opportuno, da una maggiore integrazione fra interventi, rivolta a rafforzare l’impatto sui destinatari;</w:t>
      </w:r>
    </w:p>
    <w:p w:rsidR="00033A86" w:rsidRPr="00EE2748" w:rsidRDefault="00033A86" w:rsidP="00033A86">
      <w:pPr>
        <w:tabs>
          <w:tab w:val="right" w:leader="dot" w:pos="9580"/>
        </w:tabs>
        <w:rPr>
          <w:rFonts w:cs="Calibri"/>
        </w:rPr>
      </w:pPr>
      <w:r w:rsidRPr="00EE2748">
        <w:rPr>
          <w:rFonts w:cs="Calibri"/>
          <w:b/>
        </w:rPr>
        <w:t>Preso atto</w:t>
      </w:r>
      <w:r w:rsidRPr="00EE2748">
        <w:rPr>
          <w:rFonts w:cs="Calibri"/>
        </w:rPr>
        <w:t xml:space="preserve"> altresì che una delle chiavi della nuova programmazione è la maggior attenzione alla individualizzazione ed alla personalizzazione delle politiche sostenute dal FSE, attraverso la considerazione e la valorizzazione delle caratteristiche dei singoli fruitori;</w:t>
      </w:r>
    </w:p>
    <w:p w:rsidR="00033A86" w:rsidRPr="00EE2748" w:rsidRDefault="00033A86" w:rsidP="00033A86">
      <w:pPr>
        <w:tabs>
          <w:tab w:val="right" w:leader="dot" w:pos="9580"/>
        </w:tabs>
        <w:rPr>
          <w:rFonts w:cs="Calibri"/>
        </w:rPr>
      </w:pPr>
      <w:r w:rsidRPr="00EE2748">
        <w:rPr>
          <w:rFonts w:cs="Calibri"/>
          <w:b/>
        </w:rPr>
        <w:t>Visto</w:t>
      </w:r>
      <w:r w:rsidRPr="00EE2748">
        <w:rPr>
          <w:rFonts w:cs="Calibri"/>
        </w:rPr>
        <w:t xml:space="preserve"> che molte tipologie di operazioni presentano significativi “minimi comun denominatori” di programmazione e gestione e che pertanto renderle evidenti è un presupposto chiave per la necessaria semplificazione e razionalizzazione del processo attuativo;</w:t>
      </w:r>
    </w:p>
    <w:p w:rsidR="00033A86" w:rsidRPr="00EE2748" w:rsidRDefault="00033A86" w:rsidP="00033A86">
      <w:pPr>
        <w:tabs>
          <w:tab w:val="right" w:leader="dot" w:pos="9580"/>
        </w:tabs>
        <w:rPr>
          <w:rFonts w:cs="Calibri"/>
        </w:rPr>
      </w:pPr>
      <w:r w:rsidRPr="00EE2748">
        <w:rPr>
          <w:rFonts w:cs="Calibri"/>
          <w:b/>
        </w:rPr>
        <w:t>Premesso</w:t>
      </w:r>
      <w:r w:rsidRPr="00EE2748">
        <w:rPr>
          <w:rFonts w:cs="Calibri"/>
        </w:rPr>
        <w:t xml:space="preserve"> che nel ciclo di programmazione FSE 2007-2013 le Note di indirizzo regionali in merito alla programmazione, gestione, vigilanza e rendicontazione degli interventi di formazione e politiche attive del lavoro di cui alla D.G.R. n. 2000/2003 e s.m.i., sono state il riferimento amministrativo e procedurale di tutte le attività realizzate, nonché luogo di sistematizzazione normativa;</w:t>
      </w:r>
    </w:p>
    <w:p w:rsidR="00033A86" w:rsidRPr="00EE2748" w:rsidRDefault="00033A86" w:rsidP="00033A86">
      <w:pPr>
        <w:tabs>
          <w:tab w:val="right" w:leader="dot" w:pos="9580"/>
        </w:tabs>
        <w:rPr>
          <w:rFonts w:cs="Calibri"/>
        </w:rPr>
      </w:pPr>
      <w:r w:rsidRPr="00EE2748">
        <w:rPr>
          <w:rFonts w:cs="Calibri"/>
          <w:b/>
        </w:rPr>
        <w:t>Ritenuto</w:t>
      </w:r>
      <w:r w:rsidRPr="00EE2748">
        <w:rPr>
          <w:rFonts w:cs="Calibri"/>
        </w:rPr>
        <w:t xml:space="preserve"> che le Note di Indirizzo sopra richiamate, riferimento per la programmazione operativa e la gestione dei progetti in tutto il loro ciclo di vita, si presentano ad oggi di complessa fruibilità da parte di tutti i soggetti coinvolti sia interni all’Amministrazione che esterni in quanto, nel tempo, si sono resi necessari numerosissimi interventi di revisione ed </w:t>
      </w:r>
      <w:r w:rsidRPr="00EE2748">
        <w:rPr>
          <w:rFonts w:cs="Calibri"/>
        </w:rPr>
        <w:lastRenderedPageBreak/>
        <w:t>aggiornamento che non hanno dato luogo a testi consolidati e che hanno reso difficile una visione unitaria dei riferimenti amministrativi e procedurali di attuazione;</w:t>
      </w:r>
    </w:p>
    <w:p w:rsidR="00033A86" w:rsidRPr="00EE2748" w:rsidRDefault="00033A86" w:rsidP="00033A86">
      <w:pPr>
        <w:tabs>
          <w:tab w:val="right" w:leader="dot" w:pos="9580"/>
        </w:tabs>
      </w:pPr>
      <w:r w:rsidRPr="00EE2748">
        <w:rPr>
          <w:rFonts w:cs="Calibri"/>
          <w:b/>
        </w:rPr>
        <w:t>Considerato</w:t>
      </w:r>
      <w:r w:rsidRPr="00EE2748">
        <w:rPr>
          <w:rFonts w:cs="Calibri"/>
        </w:rPr>
        <w:t xml:space="preserve"> che, in base al mutato campo di azione del Fondo Sociale Europeo nella programmazione 2014-2020 e nell’ottica della trasparenza e semplificazione dei processi si è reso necessario avviare un lavoro di riproposizione oltrechè di ridefinizione di un complessivo riferimento</w:t>
      </w:r>
      <w:r w:rsidRPr="00EE2748">
        <w:t>, nelle condizioni e nei limiti applicativi in esso indicati, per la programmazione attuativa e la gestione delle operazione nell'ambito del PO FSE Umbria 2014-2020 collocandolo a tal fine</w:t>
      </w:r>
      <w:r w:rsidRPr="00EE2748">
        <w:rPr>
          <w:rFonts w:cs="Calibri"/>
        </w:rPr>
        <w:t xml:space="preserve"> nell’ambito del Piano di rafforzamento amministrativo – PRA, mediante l’attivazione di cantieri dedicati;</w:t>
      </w:r>
    </w:p>
    <w:p w:rsidR="00033A86" w:rsidRPr="00EE2748" w:rsidRDefault="00033A86" w:rsidP="00033A86">
      <w:pPr>
        <w:tabs>
          <w:tab w:val="right" w:leader="dot" w:pos="9580"/>
        </w:tabs>
        <w:rPr>
          <w:rFonts w:cs="Calibri"/>
        </w:rPr>
      </w:pPr>
      <w:r w:rsidRPr="00EE2748">
        <w:t>Considerato che tale Manuale possa anche costituire riferimento, ove utile ed opportuno, per operazioni ordinariamente sostenute da altre tipologie di risorse pubbliche, ma facenti parte del più ampio novero delle politiche eligibili al FSE</w:t>
      </w:r>
      <w:r w:rsidRPr="00EE2748">
        <w:rPr>
          <w:rFonts w:cs="Calibri"/>
        </w:rPr>
        <w:t>;</w:t>
      </w:r>
    </w:p>
    <w:p w:rsidR="00033A86" w:rsidRPr="00EE2748" w:rsidRDefault="00033A86" w:rsidP="00033A86">
      <w:pPr>
        <w:tabs>
          <w:tab w:val="right" w:leader="dot" w:pos="9580"/>
        </w:tabs>
      </w:pPr>
      <w:r w:rsidRPr="00EE2748">
        <w:rPr>
          <w:rFonts w:cs="Calibri"/>
          <w:b/>
        </w:rPr>
        <w:t>Preso atto</w:t>
      </w:r>
      <w:r w:rsidRPr="00EE2748">
        <w:rPr>
          <w:rFonts w:cs="Calibri"/>
        </w:rPr>
        <w:t xml:space="preserve"> del lavoro svolto nell’ambito dei suddetti cantieri che hanno visto coinvolti, con ruoli differenti, anche i vari responsabili di attività individuati dal Documento </w:t>
      </w:r>
      <w:r w:rsidRPr="00EE2748">
        <w:t>di Indirizzo attuativo (DIA) di cui alla D.G.R. n. 430/2015 e s.m.i.;</w:t>
      </w:r>
    </w:p>
    <w:p w:rsidR="00033A86" w:rsidRPr="00EE2748" w:rsidRDefault="00033A86" w:rsidP="00033A86">
      <w:pPr>
        <w:tabs>
          <w:tab w:val="right" w:leader="dot" w:pos="9580"/>
        </w:tabs>
        <w:rPr>
          <w:rFonts w:cs="Calibri"/>
        </w:rPr>
      </w:pPr>
      <w:r w:rsidRPr="00EE2748">
        <w:rPr>
          <w:rFonts w:cs="Calibri"/>
          <w:b/>
        </w:rPr>
        <w:t>Vista</w:t>
      </w:r>
      <w:r w:rsidRPr="00EE2748">
        <w:rPr>
          <w:rFonts w:cs="Calibri"/>
        </w:rPr>
        <w:t xml:space="preserve"> la D.G.R. n. 1616 del 29.12.2015 con la quale, nelle more dell’adozione del Manuale Generale delle Operazioni di cui al presente atto, è stato approvato un documento stralcio </w:t>
      </w:r>
      <w:r w:rsidRPr="00EE2748">
        <w:rPr>
          <w:color w:val="000000"/>
        </w:rPr>
        <w:t>in materia di formazione continua, con particolare riferimento all'utilizzo dell'Asse "Capacità Istituzionale ed Amministrativa”, che ha consentito l’avvio di alcune attività finanziate nell’ambito del PO Umbria FSE 2014-2020;</w:t>
      </w:r>
      <w:r w:rsidRPr="00EE2748">
        <w:rPr>
          <w:rFonts w:cs="Calibri"/>
        </w:rPr>
        <w:t xml:space="preserve"> </w:t>
      </w:r>
    </w:p>
    <w:p w:rsidR="00033A86" w:rsidRPr="00EE2748" w:rsidRDefault="00033A86" w:rsidP="00033A86">
      <w:pPr>
        <w:tabs>
          <w:tab w:val="right" w:leader="dot" w:pos="9580"/>
        </w:tabs>
        <w:rPr>
          <w:color w:val="000000"/>
        </w:rPr>
      </w:pPr>
      <w:r w:rsidRPr="00EE2748">
        <w:rPr>
          <w:b/>
          <w:color w:val="000000"/>
        </w:rPr>
        <w:t>Vista</w:t>
      </w:r>
      <w:r w:rsidRPr="00EE2748">
        <w:rPr>
          <w:color w:val="000000"/>
        </w:rPr>
        <w:t xml:space="preserve"> la D.G.R. n. 407 del 19.04.2016 </w:t>
      </w:r>
      <w:r w:rsidRPr="00EE2748">
        <w:rPr>
          <w:rFonts w:cs="Calibri"/>
        </w:rPr>
        <w:t xml:space="preserve">con la quale, nelle more dell’adozione del Manuale Generale delle Operazioni di cui al presente atto, è stato approvato un documento stralcio </w:t>
      </w:r>
      <w:r w:rsidRPr="00EE2748">
        <w:rPr>
          <w:color w:val="000000"/>
        </w:rPr>
        <w:t>in materia di Istruzione Tecnica Superiore – ITS, che ha consentito l’avvio di alcune attività finanziate nell’ambito del PO Umbria FSE 2014-2020;</w:t>
      </w:r>
    </w:p>
    <w:p w:rsidR="00F3409D" w:rsidRDefault="00033A86" w:rsidP="00033A86">
      <w:pPr>
        <w:rPr>
          <w:rFonts w:cs="Calibri"/>
        </w:rPr>
      </w:pPr>
      <w:r w:rsidRPr="00EE2748">
        <w:rPr>
          <w:b/>
          <w:color w:val="000000"/>
        </w:rPr>
        <w:t>Premesso</w:t>
      </w:r>
      <w:r w:rsidRPr="00EE2748">
        <w:rPr>
          <w:color w:val="000000"/>
        </w:rPr>
        <w:t xml:space="preserve"> che il </w:t>
      </w:r>
      <w:r w:rsidRPr="00EE2748">
        <w:rPr>
          <w:rFonts w:cs="Calibri"/>
        </w:rPr>
        <w:t>Programma Operativo “Regione Umbria – Programma Operativo Fondo Sociale Europeo 2014-2020” per il sostegno del Fondo Sociale Europeo nell’ambito dell’obiettivo “Investimenti in favore della crescita e dell’occupazione” per la Regione Umbria in Italia -  CCI 2014IT05SFOP010, individua come Autorità di Gestione del Programma la Direzione Regionale Programmazione, Affari Istituzionali ed Europei, Agenda Digitale, Agenzie e Società partecipate;</w:t>
      </w:r>
    </w:p>
    <w:p w:rsidR="00125EA0" w:rsidRDefault="00125EA0" w:rsidP="00F3409D">
      <w:r>
        <w:rPr>
          <w:b/>
          <w:bCs/>
        </w:rPr>
        <w:t xml:space="preserve">Considerato </w:t>
      </w:r>
      <w:r>
        <w:t>che con la sottoscrizione del presente atto se ne attesta la legittimità;</w:t>
      </w:r>
    </w:p>
    <w:p w:rsidR="00125EA0" w:rsidRDefault="00125EA0">
      <w:pPr>
        <w:spacing w:before="60"/>
        <w:jc w:val="center"/>
      </w:pPr>
    </w:p>
    <w:p w:rsidR="00125EA0" w:rsidRDefault="00125EA0">
      <w:pPr>
        <w:spacing w:before="60"/>
        <w:jc w:val="center"/>
        <w:rPr>
          <w:b/>
          <w:bCs/>
        </w:rPr>
      </w:pPr>
      <w:r>
        <w:rPr>
          <w:b/>
          <w:bCs/>
        </w:rPr>
        <w:t>Il Di</w:t>
      </w:r>
      <w:r w:rsidR="00F3409D">
        <w:rPr>
          <w:b/>
          <w:bCs/>
        </w:rPr>
        <w:t>rettore</w:t>
      </w:r>
    </w:p>
    <w:p w:rsidR="00125EA0" w:rsidRDefault="00125EA0">
      <w:pPr>
        <w:jc w:val="center"/>
      </w:pPr>
      <w:r>
        <w:rPr>
          <w:b/>
          <w:bCs/>
        </w:rPr>
        <w:t>D E T E R M I N A</w:t>
      </w:r>
    </w:p>
    <w:p w:rsidR="00125EA0" w:rsidRDefault="00125EA0">
      <w:pPr>
        <w:spacing w:before="60"/>
        <w:jc w:val="center"/>
      </w:pPr>
    </w:p>
    <w:p w:rsidR="00033A86" w:rsidRDefault="00033A86" w:rsidP="00033A86">
      <w:pPr>
        <w:tabs>
          <w:tab w:val="center" w:pos="6521"/>
        </w:tabs>
        <w:ind w:left="284" w:hanging="284"/>
      </w:pPr>
      <w:r>
        <w:t xml:space="preserve">1) </w:t>
      </w:r>
      <w:r w:rsidRPr="00EE2748">
        <w:t>di approvare, in qualità di Direttore pro tempore della Direzione Regionale Programmazione, Affari Istituzionali ed Europei, Agenda Digitale, Agenzie e Società partecipate, individuato come Autorità di Gestione del PO Umbria FSE 2014-2020, il Manuale Generale delle Operazioni (GE.O) ad uso di beneficiari, attuatori e destinatari finali degli interventi finanziati, riportato in allegato 1) quale parte integrante e sostanziale del presente atto, quale complessivo riferimento, nelle condizioni e nei limiti applicativi in esso indicati, per la programmazione attuativa e la gestione delle operazione nell'ambito del PO FSE Umbria 2014-2020;</w:t>
      </w:r>
    </w:p>
    <w:p w:rsidR="00033A86" w:rsidRDefault="00033A86" w:rsidP="00033A86">
      <w:pPr>
        <w:tabs>
          <w:tab w:val="center" w:pos="6521"/>
        </w:tabs>
        <w:ind w:left="284" w:hanging="284"/>
      </w:pPr>
      <w:r>
        <w:t xml:space="preserve">2)  </w:t>
      </w:r>
      <w:r w:rsidRPr="00EE2748">
        <w:t>di ritenere che il Manuale di cui all’allegato 1) possa costituire anche il riferimento, ove utile ed opportuno, per le operazioni ordinariamente sostenute da altre tipologie di risorse pubbliche ma facenti parte del più ampio novero delle politiche eligibili al Fondo Sociale Europeo</w:t>
      </w:r>
      <w:r>
        <w:t>;</w:t>
      </w:r>
    </w:p>
    <w:p w:rsidR="00033A86" w:rsidRDefault="00033A86" w:rsidP="00033A86">
      <w:pPr>
        <w:tabs>
          <w:tab w:val="center" w:pos="6521"/>
        </w:tabs>
        <w:ind w:left="284" w:hanging="284"/>
      </w:pPr>
      <w:r>
        <w:t xml:space="preserve">3) </w:t>
      </w:r>
      <w:r w:rsidRPr="00EE2748">
        <w:t>di dare atto che tutte le disposizioni contenute nel Manuale di cui all’allegato 1) sostituiscono, a partire dalla data di adozione dello stesso, quelle ad oggi vigenti e contrastanti contenute nelle “Note di indirizzo regionali” approvate con D.G.R. n. 2000/2003 e s.m.i.;</w:t>
      </w:r>
    </w:p>
    <w:p w:rsidR="00033A86" w:rsidRDefault="00033A86" w:rsidP="00033A86">
      <w:pPr>
        <w:tabs>
          <w:tab w:val="center" w:pos="6521"/>
        </w:tabs>
        <w:ind w:left="284" w:hanging="284"/>
        <w:rPr>
          <w:color w:val="000000"/>
        </w:rPr>
      </w:pPr>
      <w:r>
        <w:t xml:space="preserve">4) </w:t>
      </w:r>
      <w:r w:rsidRPr="00EE2748">
        <w:t xml:space="preserve">di dare altro altresì che tutte le disposizioni contenute nel Manuale di cui all’allegato 1) sostituiscono, a partire dalla data di adozione dello stesso, quelle ad oggi vigenti e contrastanti contenute nel documento stralcio in materia di formazione continua di cui alla </w:t>
      </w:r>
      <w:r w:rsidRPr="00EE2748">
        <w:lastRenderedPageBreak/>
        <w:t xml:space="preserve">D.G.R. n. 1616 del 29.12.2015 e nel documento stralcio </w:t>
      </w:r>
      <w:r w:rsidRPr="00EE2748">
        <w:rPr>
          <w:color w:val="000000"/>
        </w:rPr>
        <w:t>in materia di Istruzione Tecnica Superiore – ITS di cui alla D.G.R. n. 407 del 19.04.2016</w:t>
      </w:r>
      <w:r>
        <w:rPr>
          <w:color w:val="000000"/>
        </w:rPr>
        <w:t>;</w:t>
      </w:r>
    </w:p>
    <w:p w:rsidR="00033A86" w:rsidRDefault="00033A86" w:rsidP="00033A86">
      <w:pPr>
        <w:tabs>
          <w:tab w:val="center" w:pos="6521"/>
        </w:tabs>
        <w:ind w:left="284" w:hanging="284"/>
      </w:pPr>
      <w:r>
        <w:rPr>
          <w:color w:val="000000"/>
        </w:rPr>
        <w:t xml:space="preserve">5) </w:t>
      </w:r>
      <w:r w:rsidRPr="00EE2748">
        <w:t>di dare atto che il Manuale riportato in allegato 1) presenta ad oggi paragrafi ancora in corso di predisposizione che, concordemente con i Responsabili di Attività, saranno oggetto di prossima implementazione e oggetto di cantieri formativi a valere sul Piano di Rafforzamento Amministrativo (PRA)</w:t>
      </w:r>
      <w:r>
        <w:t>;</w:t>
      </w:r>
    </w:p>
    <w:p w:rsidR="00033A86" w:rsidRDefault="00033A86" w:rsidP="00033A86">
      <w:pPr>
        <w:tabs>
          <w:tab w:val="center" w:pos="6521"/>
        </w:tabs>
        <w:ind w:left="284" w:hanging="284"/>
      </w:pPr>
      <w:r>
        <w:rPr>
          <w:color w:val="000000"/>
        </w:rPr>
        <w:t xml:space="preserve">6) </w:t>
      </w:r>
      <w:r w:rsidRPr="00EE2748">
        <w:t>di stabilire che il Manuale riportato in allegato 1) è soggetto a manutenzione evolutiva sulla base di proposte di modifica avanzate dai vari Responsabili di Attività del PO FSE 2014-2020 opportunamente motivate e condivise con il Servizio Programmazione, indirizzo, monitoraggio, controllo FSE ed innovazione di sistema, laddove possano intendersi come interventi strutturali al documento</w:t>
      </w:r>
      <w:r>
        <w:t>;</w:t>
      </w:r>
    </w:p>
    <w:p w:rsidR="00033A86" w:rsidRDefault="00033A86" w:rsidP="00033A86">
      <w:pPr>
        <w:tabs>
          <w:tab w:val="center" w:pos="6521"/>
        </w:tabs>
        <w:ind w:left="284" w:hanging="284"/>
      </w:pPr>
      <w:r>
        <w:rPr>
          <w:color w:val="000000"/>
        </w:rPr>
        <w:t xml:space="preserve">7) </w:t>
      </w:r>
      <w:r w:rsidRPr="00EE2748">
        <w:t>di fare salva la possibilità per i vari Responsabili di Attività del PO FSE 2014-2020 coinvolti nell’attuazione dello stesso di attivare differenti procedimenti non ricompresi nel presente Manuale opportunamente motivati e in ogni caso compatibili con le regole del Fondo Sociale Europeo</w:t>
      </w:r>
      <w:r>
        <w:t>;</w:t>
      </w:r>
    </w:p>
    <w:p w:rsidR="00033A86" w:rsidRDefault="00033A86" w:rsidP="00033A86">
      <w:pPr>
        <w:tabs>
          <w:tab w:val="center" w:pos="6521"/>
        </w:tabs>
        <w:ind w:left="284" w:hanging="284"/>
      </w:pPr>
      <w:r>
        <w:t xml:space="preserve">8) </w:t>
      </w:r>
      <w:r w:rsidRPr="00EE2748">
        <w:t>di pubblicare il presente atto nel Bollettino Ufficiale della Regione Umbria e nel sito istituzionale della Regione Umbria</w:t>
      </w:r>
      <w:r>
        <w:t>;</w:t>
      </w:r>
    </w:p>
    <w:p w:rsidR="00125EA0" w:rsidRDefault="00033A86" w:rsidP="00033A86">
      <w:pPr>
        <w:tabs>
          <w:tab w:val="center" w:pos="6521"/>
        </w:tabs>
        <w:ind w:left="284" w:hanging="284"/>
      </w:pPr>
      <w:r>
        <w:t xml:space="preserve">9) </w:t>
      </w:r>
      <w:r w:rsidR="00125EA0">
        <w:t>di dichiarare che l'atto è immediatamente efficace.</w:t>
      </w:r>
    </w:p>
    <w:p w:rsidR="00125EA0" w:rsidRDefault="00125EA0">
      <w:pPr>
        <w:spacing w:before="60"/>
        <w:rPr>
          <w:color w:val="FF0000"/>
        </w:rPr>
      </w:pPr>
    </w:p>
    <w:p w:rsidR="00125EA0" w:rsidRDefault="00125EA0">
      <w:pPr>
        <w:ind w:left="644"/>
      </w:pPr>
    </w:p>
    <w:p w:rsidR="00125EA0" w:rsidRDefault="00125EA0"/>
    <w:p w:rsidR="00125EA0" w:rsidRDefault="00125EA0"/>
    <w:p w:rsidR="004D1579" w:rsidRPr="00B84C3E" w:rsidRDefault="004D1579" w:rsidP="00FA2C66">
      <w:pPr>
        <w:widowControl/>
        <w:tabs>
          <w:tab w:val="center" w:pos="2001"/>
        </w:tabs>
        <w:jc w:val="left"/>
        <w:rPr>
          <w:color w:val="000000"/>
        </w:rPr>
      </w:pPr>
    </w:p>
    <w:p w:rsidR="00B84C3E" w:rsidRPr="00FA2C66" w:rsidRDefault="00B84C3E" w:rsidP="00FA2C66">
      <w:pPr>
        <w:widowControl/>
        <w:tabs>
          <w:tab w:val="center" w:pos="2001"/>
        </w:tabs>
        <w:jc w:val="left"/>
        <w:rPr>
          <w:color w:val="000000"/>
        </w:rPr>
      </w:pPr>
    </w:p>
    <w:tbl>
      <w:tblPr>
        <w:tblW w:w="9072" w:type="dxa"/>
        <w:jc w:val="center"/>
        <w:tblLayout w:type="fixed"/>
        <w:tblCellMar>
          <w:left w:w="0" w:type="dxa"/>
          <w:right w:w="0" w:type="dxa"/>
        </w:tblCellMar>
        <w:tblLook w:val="0000" w:firstRow="0" w:lastRow="0" w:firstColumn="0" w:lastColumn="0" w:noHBand="0" w:noVBand="0"/>
      </w:tblPr>
      <w:tblGrid>
        <w:gridCol w:w="2344"/>
        <w:gridCol w:w="6728"/>
      </w:tblGrid>
      <w:tr w:rsidR="00484447">
        <w:tblPrEx>
          <w:tblCellMar>
            <w:top w:w="0" w:type="dxa"/>
            <w:left w:w="0" w:type="dxa"/>
            <w:bottom w:w="0" w:type="dxa"/>
            <w:right w:w="0" w:type="dxa"/>
          </w:tblCellMar>
        </w:tblPrEx>
        <w:trPr>
          <w:trHeight w:val="454"/>
          <w:jc w:val="center"/>
        </w:trPr>
        <w:tc>
          <w:tcPr>
            <w:tcW w:w="2518" w:type="dxa"/>
            <w:tcBorders>
              <w:top w:val="nil"/>
              <w:left w:val="nil"/>
              <w:bottom w:val="nil"/>
              <w:right w:val="nil"/>
            </w:tcBorders>
          </w:tcPr>
          <w:p w:rsidR="00484447" w:rsidRPr="00B56F50" w:rsidRDefault="004D657E">
            <w:pPr>
              <w:widowControl/>
              <w:tabs>
                <w:tab w:val="center" w:pos="2001"/>
              </w:tabs>
              <w:jc w:val="left"/>
              <w:rPr>
                <w:color w:val="000000"/>
              </w:rPr>
            </w:pPr>
            <w:r w:rsidRPr="004D657E">
              <w:rPr>
                <w:color w:val="000000"/>
              </w:rPr>
              <w:t>Perugia</w:t>
            </w:r>
            <w:r w:rsidR="00484447">
              <w:rPr>
                <w:color w:val="000000"/>
              </w:rPr>
              <w:t xml:space="preserve"> lì </w:t>
            </w:r>
            <w:r w:rsidR="00B56F50" w:rsidRPr="00B56F50">
              <w:rPr>
                <w:color w:val="000000"/>
              </w:rPr>
              <w:t>18/11/2016</w:t>
            </w:r>
          </w:p>
        </w:tc>
        <w:tc>
          <w:tcPr>
            <w:tcW w:w="7229" w:type="dxa"/>
            <w:tcBorders>
              <w:top w:val="nil"/>
              <w:left w:val="nil"/>
              <w:bottom w:val="nil"/>
              <w:right w:val="nil"/>
            </w:tcBorders>
          </w:tcPr>
          <w:p w:rsidR="001C4200" w:rsidRDefault="00484447">
            <w:pPr>
              <w:widowControl/>
              <w:tabs>
                <w:tab w:val="center" w:pos="2268"/>
                <w:tab w:val="center" w:pos="7655"/>
              </w:tabs>
              <w:jc w:val="center"/>
            </w:pPr>
            <w:r>
              <w:t>L’Istruttore</w:t>
            </w:r>
          </w:p>
          <w:p w:rsidR="00CC7C3F" w:rsidRPr="00B56F50" w:rsidRDefault="00B56F50">
            <w:pPr>
              <w:widowControl/>
              <w:tabs>
                <w:tab w:val="center" w:pos="2268"/>
                <w:tab w:val="center" w:pos="7655"/>
              </w:tabs>
              <w:jc w:val="center"/>
            </w:pPr>
            <w:r w:rsidRPr="00B56F50">
              <w:t>Simona Diosono</w:t>
            </w:r>
          </w:p>
        </w:tc>
      </w:tr>
      <w:tr w:rsidR="00484447">
        <w:tblPrEx>
          <w:tblCellMar>
            <w:top w:w="0" w:type="dxa"/>
            <w:left w:w="0" w:type="dxa"/>
            <w:bottom w:w="0" w:type="dxa"/>
            <w:right w:w="0" w:type="dxa"/>
          </w:tblCellMar>
        </w:tblPrEx>
        <w:trPr>
          <w:trHeight w:val="454"/>
          <w:jc w:val="center"/>
        </w:trPr>
        <w:tc>
          <w:tcPr>
            <w:tcW w:w="2518" w:type="dxa"/>
            <w:tcBorders>
              <w:top w:val="nil"/>
              <w:left w:val="nil"/>
              <w:bottom w:val="nil"/>
              <w:right w:val="nil"/>
            </w:tcBorders>
          </w:tcPr>
          <w:p w:rsidR="00484447" w:rsidRDefault="00484447">
            <w:pPr>
              <w:widowControl/>
              <w:tabs>
                <w:tab w:val="left" w:pos="5812"/>
              </w:tabs>
              <w:ind w:right="142"/>
              <w:jc w:val="center"/>
            </w:pPr>
          </w:p>
        </w:tc>
        <w:tc>
          <w:tcPr>
            <w:tcW w:w="7229" w:type="dxa"/>
            <w:tcBorders>
              <w:top w:val="nil"/>
              <w:left w:val="nil"/>
              <w:bottom w:val="nil"/>
              <w:right w:val="nil"/>
            </w:tcBorders>
          </w:tcPr>
          <w:p w:rsidR="00484447" w:rsidRPr="00CC7C3F" w:rsidRDefault="00D8603C">
            <w:pPr>
              <w:widowControl/>
              <w:jc w:val="center"/>
              <w:rPr>
                <w:sz w:val="18"/>
                <w:szCs w:val="18"/>
              </w:rPr>
            </w:pPr>
            <w:r>
              <w:rPr>
                <w:sz w:val="18"/>
                <w:szCs w:val="18"/>
              </w:rPr>
              <w:t xml:space="preserve">Istruttoria firmata </w:t>
            </w:r>
            <w:r w:rsidR="001C4200" w:rsidRPr="00CC7C3F">
              <w:rPr>
                <w:sz w:val="18"/>
                <w:szCs w:val="18"/>
              </w:rPr>
              <w:t xml:space="preserve"> ai sensi dell’ art. 23-ter del Codice dell’Amministrazione digitale</w:t>
            </w:r>
          </w:p>
        </w:tc>
      </w:tr>
    </w:tbl>
    <w:p w:rsidR="00484447" w:rsidRDefault="00484447">
      <w:pPr>
        <w:widowControl/>
        <w:jc w:val="left"/>
      </w:pPr>
    </w:p>
    <w:p w:rsidR="00DE1922" w:rsidRPr="00745AC1" w:rsidRDefault="00DE1922" w:rsidP="00FA2C66">
      <w:pPr>
        <w:widowControl/>
        <w:tabs>
          <w:tab w:val="center" w:pos="2001"/>
        </w:tabs>
        <w:jc w:val="left"/>
        <w:rPr>
          <w:color w:val="000000"/>
        </w:rPr>
      </w:pPr>
    </w:p>
    <w:p w:rsidR="00745AC1" w:rsidRPr="00DE1922" w:rsidRDefault="00745AC1" w:rsidP="00FA2C66">
      <w:pPr>
        <w:widowControl/>
        <w:tabs>
          <w:tab w:val="center" w:pos="2001"/>
        </w:tabs>
        <w:jc w:val="left"/>
        <w:rPr>
          <w:color w:val="000000"/>
        </w:rPr>
      </w:pPr>
    </w:p>
    <w:tbl>
      <w:tblPr>
        <w:tblW w:w="9092" w:type="dxa"/>
        <w:jc w:val="center"/>
        <w:tblLayout w:type="fixed"/>
        <w:tblCellMar>
          <w:left w:w="0" w:type="dxa"/>
          <w:right w:w="0" w:type="dxa"/>
        </w:tblCellMar>
        <w:tblLook w:val="0000" w:firstRow="0" w:lastRow="0" w:firstColumn="0" w:lastColumn="0" w:noHBand="0" w:noVBand="0"/>
      </w:tblPr>
      <w:tblGrid>
        <w:gridCol w:w="2431"/>
        <w:gridCol w:w="6661"/>
      </w:tblGrid>
      <w:tr w:rsidR="00484447">
        <w:tblPrEx>
          <w:tblCellMar>
            <w:top w:w="0" w:type="dxa"/>
            <w:left w:w="0" w:type="dxa"/>
            <w:bottom w:w="0" w:type="dxa"/>
            <w:right w:w="0" w:type="dxa"/>
          </w:tblCellMar>
        </w:tblPrEx>
        <w:trPr>
          <w:trHeight w:val="454"/>
          <w:jc w:val="center"/>
        </w:trPr>
        <w:tc>
          <w:tcPr>
            <w:tcW w:w="2431" w:type="dxa"/>
            <w:tcBorders>
              <w:top w:val="nil"/>
              <w:left w:val="nil"/>
              <w:bottom w:val="nil"/>
              <w:right w:val="nil"/>
            </w:tcBorders>
          </w:tcPr>
          <w:p w:rsidR="00484447" w:rsidRPr="00DE1922" w:rsidRDefault="00886356">
            <w:pPr>
              <w:widowControl/>
              <w:tabs>
                <w:tab w:val="center" w:pos="2001"/>
              </w:tabs>
              <w:jc w:val="left"/>
              <w:rPr>
                <w:color w:val="000000"/>
              </w:rPr>
            </w:pPr>
            <w:r w:rsidRPr="00886356">
              <w:rPr>
                <w:color w:val="000000"/>
              </w:rPr>
              <w:t>Perugia</w:t>
            </w:r>
            <w:r w:rsidR="00484447">
              <w:rPr>
                <w:color w:val="000000"/>
              </w:rPr>
              <w:t xml:space="preserve"> lì </w:t>
            </w:r>
            <w:r w:rsidR="00DE1922" w:rsidRPr="00DE1922">
              <w:rPr>
                <w:color w:val="000000"/>
              </w:rPr>
              <w:t>18/11/2016</w:t>
            </w:r>
          </w:p>
        </w:tc>
        <w:tc>
          <w:tcPr>
            <w:tcW w:w="6661" w:type="dxa"/>
            <w:tcBorders>
              <w:top w:val="nil"/>
              <w:left w:val="nil"/>
              <w:bottom w:val="nil"/>
              <w:right w:val="nil"/>
            </w:tcBorders>
            <w:vAlign w:val="center"/>
          </w:tcPr>
          <w:p w:rsidR="00061E2D" w:rsidRDefault="00061E2D" w:rsidP="00061E2D">
            <w:pPr>
              <w:tabs>
                <w:tab w:val="center" w:pos="1418"/>
                <w:tab w:val="center" w:pos="7655"/>
              </w:tabs>
              <w:jc w:val="center"/>
            </w:pPr>
            <w:r>
              <w:t>Si attesta la regolarità tecnica e amministrativa</w:t>
            </w:r>
          </w:p>
          <w:p w:rsidR="007A6D08" w:rsidRDefault="00061E2D" w:rsidP="00061E2D">
            <w:pPr>
              <w:widowControl/>
              <w:tabs>
                <w:tab w:val="center" w:pos="2268"/>
                <w:tab w:val="center" w:pos="7655"/>
              </w:tabs>
              <w:jc w:val="center"/>
            </w:pPr>
            <w:r>
              <w:t>Il Responsabile</w:t>
            </w:r>
          </w:p>
          <w:p w:rsidR="00CC7C3F" w:rsidRPr="00DE1922" w:rsidRDefault="007A6D08" w:rsidP="00061E2D">
            <w:pPr>
              <w:widowControl/>
              <w:tabs>
                <w:tab w:val="center" w:pos="2268"/>
                <w:tab w:val="center" w:pos="7655"/>
              </w:tabs>
              <w:jc w:val="center"/>
            </w:pPr>
            <w:r w:rsidRPr="00DE1922">
              <w:t>Dr.ssa Sabrina Paolini</w:t>
            </w:r>
          </w:p>
        </w:tc>
      </w:tr>
      <w:tr w:rsidR="00484447" w:rsidTr="007A6D08">
        <w:tblPrEx>
          <w:tblCellMar>
            <w:top w:w="0" w:type="dxa"/>
            <w:left w:w="0" w:type="dxa"/>
            <w:bottom w:w="0" w:type="dxa"/>
            <w:right w:w="0" w:type="dxa"/>
          </w:tblCellMar>
        </w:tblPrEx>
        <w:trPr>
          <w:trHeight w:val="454"/>
          <w:jc w:val="center"/>
        </w:trPr>
        <w:tc>
          <w:tcPr>
            <w:tcW w:w="2431" w:type="dxa"/>
            <w:tcBorders>
              <w:top w:val="nil"/>
              <w:left w:val="nil"/>
              <w:bottom w:val="nil"/>
              <w:right w:val="nil"/>
            </w:tcBorders>
            <w:vAlign w:val="center"/>
          </w:tcPr>
          <w:p w:rsidR="00484447" w:rsidRDefault="00484447" w:rsidP="0068217C">
            <w:pPr>
              <w:widowControl/>
              <w:tabs>
                <w:tab w:val="left" w:pos="5812"/>
              </w:tabs>
              <w:ind w:right="142"/>
              <w:jc w:val="center"/>
            </w:pPr>
          </w:p>
        </w:tc>
        <w:tc>
          <w:tcPr>
            <w:tcW w:w="6661" w:type="dxa"/>
            <w:tcBorders>
              <w:top w:val="nil"/>
              <w:left w:val="nil"/>
              <w:bottom w:val="nil"/>
              <w:right w:val="nil"/>
            </w:tcBorders>
          </w:tcPr>
          <w:p w:rsidR="00484447" w:rsidRPr="00CC7C3F" w:rsidRDefault="00061E2D" w:rsidP="007A6D08">
            <w:pPr>
              <w:widowControl/>
              <w:jc w:val="center"/>
              <w:rPr>
                <w:sz w:val="18"/>
                <w:szCs w:val="18"/>
              </w:rPr>
            </w:pPr>
            <w:r>
              <w:rPr>
                <w:sz w:val="18"/>
                <w:szCs w:val="18"/>
              </w:rPr>
              <w:t>Parere apposto</w:t>
            </w:r>
            <w:r w:rsidR="0068217C">
              <w:rPr>
                <w:sz w:val="18"/>
                <w:szCs w:val="18"/>
              </w:rPr>
              <w:t xml:space="preserve"> ai sensi </w:t>
            </w:r>
            <w:r w:rsidR="001C4200" w:rsidRPr="00CC7C3F">
              <w:rPr>
                <w:sz w:val="18"/>
                <w:szCs w:val="18"/>
              </w:rPr>
              <w:t>dell’ art. 23-ter del Codice dell’Amministrazione digitale</w:t>
            </w:r>
          </w:p>
        </w:tc>
      </w:tr>
    </w:tbl>
    <w:p w:rsidR="00257AD2" w:rsidRDefault="00257AD2">
      <w:pPr>
        <w:widowControl/>
        <w:jc w:val="left"/>
      </w:pPr>
    </w:p>
    <w:p w:rsidR="00A2184F" w:rsidRDefault="00A2184F">
      <w:pPr>
        <w:widowControl/>
        <w:autoSpaceDE/>
        <w:autoSpaceDN/>
        <w:jc w:val="left"/>
      </w:pPr>
    </w:p>
    <w:p w:rsidR="00A2184F" w:rsidRDefault="00A2184F">
      <w:pPr>
        <w:widowControl/>
        <w:autoSpaceDE/>
        <w:autoSpaceDN/>
        <w:jc w:val="left"/>
      </w:pPr>
    </w:p>
    <w:p w:rsidR="00BC137C" w:rsidRPr="00BF586F" w:rsidRDefault="00BF586F">
      <w:pPr>
        <w:widowControl/>
        <w:autoSpaceDE/>
        <w:autoSpaceDN/>
        <w:jc w:val="left"/>
      </w:pPr>
      <w:r w:rsidRPr="00BF586F">
        <w:t xml:space="preserve"> </w:t>
      </w:r>
    </w:p>
    <w:p w:rsidR="00BC137C" w:rsidRPr="00FA2C66" w:rsidRDefault="00BC137C" w:rsidP="00BC137C">
      <w:pPr>
        <w:widowControl/>
        <w:tabs>
          <w:tab w:val="center" w:pos="2001"/>
        </w:tabs>
        <w:autoSpaceDE/>
        <w:autoSpaceDN/>
        <w:jc w:val="left"/>
        <w:rPr>
          <w:color w:val="000000"/>
        </w:rPr>
      </w:pPr>
    </w:p>
    <w:tbl>
      <w:tblPr>
        <w:tblW w:w="9072" w:type="dxa"/>
        <w:jc w:val="center"/>
        <w:tblLayout w:type="fixed"/>
        <w:tblCellMar>
          <w:left w:w="0" w:type="dxa"/>
          <w:right w:w="0" w:type="dxa"/>
        </w:tblCellMar>
        <w:tblLook w:val="0000" w:firstRow="0" w:lastRow="0" w:firstColumn="0" w:lastColumn="0" w:noHBand="0" w:noVBand="0"/>
      </w:tblPr>
      <w:tblGrid>
        <w:gridCol w:w="2344"/>
        <w:gridCol w:w="6728"/>
      </w:tblGrid>
      <w:tr w:rsidR="00BC137C">
        <w:tblPrEx>
          <w:tblCellMar>
            <w:top w:w="0" w:type="dxa"/>
            <w:left w:w="0" w:type="dxa"/>
            <w:bottom w:w="0" w:type="dxa"/>
            <w:right w:w="0" w:type="dxa"/>
          </w:tblCellMar>
        </w:tblPrEx>
        <w:trPr>
          <w:trHeight w:val="454"/>
          <w:jc w:val="center"/>
        </w:trPr>
        <w:tc>
          <w:tcPr>
            <w:tcW w:w="2518" w:type="dxa"/>
            <w:tcBorders>
              <w:top w:val="nil"/>
              <w:left w:val="nil"/>
              <w:bottom w:val="nil"/>
              <w:right w:val="nil"/>
            </w:tcBorders>
          </w:tcPr>
          <w:p w:rsidR="00BC137C" w:rsidRPr="00BC137C" w:rsidRDefault="00ED2337" w:rsidP="008E0E29">
            <w:pPr>
              <w:widowControl/>
              <w:tabs>
                <w:tab w:val="center" w:pos="2001"/>
              </w:tabs>
              <w:autoSpaceDE/>
              <w:autoSpaceDN/>
              <w:jc w:val="left"/>
              <w:rPr>
                <w:color w:val="000000"/>
              </w:rPr>
            </w:pPr>
            <w:r w:rsidRPr="00ED2337">
              <w:rPr>
                <w:color w:val="000000"/>
              </w:rPr>
              <w:t>Perugia</w:t>
            </w:r>
            <w:r>
              <w:rPr>
                <w:color w:val="000000"/>
              </w:rPr>
              <w:t xml:space="preserve"> </w:t>
            </w:r>
            <w:r w:rsidR="00BC137C">
              <w:rPr>
                <w:color w:val="000000"/>
              </w:rPr>
              <w:t xml:space="preserve">lì </w:t>
            </w:r>
            <w:r w:rsidR="00BC137C" w:rsidRPr="00BC137C">
              <w:rPr>
                <w:color w:val="000000"/>
              </w:rPr>
              <w:t>18/11/2016</w:t>
            </w:r>
          </w:p>
        </w:tc>
        <w:tc>
          <w:tcPr>
            <w:tcW w:w="7229" w:type="dxa"/>
            <w:tcBorders>
              <w:top w:val="nil"/>
              <w:left w:val="nil"/>
              <w:bottom w:val="nil"/>
              <w:right w:val="nil"/>
            </w:tcBorders>
          </w:tcPr>
          <w:p w:rsidR="00BC137C" w:rsidRPr="003B31E1" w:rsidRDefault="00415FCC" w:rsidP="008E0E29">
            <w:pPr>
              <w:widowControl/>
              <w:tabs>
                <w:tab w:val="center" w:pos="2268"/>
                <w:tab w:val="center" w:pos="7655"/>
              </w:tabs>
              <w:autoSpaceDE/>
              <w:autoSpaceDN/>
              <w:jc w:val="center"/>
            </w:pPr>
            <w:r>
              <w:t xml:space="preserve">Il </w:t>
            </w:r>
            <w:r w:rsidRPr="00ED2337">
              <w:t>Direttore</w:t>
            </w:r>
            <w:r w:rsidR="003B31E1">
              <w:t xml:space="preserve"> </w:t>
            </w:r>
          </w:p>
          <w:p w:rsidR="00BC137C" w:rsidRPr="006D40AD" w:rsidRDefault="00415FCC" w:rsidP="008E0E29">
            <w:pPr>
              <w:widowControl/>
              <w:tabs>
                <w:tab w:val="center" w:pos="2268"/>
                <w:tab w:val="center" w:pos="7655"/>
              </w:tabs>
              <w:autoSpaceDE/>
              <w:autoSpaceDN/>
              <w:jc w:val="center"/>
            </w:pPr>
            <w:r w:rsidRPr="00415FCC">
              <w:t>Lucio Caporizzi</w:t>
            </w:r>
          </w:p>
        </w:tc>
      </w:tr>
      <w:tr w:rsidR="00BC137C">
        <w:tblPrEx>
          <w:tblCellMar>
            <w:top w:w="0" w:type="dxa"/>
            <w:left w:w="0" w:type="dxa"/>
            <w:bottom w:w="0" w:type="dxa"/>
            <w:right w:w="0" w:type="dxa"/>
          </w:tblCellMar>
        </w:tblPrEx>
        <w:trPr>
          <w:trHeight w:val="454"/>
          <w:jc w:val="center"/>
        </w:trPr>
        <w:tc>
          <w:tcPr>
            <w:tcW w:w="2518" w:type="dxa"/>
            <w:tcBorders>
              <w:top w:val="nil"/>
              <w:left w:val="nil"/>
              <w:bottom w:val="nil"/>
              <w:right w:val="nil"/>
            </w:tcBorders>
          </w:tcPr>
          <w:p w:rsidR="00BC137C" w:rsidRDefault="00BC137C" w:rsidP="008E0E29">
            <w:pPr>
              <w:widowControl/>
              <w:tabs>
                <w:tab w:val="left" w:pos="5812"/>
              </w:tabs>
              <w:autoSpaceDE/>
              <w:autoSpaceDN/>
              <w:ind w:right="142"/>
              <w:jc w:val="center"/>
            </w:pPr>
          </w:p>
        </w:tc>
        <w:tc>
          <w:tcPr>
            <w:tcW w:w="7229" w:type="dxa"/>
            <w:tcBorders>
              <w:top w:val="nil"/>
              <w:left w:val="nil"/>
              <w:bottom w:val="nil"/>
              <w:right w:val="nil"/>
            </w:tcBorders>
          </w:tcPr>
          <w:p w:rsidR="00BC137C" w:rsidRPr="00032A7D" w:rsidRDefault="00032A7D" w:rsidP="00453068">
            <w:pPr>
              <w:widowControl/>
              <w:autoSpaceDE/>
              <w:autoSpaceDN/>
              <w:jc w:val="center"/>
              <w:rPr>
                <w:sz w:val="16"/>
                <w:szCs w:val="16"/>
              </w:rPr>
            </w:pPr>
            <w:r w:rsidRPr="00032A7D">
              <w:rPr>
                <w:sz w:val="16"/>
                <w:szCs w:val="16"/>
              </w:rPr>
              <w:t>Documento f</w:t>
            </w:r>
            <w:r w:rsidR="00BC137C" w:rsidRPr="00032A7D">
              <w:rPr>
                <w:sz w:val="16"/>
                <w:szCs w:val="16"/>
              </w:rPr>
              <w:t xml:space="preserve">irmato </w:t>
            </w:r>
            <w:r w:rsidRPr="00032A7D">
              <w:rPr>
                <w:sz w:val="16"/>
                <w:szCs w:val="16"/>
              </w:rPr>
              <w:t>digitalmente</w:t>
            </w:r>
            <w:r w:rsidR="00BC137C" w:rsidRPr="00032A7D">
              <w:rPr>
                <w:sz w:val="16"/>
                <w:szCs w:val="16"/>
              </w:rPr>
              <w:t xml:space="preserve"> ai sensi de</w:t>
            </w:r>
            <w:r w:rsidR="00453068">
              <w:rPr>
                <w:sz w:val="16"/>
                <w:szCs w:val="16"/>
              </w:rPr>
              <w:t>l d.l</w:t>
            </w:r>
            <w:r w:rsidRPr="00032A7D">
              <w:rPr>
                <w:sz w:val="16"/>
                <w:szCs w:val="16"/>
              </w:rPr>
              <w:t>gs. 7 marzo 2005, n.</w:t>
            </w:r>
            <w:r w:rsidR="00453068">
              <w:rPr>
                <w:sz w:val="16"/>
                <w:szCs w:val="16"/>
              </w:rPr>
              <w:t xml:space="preserve"> </w:t>
            </w:r>
            <w:r w:rsidRPr="00032A7D">
              <w:rPr>
                <w:sz w:val="16"/>
                <w:szCs w:val="16"/>
              </w:rPr>
              <w:t>82, art. 2</w:t>
            </w:r>
            <w:r w:rsidR="00782A3F">
              <w:rPr>
                <w:sz w:val="16"/>
                <w:szCs w:val="16"/>
              </w:rPr>
              <w:t>1</w:t>
            </w:r>
            <w:r w:rsidRPr="00032A7D">
              <w:rPr>
                <w:sz w:val="16"/>
                <w:szCs w:val="16"/>
              </w:rPr>
              <w:t xml:space="preserve"> comma 2</w:t>
            </w:r>
          </w:p>
        </w:tc>
      </w:tr>
    </w:tbl>
    <w:p w:rsidR="00BC137C" w:rsidRDefault="00BC137C" w:rsidP="00BC137C">
      <w:pPr>
        <w:widowControl/>
        <w:autoSpaceDE/>
        <w:autoSpaceDN/>
        <w:jc w:val="left"/>
      </w:pPr>
    </w:p>
    <w:p w:rsidR="00BC137C" w:rsidRPr="00860AA3" w:rsidRDefault="00BC137C">
      <w:pPr>
        <w:widowControl/>
        <w:autoSpaceDE/>
        <w:autoSpaceDN/>
        <w:jc w:val="left"/>
      </w:pPr>
    </w:p>
    <w:sectPr w:rsidR="00BC137C" w:rsidRPr="00860AA3" w:rsidSect="00782A3F">
      <w:headerReference w:type="default" r:id="rId8"/>
      <w:footerReference w:type="default" r:id="rId9"/>
      <w:headerReference w:type="first" r:id="rId10"/>
      <w:footerReference w:type="first" r:id="rId11"/>
      <w:pgSz w:w="11907" w:h="16840" w:code="9"/>
      <w:pgMar w:top="1418" w:right="1418" w:bottom="1418" w:left="141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261B" w:rsidRDefault="0081261B">
      <w:pPr>
        <w:rPr>
          <w:rFonts w:ascii="Times New Roman" w:hAnsi="Times New Roman" w:cs="Times New Roman"/>
        </w:rPr>
      </w:pPr>
      <w:r>
        <w:rPr>
          <w:rFonts w:ascii="Times New Roman" w:hAnsi="Times New Roman" w:cs="Times New Roman"/>
        </w:rPr>
        <w:separator/>
      </w:r>
    </w:p>
  </w:endnote>
  <w:endnote w:type="continuationSeparator" w:id="0">
    <w:p w:rsidR="0081261B" w:rsidRDefault="0081261B">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altName w:val="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Bodoni BT">
    <w:altName w:val="Nyala"/>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EA0" w:rsidRDefault="00125EA0">
    <w:pPr>
      <w:tabs>
        <w:tab w:val="left" w:pos="2552"/>
        <w:tab w:val="center" w:pos="4535"/>
        <w:tab w:val="right" w:pos="9070"/>
      </w:tabs>
      <w:rPr>
        <w:sz w:val="16"/>
        <w:szCs w:val="16"/>
      </w:rPr>
    </w:pPr>
    <w:r>
      <w:rPr>
        <w:sz w:val="16"/>
        <w:szCs w:val="16"/>
      </w:rPr>
      <w:t>segue atto n. 11343</w:t>
    </w:r>
    <w:r>
      <w:rPr>
        <w:sz w:val="16"/>
        <w:szCs w:val="16"/>
      </w:rPr>
      <w:tab/>
      <w:t xml:space="preserve"> del 18/11/2016</w:t>
    </w:r>
    <w:r>
      <w:rPr>
        <w:sz w:val="16"/>
        <w:szCs w:val="16"/>
      </w:rPr>
      <w:tab/>
    </w:r>
    <w:r>
      <w:rPr>
        <w:sz w:val="16"/>
        <w:szCs w:val="16"/>
      </w:rPr>
      <w:tab/>
    </w:r>
    <w:r>
      <w:rPr>
        <w:sz w:val="16"/>
        <w:szCs w:val="16"/>
      </w:rPr>
      <w:fldChar w:fldCharType="begin"/>
    </w:r>
    <w:r>
      <w:rPr>
        <w:sz w:val="16"/>
        <w:szCs w:val="16"/>
      </w:rPr>
      <w:instrText xml:space="preserve"> PAGE  \* ARABIC  \* MERGEFORMAT </w:instrText>
    </w:r>
    <w:r>
      <w:rPr>
        <w:sz w:val="16"/>
        <w:szCs w:val="16"/>
      </w:rPr>
      <w:fldChar w:fldCharType="separate"/>
    </w:r>
    <w:r w:rsidR="00B8075C">
      <w:rPr>
        <w:noProof/>
        <w:sz w:val="16"/>
        <w:szCs w:val="16"/>
      </w:rPr>
      <w:t>1</w:t>
    </w:r>
    <w:r>
      <w:rPr>
        <w:sz w:val="16"/>
        <w:szCs w:val="16"/>
      </w:rPr>
      <w:fldChar w:fldCharType="end"/>
    </w:r>
    <w:r>
      <w:rPr>
        <w:sz w:val="16"/>
        <w:szCs w:val="16"/>
      </w:rPr>
      <w:fldChar w:fldCharType="begin"/>
    </w:r>
    <w:r>
      <w:rPr>
        <w:sz w:val="16"/>
        <w:szCs w:val="16"/>
      </w:rPr>
      <w:instrText>\page\* ARABIC</w:instrText>
    </w:r>
    <w:r>
      <w:rPr>
        <w:sz w:val="16"/>
        <w:szCs w:val="16"/>
      </w:rPr>
      <w:fldChar w:fldCharType="separate"/>
    </w:r>
    <w:r>
      <w:rPr>
        <w:sz w:val="16"/>
        <w:szCs w:val="16"/>
      </w:rPr>
      <w:t>3</w:t>
    </w:r>
    <w:r>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EA0" w:rsidRDefault="00125EA0">
    <w:pPr>
      <w:tabs>
        <w:tab w:val="center" w:pos="4535"/>
        <w:tab w:val="right" w:pos="9070"/>
      </w:tabs>
      <w:rPr>
        <w:sz w:val="16"/>
        <w:szCs w:val="16"/>
      </w:rPr>
    </w:pPr>
    <w:r>
      <w:tab/>
    </w:r>
    <w:r>
      <w:tab/>
    </w:r>
    <w:r>
      <w:rPr>
        <w:rFonts w:ascii="Times New Roman" w:hAnsi="Times New Roman" w:cs="Times New Roman"/>
        <w:sz w:val="16"/>
        <w:szCs w:val="16"/>
      </w:rPr>
      <w:fldChar w:fldCharType="begin"/>
    </w:r>
    <w:r>
      <w:rPr>
        <w:rFonts w:ascii="Times New Roman" w:hAnsi="Times New Roman" w:cs="Times New Roman"/>
        <w:sz w:val="16"/>
        <w:szCs w:val="16"/>
      </w:rPr>
      <w:instrText xml:space="preserve"> PAGE </w:instrText>
    </w:r>
    <w:r>
      <w:rPr>
        <w:rFonts w:ascii="Times New Roman" w:hAnsi="Times New Roman" w:cs="Times New Roman"/>
        <w:sz w:val="16"/>
        <w:szCs w:val="16"/>
      </w:rPr>
      <w:fldChar w:fldCharType="separate"/>
    </w:r>
    <w:r w:rsidR="00033A86">
      <w:rPr>
        <w:rFonts w:ascii="Times New Roman" w:hAnsi="Times New Roman" w:cs="Times New Roman"/>
        <w:noProof/>
        <w:sz w:val="16"/>
        <w:szCs w:val="16"/>
      </w:rPr>
      <w:t>1</w:t>
    </w:r>
    <w:r>
      <w:rPr>
        <w:rFonts w:ascii="Times New Roman" w:hAnsi="Times New Roman" w:cs="Times New Roman"/>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261B" w:rsidRDefault="0081261B">
      <w:pPr>
        <w:rPr>
          <w:rFonts w:ascii="Times New Roman" w:hAnsi="Times New Roman" w:cs="Times New Roman"/>
        </w:rPr>
      </w:pPr>
      <w:r>
        <w:rPr>
          <w:rFonts w:ascii="Times New Roman" w:hAnsi="Times New Roman" w:cs="Times New Roman"/>
        </w:rPr>
        <w:separator/>
      </w:r>
    </w:p>
  </w:footnote>
  <w:footnote w:type="continuationSeparator" w:id="0">
    <w:p w:rsidR="0081261B" w:rsidRDefault="0081261B">
      <w:pPr>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EA0" w:rsidRDefault="00125EA0">
    <w:pPr>
      <w:tabs>
        <w:tab w:val="center" w:pos="4819"/>
        <w:tab w:val="right" w:pos="9638"/>
      </w:tabs>
      <w:rPr>
        <w:rFonts w:ascii="Times New Roman" w:hAnsi="Times New Roman" w:cs="Times New Roman"/>
        <w:sz w:val="20"/>
        <w:szCs w:val="20"/>
      </w:rPr>
    </w:pPr>
    <w:r>
      <w:rPr>
        <w:sz w:val="12"/>
        <w:szCs w:val="12"/>
      </w:rPr>
      <w:t>COD. PRATICA: 2016-002-13009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EA0" w:rsidRDefault="00125EA0">
    <w:pPr>
      <w:tabs>
        <w:tab w:val="center" w:pos="4536"/>
        <w:tab w:val="right" w:pos="9072"/>
      </w:tabs>
    </w:pPr>
    <w:r>
      <w:rPr>
        <w:sz w:val="12"/>
        <w:szCs w:val="12"/>
      </w:rPr>
      <w:t>CODPRAT: 2016-002-13009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D97E7070"/>
    <w:name w:val="RTF_Num 2"/>
    <w:lvl w:ilvl="0">
      <w:start w:val="1"/>
      <w:numFmt w:val="decimal"/>
      <w:lvlText w:val="%1."/>
      <w:lvlJc w:val="left"/>
      <w:pPr>
        <w:ind w:left="786" w:hanging="360"/>
      </w:pPr>
      <w:rPr>
        <w:rFonts w:ascii="Arial" w:hAnsi="Arial" w:cs="Arial" w:hint="default"/>
        <w:sz w:val="22"/>
        <w:szCs w:val="22"/>
      </w:rPr>
    </w:lvl>
    <w:lvl w:ilvl="1">
      <w:start w:val="1"/>
      <w:numFmt w:val="lowerLetter"/>
      <w:lvlText w:val="%2."/>
      <w:lvlJc w:val="left"/>
      <w:pPr>
        <w:ind w:left="1440" w:hanging="360"/>
      </w:pPr>
      <w:rPr>
        <w:rFonts w:ascii="Times New Roman" w:hAnsi="Times New Roman" w:cs="Times New Roman" w:hint="default"/>
        <w:sz w:val="22"/>
        <w:szCs w:val="22"/>
      </w:rPr>
    </w:lvl>
    <w:lvl w:ilvl="2">
      <w:start w:val="1"/>
      <w:numFmt w:val="lowerRoman"/>
      <w:lvlText w:val="%3."/>
      <w:lvlJc w:val="right"/>
      <w:pPr>
        <w:ind w:left="2160" w:hanging="180"/>
      </w:pPr>
      <w:rPr>
        <w:rFonts w:ascii="Times New Roman" w:hAnsi="Times New Roman" w:cs="Times New Roman" w:hint="default"/>
        <w:sz w:val="22"/>
        <w:szCs w:val="22"/>
      </w:rPr>
    </w:lvl>
    <w:lvl w:ilvl="3">
      <w:start w:val="1"/>
      <w:numFmt w:val="decimal"/>
      <w:lvlText w:val="%4."/>
      <w:lvlJc w:val="left"/>
      <w:pPr>
        <w:ind w:left="2880" w:hanging="360"/>
      </w:pPr>
      <w:rPr>
        <w:rFonts w:ascii="Times New Roman" w:hAnsi="Times New Roman" w:cs="Times New Roman" w:hint="default"/>
        <w:sz w:val="22"/>
        <w:szCs w:val="22"/>
      </w:rPr>
    </w:lvl>
    <w:lvl w:ilvl="4">
      <w:start w:val="1"/>
      <w:numFmt w:val="lowerLetter"/>
      <w:lvlText w:val="%5."/>
      <w:lvlJc w:val="left"/>
      <w:pPr>
        <w:ind w:left="3600" w:hanging="360"/>
      </w:pPr>
      <w:rPr>
        <w:rFonts w:ascii="Times New Roman" w:hAnsi="Times New Roman" w:cs="Times New Roman" w:hint="default"/>
        <w:sz w:val="22"/>
        <w:szCs w:val="22"/>
      </w:rPr>
    </w:lvl>
    <w:lvl w:ilvl="5">
      <w:start w:val="1"/>
      <w:numFmt w:val="lowerRoman"/>
      <w:lvlText w:val="%6."/>
      <w:lvlJc w:val="right"/>
      <w:pPr>
        <w:ind w:left="4320" w:hanging="180"/>
      </w:pPr>
      <w:rPr>
        <w:rFonts w:ascii="Times New Roman" w:hAnsi="Times New Roman" w:cs="Times New Roman" w:hint="default"/>
        <w:sz w:val="22"/>
        <w:szCs w:val="22"/>
      </w:rPr>
    </w:lvl>
    <w:lvl w:ilvl="6">
      <w:start w:val="1"/>
      <w:numFmt w:val="decimal"/>
      <w:lvlText w:val="%7."/>
      <w:lvlJc w:val="left"/>
      <w:pPr>
        <w:ind w:left="5040" w:hanging="360"/>
      </w:pPr>
      <w:rPr>
        <w:rFonts w:ascii="Times New Roman" w:hAnsi="Times New Roman" w:cs="Times New Roman" w:hint="default"/>
        <w:sz w:val="22"/>
        <w:szCs w:val="22"/>
      </w:rPr>
    </w:lvl>
    <w:lvl w:ilvl="7">
      <w:start w:val="1"/>
      <w:numFmt w:val="lowerLetter"/>
      <w:lvlText w:val="%8."/>
      <w:lvlJc w:val="left"/>
      <w:pPr>
        <w:ind w:left="5760" w:hanging="360"/>
      </w:pPr>
      <w:rPr>
        <w:rFonts w:ascii="Times New Roman" w:hAnsi="Times New Roman" w:cs="Times New Roman" w:hint="default"/>
        <w:sz w:val="22"/>
        <w:szCs w:val="22"/>
      </w:rPr>
    </w:lvl>
    <w:lvl w:ilvl="8">
      <w:start w:val="1"/>
      <w:numFmt w:val="lowerRoman"/>
      <w:lvlText w:val="%9."/>
      <w:lvlJc w:val="right"/>
      <w:pPr>
        <w:ind w:left="6480" w:hanging="180"/>
      </w:pPr>
      <w:rPr>
        <w:rFonts w:ascii="Times New Roman" w:hAnsi="Times New Roman" w:cs="Times New Roman" w:hint="default"/>
        <w:sz w:val="22"/>
        <w:szCs w:val="22"/>
      </w:rPr>
    </w:lvl>
  </w:abstractNum>
  <w:abstractNum w:abstractNumId="1">
    <w:nsid w:val="152C7DE1"/>
    <w:multiLevelType w:val="multilevel"/>
    <w:tmpl w:val="E1E6CEFC"/>
    <w:name w:val="RTF_Num 2222"/>
    <w:lvl w:ilvl="0">
      <w:start w:val="6"/>
      <w:numFmt w:val="decimal"/>
      <w:lvlText w:val="%1."/>
      <w:lvlJc w:val="left"/>
      <w:pPr>
        <w:ind w:left="644" w:hanging="360"/>
      </w:pPr>
      <w:rPr>
        <w:rFonts w:ascii="Arial" w:hAnsi="Arial" w:cs="Arial" w:hint="default"/>
        <w:sz w:val="22"/>
        <w:szCs w:val="22"/>
      </w:rPr>
    </w:lvl>
    <w:lvl w:ilvl="1">
      <w:start w:val="1"/>
      <w:numFmt w:val="lowerLetter"/>
      <w:lvlText w:val="%2."/>
      <w:lvlJc w:val="left"/>
      <w:pPr>
        <w:ind w:left="1440" w:hanging="360"/>
      </w:pPr>
      <w:rPr>
        <w:rFonts w:ascii="Times New Roman" w:hAnsi="Times New Roman" w:cs="Times New Roman" w:hint="default"/>
        <w:sz w:val="22"/>
        <w:szCs w:val="22"/>
      </w:rPr>
    </w:lvl>
    <w:lvl w:ilvl="2">
      <w:start w:val="1"/>
      <w:numFmt w:val="lowerRoman"/>
      <w:lvlText w:val="%3."/>
      <w:lvlJc w:val="right"/>
      <w:pPr>
        <w:ind w:left="2160" w:hanging="180"/>
      </w:pPr>
      <w:rPr>
        <w:rFonts w:ascii="Times New Roman" w:hAnsi="Times New Roman" w:cs="Times New Roman" w:hint="default"/>
        <w:sz w:val="22"/>
        <w:szCs w:val="22"/>
      </w:rPr>
    </w:lvl>
    <w:lvl w:ilvl="3">
      <w:start w:val="1"/>
      <w:numFmt w:val="decimal"/>
      <w:lvlText w:val="%4."/>
      <w:lvlJc w:val="left"/>
      <w:pPr>
        <w:ind w:left="2880" w:hanging="360"/>
      </w:pPr>
      <w:rPr>
        <w:rFonts w:ascii="Times New Roman" w:hAnsi="Times New Roman" w:cs="Times New Roman" w:hint="default"/>
        <w:sz w:val="22"/>
        <w:szCs w:val="22"/>
      </w:rPr>
    </w:lvl>
    <w:lvl w:ilvl="4">
      <w:start w:val="1"/>
      <w:numFmt w:val="lowerLetter"/>
      <w:lvlText w:val="%5."/>
      <w:lvlJc w:val="left"/>
      <w:pPr>
        <w:ind w:left="3600" w:hanging="360"/>
      </w:pPr>
      <w:rPr>
        <w:rFonts w:ascii="Times New Roman" w:hAnsi="Times New Roman" w:cs="Times New Roman" w:hint="default"/>
        <w:sz w:val="22"/>
        <w:szCs w:val="22"/>
      </w:rPr>
    </w:lvl>
    <w:lvl w:ilvl="5">
      <w:start w:val="1"/>
      <w:numFmt w:val="lowerRoman"/>
      <w:lvlText w:val="%6."/>
      <w:lvlJc w:val="right"/>
      <w:pPr>
        <w:ind w:left="4320" w:hanging="180"/>
      </w:pPr>
      <w:rPr>
        <w:rFonts w:ascii="Times New Roman" w:hAnsi="Times New Roman" w:cs="Times New Roman" w:hint="default"/>
        <w:sz w:val="22"/>
        <w:szCs w:val="22"/>
      </w:rPr>
    </w:lvl>
    <w:lvl w:ilvl="6">
      <w:start w:val="1"/>
      <w:numFmt w:val="decimal"/>
      <w:lvlText w:val="%7."/>
      <w:lvlJc w:val="left"/>
      <w:pPr>
        <w:ind w:left="5040" w:hanging="360"/>
      </w:pPr>
      <w:rPr>
        <w:rFonts w:ascii="Times New Roman" w:hAnsi="Times New Roman" w:cs="Times New Roman" w:hint="default"/>
        <w:sz w:val="22"/>
        <w:szCs w:val="22"/>
      </w:rPr>
    </w:lvl>
    <w:lvl w:ilvl="7">
      <w:start w:val="1"/>
      <w:numFmt w:val="lowerLetter"/>
      <w:lvlText w:val="%8."/>
      <w:lvlJc w:val="left"/>
      <w:pPr>
        <w:ind w:left="5760" w:hanging="360"/>
      </w:pPr>
      <w:rPr>
        <w:rFonts w:ascii="Times New Roman" w:hAnsi="Times New Roman" w:cs="Times New Roman" w:hint="default"/>
        <w:sz w:val="22"/>
        <w:szCs w:val="22"/>
      </w:rPr>
    </w:lvl>
    <w:lvl w:ilvl="8">
      <w:start w:val="1"/>
      <w:numFmt w:val="lowerRoman"/>
      <w:lvlText w:val="%9."/>
      <w:lvlJc w:val="right"/>
      <w:pPr>
        <w:ind w:left="6480" w:hanging="180"/>
      </w:pPr>
      <w:rPr>
        <w:rFonts w:ascii="Times New Roman" w:hAnsi="Times New Roman" w:cs="Times New Roman" w:hint="default"/>
        <w:sz w:val="22"/>
        <w:szCs w:val="22"/>
      </w:rPr>
    </w:lvl>
  </w:abstractNum>
  <w:abstractNum w:abstractNumId="2">
    <w:nsid w:val="16C110C9"/>
    <w:multiLevelType w:val="multilevel"/>
    <w:tmpl w:val="1DCECAFE"/>
    <w:name w:val="RTF_Num 22"/>
    <w:lvl w:ilvl="0">
      <w:start w:val="2"/>
      <w:numFmt w:val="decimal"/>
      <w:lvlText w:val="%1."/>
      <w:lvlJc w:val="left"/>
      <w:pPr>
        <w:ind w:left="644" w:hanging="360"/>
      </w:pPr>
      <w:rPr>
        <w:rFonts w:ascii="Arial" w:hAnsi="Arial" w:cs="Arial" w:hint="default"/>
        <w:sz w:val="22"/>
        <w:szCs w:val="22"/>
      </w:rPr>
    </w:lvl>
    <w:lvl w:ilvl="1">
      <w:start w:val="1"/>
      <w:numFmt w:val="lowerLetter"/>
      <w:lvlText w:val="%2."/>
      <w:lvlJc w:val="left"/>
      <w:pPr>
        <w:ind w:left="1440" w:hanging="360"/>
      </w:pPr>
      <w:rPr>
        <w:rFonts w:ascii="Times New Roman" w:hAnsi="Times New Roman" w:cs="Times New Roman" w:hint="default"/>
        <w:sz w:val="22"/>
        <w:szCs w:val="22"/>
      </w:rPr>
    </w:lvl>
    <w:lvl w:ilvl="2">
      <w:start w:val="1"/>
      <w:numFmt w:val="lowerRoman"/>
      <w:lvlText w:val="%3."/>
      <w:lvlJc w:val="right"/>
      <w:pPr>
        <w:ind w:left="2160" w:hanging="180"/>
      </w:pPr>
      <w:rPr>
        <w:rFonts w:ascii="Times New Roman" w:hAnsi="Times New Roman" w:cs="Times New Roman" w:hint="default"/>
        <w:sz w:val="22"/>
        <w:szCs w:val="22"/>
      </w:rPr>
    </w:lvl>
    <w:lvl w:ilvl="3">
      <w:start w:val="1"/>
      <w:numFmt w:val="decimal"/>
      <w:lvlText w:val="%4."/>
      <w:lvlJc w:val="left"/>
      <w:pPr>
        <w:ind w:left="2880" w:hanging="360"/>
      </w:pPr>
      <w:rPr>
        <w:rFonts w:ascii="Times New Roman" w:hAnsi="Times New Roman" w:cs="Times New Roman" w:hint="default"/>
        <w:sz w:val="22"/>
        <w:szCs w:val="22"/>
      </w:rPr>
    </w:lvl>
    <w:lvl w:ilvl="4">
      <w:start w:val="1"/>
      <w:numFmt w:val="lowerLetter"/>
      <w:lvlText w:val="%5."/>
      <w:lvlJc w:val="left"/>
      <w:pPr>
        <w:ind w:left="3600" w:hanging="360"/>
      </w:pPr>
      <w:rPr>
        <w:rFonts w:ascii="Times New Roman" w:hAnsi="Times New Roman" w:cs="Times New Roman" w:hint="default"/>
        <w:sz w:val="22"/>
        <w:szCs w:val="22"/>
      </w:rPr>
    </w:lvl>
    <w:lvl w:ilvl="5">
      <w:start w:val="1"/>
      <w:numFmt w:val="lowerRoman"/>
      <w:lvlText w:val="%6."/>
      <w:lvlJc w:val="right"/>
      <w:pPr>
        <w:ind w:left="4320" w:hanging="180"/>
      </w:pPr>
      <w:rPr>
        <w:rFonts w:ascii="Times New Roman" w:hAnsi="Times New Roman" w:cs="Times New Roman" w:hint="default"/>
        <w:sz w:val="22"/>
        <w:szCs w:val="22"/>
      </w:rPr>
    </w:lvl>
    <w:lvl w:ilvl="6">
      <w:start w:val="1"/>
      <w:numFmt w:val="decimal"/>
      <w:lvlText w:val="%7."/>
      <w:lvlJc w:val="left"/>
      <w:pPr>
        <w:ind w:left="5040" w:hanging="360"/>
      </w:pPr>
      <w:rPr>
        <w:rFonts w:ascii="Times New Roman" w:hAnsi="Times New Roman" w:cs="Times New Roman" w:hint="default"/>
        <w:sz w:val="22"/>
        <w:szCs w:val="22"/>
      </w:rPr>
    </w:lvl>
    <w:lvl w:ilvl="7">
      <w:start w:val="1"/>
      <w:numFmt w:val="lowerLetter"/>
      <w:lvlText w:val="%8."/>
      <w:lvlJc w:val="left"/>
      <w:pPr>
        <w:ind w:left="5760" w:hanging="360"/>
      </w:pPr>
      <w:rPr>
        <w:rFonts w:ascii="Times New Roman" w:hAnsi="Times New Roman" w:cs="Times New Roman" w:hint="default"/>
        <w:sz w:val="22"/>
        <w:szCs w:val="22"/>
      </w:rPr>
    </w:lvl>
    <w:lvl w:ilvl="8">
      <w:start w:val="1"/>
      <w:numFmt w:val="lowerRoman"/>
      <w:lvlText w:val="%9."/>
      <w:lvlJc w:val="right"/>
      <w:pPr>
        <w:ind w:left="6480" w:hanging="180"/>
      </w:pPr>
      <w:rPr>
        <w:rFonts w:ascii="Times New Roman" w:hAnsi="Times New Roman" w:cs="Times New Roman" w:hint="default"/>
        <w:sz w:val="22"/>
        <w:szCs w:val="22"/>
      </w:rPr>
    </w:lvl>
  </w:abstractNum>
  <w:abstractNum w:abstractNumId="3">
    <w:nsid w:val="4AA13F3C"/>
    <w:multiLevelType w:val="multilevel"/>
    <w:tmpl w:val="1C06715E"/>
    <w:name w:val="RTF_Num 223"/>
    <w:lvl w:ilvl="0">
      <w:start w:val="2"/>
      <w:numFmt w:val="decimal"/>
      <w:lvlText w:val="%1."/>
      <w:lvlJc w:val="left"/>
      <w:pPr>
        <w:ind w:left="644" w:hanging="360"/>
      </w:pPr>
      <w:rPr>
        <w:rFonts w:ascii="Arial" w:hAnsi="Arial" w:cs="Arial" w:hint="default"/>
        <w:sz w:val="22"/>
        <w:szCs w:val="22"/>
      </w:rPr>
    </w:lvl>
    <w:lvl w:ilvl="1">
      <w:start w:val="1"/>
      <w:numFmt w:val="bullet"/>
      <w:lvlText w:val=""/>
      <w:lvlJc w:val="left"/>
      <w:pPr>
        <w:ind w:left="1440" w:hanging="360"/>
      </w:pPr>
      <w:rPr>
        <w:rFonts w:ascii="Symbol" w:hAnsi="Symbol" w:hint="default"/>
        <w:sz w:val="22"/>
      </w:rPr>
    </w:lvl>
    <w:lvl w:ilvl="2">
      <w:start w:val="1"/>
      <w:numFmt w:val="lowerRoman"/>
      <w:lvlText w:val="%3."/>
      <w:lvlJc w:val="right"/>
      <w:pPr>
        <w:ind w:left="2160" w:hanging="180"/>
      </w:pPr>
      <w:rPr>
        <w:rFonts w:ascii="Times New Roman" w:hAnsi="Times New Roman" w:cs="Times New Roman" w:hint="default"/>
        <w:sz w:val="22"/>
        <w:szCs w:val="22"/>
      </w:rPr>
    </w:lvl>
    <w:lvl w:ilvl="3">
      <w:start w:val="1"/>
      <w:numFmt w:val="decimal"/>
      <w:lvlText w:val="%4."/>
      <w:lvlJc w:val="left"/>
      <w:pPr>
        <w:ind w:left="2880" w:hanging="360"/>
      </w:pPr>
      <w:rPr>
        <w:rFonts w:ascii="Times New Roman" w:hAnsi="Times New Roman" w:cs="Times New Roman" w:hint="default"/>
        <w:sz w:val="22"/>
        <w:szCs w:val="22"/>
      </w:rPr>
    </w:lvl>
    <w:lvl w:ilvl="4">
      <w:start w:val="1"/>
      <w:numFmt w:val="lowerLetter"/>
      <w:lvlText w:val="%5."/>
      <w:lvlJc w:val="left"/>
      <w:pPr>
        <w:ind w:left="3600" w:hanging="360"/>
      </w:pPr>
      <w:rPr>
        <w:rFonts w:ascii="Times New Roman" w:hAnsi="Times New Roman" w:cs="Times New Roman" w:hint="default"/>
        <w:sz w:val="22"/>
        <w:szCs w:val="22"/>
      </w:rPr>
    </w:lvl>
    <w:lvl w:ilvl="5">
      <w:start w:val="1"/>
      <w:numFmt w:val="lowerRoman"/>
      <w:lvlText w:val="%6."/>
      <w:lvlJc w:val="right"/>
      <w:pPr>
        <w:ind w:left="4320" w:hanging="180"/>
      </w:pPr>
      <w:rPr>
        <w:rFonts w:ascii="Times New Roman" w:hAnsi="Times New Roman" w:cs="Times New Roman" w:hint="default"/>
        <w:sz w:val="22"/>
        <w:szCs w:val="22"/>
      </w:rPr>
    </w:lvl>
    <w:lvl w:ilvl="6">
      <w:start w:val="1"/>
      <w:numFmt w:val="decimal"/>
      <w:lvlText w:val="%7."/>
      <w:lvlJc w:val="left"/>
      <w:pPr>
        <w:ind w:left="5040" w:hanging="360"/>
      </w:pPr>
      <w:rPr>
        <w:rFonts w:ascii="Times New Roman" w:hAnsi="Times New Roman" w:cs="Times New Roman" w:hint="default"/>
        <w:sz w:val="22"/>
        <w:szCs w:val="22"/>
      </w:rPr>
    </w:lvl>
    <w:lvl w:ilvl="7">
      <w:start w:val="1"/>
      <w:numFmt w:val="lowerLetter"/>
      <w:lvlText w:val="%8."/>
      <w:lvlJc w:val="left"/>
      <w:pPr>
        <w:ind w:left="5760" w:hanging="360"/>
      </w:pPr>
      <w:rPr>
        <w:rFonts w:ascii="Times New Roman" w:hAnsi="Times New Roman" w:cs="Times New Roman" w:hint="default"/>
        <w:sz w:val="22"/>
        <w:szCs w:val="22"/>
      </w:rPr>
    </w:lvl>
    <w:lvl w:ilvl="8">
      <w:start w:val="1"/>
      <w:numFmt w:val="lowerRoman"/>
      <w:lvlText w:val="%9."/>
      <w:lvlJc w:val="right"/>
      <w:pPr>
        <w:ind w:left="6480" w:hanging="180"/>
      </w:pPr>
      <w:rPr>
        <w:rFonts w:ascii="Times New Roman" w:hAnsi="Times New Roman" w:cs="Times New Roman" w:hint="default"/>
        <w:sz w:val="22"/>
        <w:szCs w:val="22"/>
      </w:rPr>
    </w:lvl>
  </w:abstractNum>
  <w:abstractNum w:abstractNumId="4">
    <w:nsid w:val="70C4565D"/>
    <w:multiLevelType w:val="multilevel"/>
    <w:tmpl w:val="7B8C2408"/>
    <w:name w:val="RTF_Num 222"/>
    <w:lvl w:ilvl="0">
      <w:start w:val="2"/>
      <w:numFmt w:val="decimal"/>
      <w:lvlText w:val="%1."/>
      <w:lvlJc w:val="left"/>
      <w:pPr>
        <w:ind w:left="644" w:hanging="360"/>
      </w:pPr>
      <w:rPr>
        <w:rFonts w:ascii="Arial" w:hAnsi="Arial" w:cs="Arial" w:hint="default"/>
        <w:sz w:val="22"/>
        <w:szCs w:val="22"/>
      </w:rPr>
    </w:lvl>
    <w:lvl w:ilvl="1">
      <w:start w:val="1"/>
      <w:numFmt w:val="lowerLetter"/>
      <w:lvlText w:val="%2."/>
      <w:lvlJc w:val="left"/>
      <w:pPr>
        <w:ind w:left="1440" w:hanging="360"/>
      </w:pPr>
      <w:rPr>
        <w:rFonts w:ascii="Times New Roman" w:hAnsi="Times New Roman" w:cs="Times New Roman" w:hint="default"/>
        <w:sz w:val="22"/>
        <w:szCs w:val="22"/>
      </w:rPr>
    </w:lvl>
    <w:lvl w:ilvl="2">
      <w:start w:val="1"/>
      <w:numFmt w:val="lowerRoman"/>
      <w:lvlText w:val="%3."/>
      <w:lvlJc w:val="right"/>
      <w:pPr>
        <w:ind w:left="2160" w:hanging="180"/>
      </w:pPr>
      <w:rPr>
        <w:rFonts w:ascii="Times New Roman" w:hAnsi="Times New Roman" w:cs="Times New Roman" w:hint="default"/>
        <w:sz w:val="22"/>
        <w:szCs w:val="22"/>
      </w:rPr>
    </w:lvl>
    <w:lvl w:ilvl="3">
      <w:start w:val="1"/>
      <w:numFmt w:val="decimal"/>
      <w:lvlText w:val="%4."/>
      <w:lvlJc w:val="left"/>
      <w:pPr>
        <w:ind w:left="2880" w:hanging="360"/>
      </w:pPr>
      <w:rPr>
        <w:rFonts w:ascii="Times New Roman" w:hAnsi="Times New Roman" w:cs="Times New Roman" w:hint="default"/>
        <w:sz w:val="22"/>
        <w:szCs w:val="22"/>
      </w:rPr>
    </w:lvl>
    <w:lvl w:ilvl="4">
      <w:start w:val="1"/>
      <w:numFmt w:val="lowerLetter"/>
      <w:lvlText w:val="%5."/>
      <w:lvlJc w:val="left"/>
      <w:pPr>
        <w:ind w:left="3600" w:hanging="360"/>
      </w:pPr>
      <w:rPr>
        <w:rFonts w:ascii="Times New Roman" w:hAnsi="Times New Roman" w:cs="Times New Roman" w:hint="default"/>
        <w:sz w:val="22"/>
        <w:szCs w:val="22"/>
      </w:rPr>
    </w:lvl>
    <w:lvl w:ilvl="5">
      <w:start w:val="1"/>
      <w:numFmt w:val="lowerRoman"/>
      <w:lvlText w:val="%6."/>
      <w:lvlJc w:val="right"/>
      <w:pPr>
        <w:ind w:left="4320" w:hanging="180"/>
      </w:pPr>
      <w:rPr>
        <w:rFonts w:ascii="Times New Roman" w:hAnsi="Times New Roman" w:cs="Times New Roman" w:hint="default"/>
        <w:sz w:val="22"/>
        <w:szCs w:val="22"/>
      </w:rPr>
    </w:lvl>
    <w:lvl w:ilvl="6">
      <w:start w:val="1"/>
      <w:numFmt w:val="decimal"/>
      <w:lvlText w:val="%7."/>
      <w:lvlJc w:val="left"/>
      <w:pPr>
        <w:ind w:left="5040" w:hanging="360"/>
      </w:pPr>
      <w:rPr>
        <w:rFonts w:ascii="Times New Roman" w:hAnsi="Times New Roman" w:cs="Times New Roman" w:hint="default"/>
        <w:sz w:val="22"/>
        <w:szCs w:val="22"/>
      </w:rPr>
    </w:lvl>
    <w:lvl w:ilvl="7">
      <w:start w:val="1"/>
      <w:numFmt w:val="lowerLetter"/>
      <w:lvlText w:val="%8."/>
      <w:lvlJc w:val="left"/>
      <w:pPr>
        <w:ind w:left="5760" w:hanging="360"/>
      </w:pPr>
      <w:rPr>
        <w:rFonts w:ascii="Times New Roman" w:hAnsi="Times New Roman" w:cs="Times New Roman" w:hint="default"/>
        <w:sz w:val="22"/>
        <w:szCs w:val="22"/>
      </w:rPr>
    </w:lvl>
    <w:lvl w:ilvl="8">
      <w:start w:val="1"/>
      <w:numFmt w:val="lowerRoman"/>
      <w:lvlText w:val="%9."/>
      <w:lvlJc w:val="right"/>
      <w:pPr>
        <w:ind w:left="6480" w:hanging="180"/>
      </w:pPr>
      <w:rPr>
        <w:rFonts w:ascii="Times New Roman" w:hAnsi="Times New Roman" w:cs="Times New Roman" w:hint="default"/>
        <w:sz w:val="22"/>
        <w:szCs w:val="22"/>
      </w:rPr>
    </w:lvl>
  </w:abstractNum>
  <w:abstractNum w:abstractNumId="5">
    <w:nsid w:val="724A44CD"/>
    <w:multiLevelType w:val="multilevel"/>
    <w:tmpl w:val="449EB0DE"/>
    <w:name w:val="RTF_Num 224"/>
    <w:lvl w:ilvl="0">
      <w:start w:val="2"/>
      <w:numFmt w:val="decimal"/>
      <w:lvlText w:val="%1."/>
      <w:lvlJc w:val="left"/>
      <w:pPr>
        <w:ind w:left="644" w:hanging="360"/>
      </w:pPr>
      <w:rPr>
        <w:rFonts w:ascii="Arial" w:hAnsi="Arial" w:cs="Arial" w:hint="default"/>
        <w:sz w:val="22"/>
        <w:szCs w:val="22"/>
      </w:rPr>
    </w:lvl>
    <w:lvl w:ilvl="1">
      <w:start w:val="1"/>
      <w:numFmt w:val="bullet"/>
      <w:lvlText w:val=""/>
      <w:lvlJc w:val="left"/>
      <w:pPr>
        <w:ind w:left="1440" w:hanging="360"/>
      </w:pPr>
      <w:rPr>
        <w:rFonts w:ascii="Symbol" w:hAnsi="Symbol" w:hint="default"/>
        <w:sz w:val="22"/>
      </w:rPr>
    </w:lvl>
    <w:lvl w:ilvl="2">
      <w:start w:val="1"/>
      <w:numFmt w:val="lowerRoman"/>
      <w:lvlText w:val="%3."/>
      <w:lvlJc w:val="right"/>
      <w:pPr>
        <w:ind w:left="2160" w:hanging="180"/>
      </w:pPr>
      <w:rPr>
        <w:rFonts w:ascii="Times New Roman" w:hAnsi="Times New Roman" w:cs="Times New Roman" w:hint="default"/>
        <w:sz w:val="22"/>
        <w:szCs w:val="22"/>
      </w:rPr>
    </w:lvl>
    <w:lvl w:ilvl="3">
      <w:start w:val="1"/>
      <w:numFmt w:val="decimal"/>
      <w:lvlText w:val="%4."/>
      <w:lvlJc w:val="left"/>
      <w:pPr>
        <w:ind w:left="2880" w:hanging="360"/>
      </w:pPr>
      <w:rPr>
        <w:rFonts w:ascii="Times New Roman" w:hAnsi="Times New Roman" w:cs="Times New Roman" w:hint="default"/>
        <w:sz w:val="22"/>
        <w:szCs w:val="22"/>
      </w:rPr>
    </w:lvl>
    <w:lvl w:ilvl="4">
      <w:start w:val="1"/>
      <w:numFmt w:val="lowerLetter"/>
      <w:lvlText w:val="%5."/>
      <w:lvlJc w:val="left"/>
      <w:pPr>
        <w:ind w:left="3600" w:hanging="360"/>
      </w:pPr>
      <w:rPr>
        <w:rFonts w:ascii="Times New Roman" w:hAnsi="Times New Roman" w:cs="Times New Roman" w:hint="default"/>
        <w:sz w:val="22"/>
        <w:szCs w:val="22"/>
      </w:rPr>
    </w:lvl>
    <w:lvl w:ilvl="5">
      <w:start w:val="1"/>
      <w:numFmt w:val="lowerRoman"/>
      <w:lvlText w:val="%6."/>
      <w:lvlJc w:val="right"/>
      <w:pPr>
        <w:ind w:left="4320" w:hanging="180"/>
      </w:pPr>
      <w:rPr>
        <w:rFonts w:ascii="Times New Roman" w:hAnsi="Times New Roman" w:cs="Times New Roman" w:hint="default"/>
        <w:sz w:val="22"/>
        <w:szCs w:val="22"/>
      </w:rPr>
    </w:lvl>
    <w:lvl w:ilvl="6">
      <w:start w:val="1"/>
      <w:numFmt w:val="decimal"/>
      <w:lvlText w:val="%7."/>
      <w:lvlJc w:val="left"/>
      <w:pPr>
        <w:ind w:left="5040" w:hanging="360"/>
      </w:pPr>
      <w:rPr>
        <w:rFonts w:ascii="Times New Roman" w:hAnsi="Times New Roman" w:cs="Times New Roman" w:hint="default"/>
        <w:sz w:val="22"/>
        <w:szCs w:val="22"/>
      </w:rPr>
    </w:lvl>
    <w:lvl w:ilvl="7">
      <w:start w:val="1"/>
      <w:numFmt w:val="lowerLetter"/>
      <w:lvlText w:val="%8."/>
      <w:lvlJc w:val="left"/>
      <w:pPr>
        <w:ind w:left="5760" w:hanging="360"/>
      </w:pPr>
      <w:rPr>
        <w:rFonts w:ascii="Times New Roman" w:hAnsi="Times New Roman" w:cs="Times New Roman" w:hint="default"/>
        <w:sz w:val="22"/>
        <w:szCs w:val="22"/>
      </w:rPr>
    </w:lvl>
    <w:lvl w:ilvl="8">
      <w:start w:val="1"/>
      <w:numFmt w:val="lowerRoman"/>
      <w:lvlText w:val="%9."/>
      <w:lvlJc w:val="right"/>
      <w:pPr>
        <w:ind w:left="6480" w:hanging="180"/>
      </w:pPr>
      <w:rPr>
        <w:rFonts w:ascii="Times New Roman" w:hAnsi="Times New Roman" w:cs="Times New Roman" w:hint="default"/>
        <w:sz w:val="22"/>
        <w:szCs w:val="22"/>
      </w:r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283"/>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AF4"/>
    <w:rsid w:val="00032A7D"/>
    <w:rsid w:val="00033A86"/>
    <w:rsid w:val="00055BD7"/>
    <w:rsid w:val="00061E2D"/>
    <w:rsid w:val="000A07B7"/>
    <w:rsid w:val="000E3E1D"/>
    <w:rsid w:val="00125EA0"/>
    <w:rsid w:val="001C08B1"/>
    <w:rsid w:val="001C4200"/>
    <w:rsid w:val="002320E5"/>
    <w:rsid w:val="00257AD2"/>
    <w:rsid w:val="002E4159"/>
    <w:rsid w:val="002E79EC"/>
    <w:rsid w:val="003B31E1"/>
    <w:rsid w:val="00410F28"/>
    <w:rsid w:val="00415FCC"/>
    <w:rsid w:val="00453068"/>
    <w:rsid w:val="00484447"/>
    <w:rsid w:val="004D1579"/>
    <w:rsid w:val="004D657E"/>
    <w:rsid w:val="00632327"/>
    <w:rsid w:val="0068217C"/>
    <w:rsid w:val="006D40AD"/>
    <w:rsid w:val="006F0A1B"/>
    <w:rsid w:val="00704C0C"/>
    <w:rsid w:val="00745AC1"/>
    <w:rsid w:val="00781664"/>
    <w:rsid w:val="00782A3F"/>
    <w:rsid w:val="007A6D08"/>
    <w:rsid w:val="007F6505"/>
    <w:rsid w:val="0081261B"/>
    <w:rsid w:val="00860AA3"/>
    <w:rsid w:val="00886356"/>
    <w:rsid w:val="008E0E29"/>
    <w:rsid w:val="00934ECA"/>
    <w:rsid w:val="00A04D9F"/>
    <w:rsid w:val="00A2184F"/>
    <w:rsid w:val="00A7463D"/>
    <w:rsid w:val="00A97054"/>
    <w:rsid w:val="00B56F50"/>
    <w:rsid w:val="00B71B04"/>
    <w:rsid w:val="00B8075C"/>
    <w:rsid w:val="00B84C3E"/>
    <w:rsid w:val="00BC137C"/>
    <w:rsid w:val="00BF586F"/>
    <w:rsid w:val="00CB3EAA"/>
    <w:rsid w:val="00CC7C3F"/>
    <w:rsid w:val="00D824A7"/>
    <w:rsid w:val="00D8603C"/>
    <w:rsid w:val="00DE1922"/>
    <w:rsid w:val="00E61F1E"/>
    <w:rsid w:val="00EA2AF4"/>
    <w:rsid w:val="00ED2337"/>
    <w:rsid w:val="00EE2748"/>
    <w:rsid w:val="00F3409D"/>
    <w:rsid w:val="00F83506"/>
    <w:rsid w:val="00FA2C66"/>
    <w:rsid w:val="00FF6A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ABD6E3F-21F6-410E-B905-AD1BC8389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autoSpaceDE w:val="0"/>
      <w:autoSpaceDN w:val="0"/>
      <w:spacing w:after="0" w:line="240" w:lineRule="auto"/>
      <w:jc w:val="both"/>
    </w:pPr>
    <w:rPr>
      <w:rFonts w:ascii="Arial" w:hAnsi="Arial" w:cs="Arial"/>
    </w:rPr>
  </w:style>
  <w:style w:type="paragraph" w:styleId="Titolo1">
    <w:name w:val="heading 1"/>
    <w:basedOn w:val="Normale"/>
    <w:next w:val="Normale"/>
    <w:link w:val="Titolo1Carattere"/>
    <w:uiPriority w:val="99"/>
    <w:qFormat/>
    <w:pPr>
      <w:keepNext/>
      <w:widowControl/>
      <w:spacing w:before="240" w:after="60"/>
      <w:jc w:val="left"/>
      <w:outlineLvl w:val="0"/>
    </w:pPr>
    <w:rPr>
      <w:b/>
      <w:bCs/>
      <w:kern w:val="32"/>
      <w:sz w:val="32"/>
      <w:szCs w:val="32"/>
    </w:rPr>
  </w:style>
  <w:style w:type="paragraph" w:styleId="Titolo2">
    <w:name w:val="heading 2"/>
    <w:basedOn w:val="Normale"/>
    <w:next w:val="Normale"/>
    <w:link w:val="Titolo2Carattere"/>
    <w:uiPriority w:val="99"/>
    <w:qFormat/>
    <w:pPr>
      <w:keepNext/>
      <w:widowControl/>
      <w:spacing w:before="240" w:after="60"/>
      <w:jc w:val="left"/>
      <w:outlineLvl w:val="1"/>
    </w:pPr>
    <w:rPr>
      <w:b/>
      <w:bCs/>
      <w:i/>
      <w:iCs/>
      <w:sz w:val="28"/>
      <w:szCs w:val="28"/>
    </w:rPr>
  </w:style>
  <w:style w:type="paragraph" w:styleId="Titolo3">
    <w:name w:val="heading 3"/>
    <w:basedOn w:val="Normale"/>
    <w:next w:val="Normale"/>
    <w:link w:val="Titolo3Carattere"/>
    <w:uiPriority w:val="99"/>
    <w:qFormat/>
    <w:pPr>
      <w:keepNext/>
      <w:widowControl/>
      <w:spacing w:before="240" w:after="60"/>
      <w:jc w:val="left"/>
      <w:outlineLvl w:val="2"/>
    </w:pPr>
    <w:rPr>
      <w:b/>
      <w:bCs/>
      <w:sz w:val="26"/>
      <w:szCs w:val="26"/>
    </w:rPr>
  </w:style>
  <w:style w:type="paragraph" w:styleId="Titolo4">
    <w:name w:val="heading 4"/>
    <w:basedOn w:val="Normale"/>
    <w:next w:val="Normale"/>
    <w:link w:val="Titolo4Carattere"/>
    <w:uiPriority w:val="9"/>
    <w:semiHidden/>
    <w:unhideWhenUsed/>
    <w:qFormat/>
    <w:pPr>
      <w:keepNext/>
      <w:widowControl/>
      <w:spacing w:before="240" w:after="60"/>
      <w:jc w:val="left"/>
      <w:outlineLvl w:val="3"/>
    </w:pPr>
    <w:rPr>
      <w:rFonts w:asciiTheme="minorHAnsi" w:hAnsiTheme="minorHAnsi" w:cstheme="minorBidi"/>
      <w:b/>
      <w:bCs/>
      <w:sz w:val="28"/>
      <w:szCs w:val="28"/>
    </w:rPr>
  </w:style>
  <w:style w:type="character" w:default="1" w:styleId="Carpredefinitoparagrafo">
    <w:name w:val="Default Paragraph Font"/>
    <w:uiPriority w:val="99"/>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Pr>
      <w:rFonts w:asciiTheme="majorHAnsi" w:eastAsiaTheme="majorEastAsia" w:hAnsiTheme="majorHAnsi" w:cs="Times New Roman"/>
      <w:b/>
      <w:bCs/>
      <w:kern w:val="32"/>
      <w:sz w:val="32"/>
      <w:szCs w:val="32"/>
    </w:rPr>
  </w:style>
  <w:style w:type="character" w:customStyle="1" w:styleId="Titolo2Carattere">
    <w:name w:val="Titolo 2 Carattere"/>
    <w:basedOn w:val="Carpredefinitoparagrafo"/>
    <w:link w:val="Titolo2"/>
    <w:uiPriority w:val="9"/>
    <w:semiHidden/>
    <w:locked/>
    <w:rPr>
      <w:rFonts w:asciiTheme="majorHAnsi" w:eastAsiaTheme="majorEastAsia" w:hAnsiTheme="majorHAnsi" w:cs="Times New Roman"/>
      <w:b/>
      <w:bCs/>
      <w:i/>
      <w:iCs/>
      <w:sz w:val="28"/>
      <w:szCs w:val="28"/>
    </w:rPr>
  </w:style>
  <w:style w:type="character" w:customStyle="1" w:styleId="Titolo3Carattere">
    <w:name w:val="Titolo 3 Carattere"/>
    <w:basedOn w:val="Carpredefinitoparagrafo"/>
    <w:link w:val="Titolo3"/>
    <w:uiPriority w:val="9"/>
    <w:semiHidden/>
    <w:locked/>
    <w:rPr>
      <w:rFonts w:asciiTheme="majorHAnsi" w:eastAsiaTheme="majorEastAsia" w:hAnsiTheme="majorHAnsi" w:cs="Times New Roman"/>
      <w:b/>
      <w:bCs/>
      <w:sz w:val="26"/>
      <w:szCs w:val="26"/>
    </w:rPr>
  </w:style>
  <w:style w:type="paragraph" w:styleId="Intestazione">
    <w:name w:val="header"/>
    <w:basedOn w:val="Normale"/>
    <w:next w:val="Normale"/>
    <w:link w:val="IntestazioneCarattere"/>
    <w:uiPriority w:val="99"/>
    <w:pPr>
      <w:widowControl/>
      <w:tabs>
        <w:tab w:val="center" w:pos="4819"/>
        <w:tab w:val="right" w:pos="9638"/>
      </w:tabs>
      <w:jc w:val="left"/>
    </w:pPr>
  </w:style>
  <w:style w:type="character" w:customStyle="1" w:styleId="IntestazioneCarattere">
    <w:name w:val="Intestazione Carattere"/>
    <w:basedOn w:val="Carpredefinitoparagrafo"/>
    <w:link w:val="Intestazione"/>
    <w:uiPriority w:val="99"/>
    <w:semiHidden/>
    <w:locked/>
    <w:rPr>
      <w:rFonts w:ascii="Arial" w:hAnsi="Arial" w:cs="Arial"/>
    </w:rPr>
  </w:style>
  <w:style w:type="paragraph" w:styleId="Pidipagina">
    <w:name w:val="footer"/>
    <w:basedOn w:val="Normale"/>
    <w:link w:val="PidipaginaCarattere"/>
    <w:uiPriority w:val="99"/>
    <w:pPr>
      <w:widowControl/>
      <w:tabs>
        <w:tab w:val="center" w:pos="4819"/>
        <w:tab w:val="right" w:pos="9638"/>
      </w:tabs>
      <w:jc w:val="left"/>
    </w:pPr>
  </w:style>
  <w:style w:type="character" w:customStyle="1" w:styleId="PidipaginaCarattere">
    <w:name w:val="Piè di pagina Carattere"/>
    <w:basedOn w:val="Carpredefinitoparagrafo"/>
    <w:link w:val="Pidipagina"/>
    <w:uiPriority w:val="99"/>
    <w:semiHidden/>
    <w:locked/>
    <w:rPr>
      <w:rFonts w:ascii="Arial" w:hAnsi="Arial" w:cs="Arial"/>
    </w:rPr>
  </w:style>
  <w:style w:type="character" w:styleId="Numeropagina">
    <w:name w:val="page number"/>
    <w:basedOn w:val="Carpredefinitoparagrafo"/>
    <w:uiPriority w:val="99"/>
    <w:rPr>
      <w:rFonts w:ascii="Arial" w:hAnsi="Arial" w:cs="Arial"/>
      <w:sz w:val="16"/>
      <w:szCs w:val="16"/>
    </w:rPr>
  </w:style>
  <w:style w:type="character" w:customStyle="1" w:styleId="Titolo4Carattere">
    <w:name w:val="Titolo 4 Carattere"/>
    <w:basedOn w:val="Carpredefinitoparagrafo"/>
    <w:link w:val="Titolo4"/>
    <w:uiPriority w:val="9"/>
    <w:semiHidden/>
    <w:rPr>
      <w:rFonts w:cstheme="minorBidi"/>
      <w:b/>
      <w:bCs/>
      <w:sz w:val="28"/>
      <w:szCs w:val="28"/>
    </w:rPr>
  </w:style>
  <w:style w:type="paragraph" w:styleId="Corpotesto">
    <w:name w:val="Body Text"/>
    <w:basedOn w:val="Normale"/>
    <w:link w:val="CorpotestoCarattere"/>
    <w:uiPriority w:val="99"/>
    <w:semiHidden/>
    <w:unhideWhenUsed/>
    <w:pPr>
      <w:widowControl/>
      <w:spacing w:after="120"/>
      <w:jc w:val="left"/>
    </w:pPr>
  </w:style>
  <w:style w:type="character" w:customStyle="1" w:styleId="CorpotestoCarattere">
    <w:name w:val="Corpo testo Carattere"/>
    <w:basedOn w:val="Carpredefinitoparagrafo"/>
    <w:link w:val="Corpotesto"/>
    <w:uiPriority w:val="99"/>
    <w:semiHidden/>
    <w:rPr>
      <w:rFonts w:ascii="Arial" w:hAnsi="Arial" w:cs="Arial"/>
    </w:rPr>
  </w:style>
  <w:style w:type="paragraph" w:styleId="Elenco">
    <w:name w:val="List"/>
    <w:basedOn w:val="Normale"/>
    <w:uiPriority w:val="99"/>
    <w:semiHidden/>
    <w:unhideWhenUsed/>
    <w:pPr>
      <w:widowControl/>
      <w:ind w:left="283" w:hanging="283"/>
      <w:contextualSpacing/>
      <w:jc w:val="left"/>
    </w:pPr>
  </w:style>
  <w:style w:type="paragraph" w:styleId="Didascalia">
    <w:name w:val="caption"/>
    <w:basedOn w:val="Normale"/>
    <w:next w:val="Normale"/>
    <w:uiPriority w:val="35"/>
    <w:semiHidden/>
    <w:unhideWhenUsed/>
    <w:qFormat/>
    <w:pPr>
      <w:widowControl/>
      <w:jc w:val="left"/>
    </w:pPr>
    <w:rPr>
      <w:b/>
      <w:bCs/>
      <w:sz w:val="20"/>
      <w:szCs w:val="20"/>
    </w:rPr>
  </w:style>
  <w:style w:type="paragraph" w:styleId="Testocommento">
    <w:name w:val="annotation text"/>
    <w:basedOn w:val="Normale"/>
    <w:link w:val="TestocommentoCarattere"/>
    <w:uiPriority w:val="99"/>
    <w:semiHidden/>
    <w:unhideWhenUsed/>
    <w:pPr>
      <w:widowControl/>
      <w:jc w:val="left"/>
    </w:pPr>
    <w:rPr>
      <w:sz w:val="20"/>
      <w:szCs w:val="20"/>
    </w:rPr>
  </w:style>
  <w:style w:type="character" w:customStyle="1" w:styleId="TestocommentoCarattere">
    <w:name w:val="Testo commento Carattere"/>
    <w:basedOn w:val="Carpredefinitoparagrafo"/>
    <w:link w:val="Testocommento"/>
    <w:uiPriority w:val="99"/>
    <w:semiHidden/>
    <w:rPr>
      <w:rFonts w:ascii="Arial" w:hAnsi="Arial" w:cs="Arial"/>
      <w:sz w:val="20"/>
      <w:szCs w:val="20"/>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rPr>
      <w:rFonts w:ascii="Arial" w:hAnsi="Arial" w:cs="Arial"/>
      <w:b/>
      <w:bCs/>
      <w:sz w:val="20"/>
      <w:szCs w:val="20"/>
    </w:rPr>
  </w:style>
  <w:style w:type="paragraph" w:styleId="Testofumetto">
    <w:name w:val="Balloon Text"/>
    <w:basedOn w:val="Normale"/>
    <w:link w:val="TestofumettoCarattere"/>
    <w:uiPriority w:val="99"/>
    <w:semiHidden/>
    <w:unhideWhenUsed/>
    <w:pPr>
      <w:widowControl/>
      <w:jc w:val="left"/>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Pr>
      <w:rFonts w:ascii="Segoe UI" w:hAnsi="Segoe UI" w:cs="Segoe UI"/>
      <w:sz w:val="18"/>
      <w:szCs w:val="18"/>
    </w:rPr>
  </w:style>
  <w:style w:type="character" w:styleId="Rimandocommento">
    <w:name w:val="annotation reference"/>
    <w:basedOn w:val="Carpredefinitoparagrafo"/>
    <w:uiPriority w:val="99"/>
    <w:semiHidden/>
    <w:unhideWhenUsed/>
    <w:rPr>
      <w:sz w:val="16"/>
      <w:szCs w:val="16"/>
    </w:rPr>
  </w:style>
  <w:style w:type="paragraph" w:styleId="Paragrafoelenco">
    <w:name w:val="List Paragraph"/>
    <w:basedOn w:val="Normale"/>
    <w:uiPriority w:val="34"/>
    <w:qFormat/>
    <w:pPr>
      <w:widowControl/>
      <w:ind w:left="708"/>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5904990">
      <w:marLeft w:val="0"/>
      <w:marRight w:val="0"/>
      <w:marTop w:val="0"/>
      <w:marBottom w:val="0"/>
      <w:divBdr>
        <w:top w:val="none" w:sz="0" w:space="0" w:color="auto"/>
        <w:left w:val="none" w:sz="0" w:space="0" w:color="auto"/>
        <w:bottom w:val="none" w:sz="0" w:space="0" w:color="auto"/>
        <w:right w:val="none" w:sz="0" w:space="0" w:color="auto"/>
      </w:divBdr>
    </w:div>
    <w:div w:id="8897287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1800</Words>
  <Characters>10265</Characters>
  <Application>Microsoft Office Word</Application>
  <DocSecurity>4</DocSecurity>
  <Lines>85</Lines>
  <Paragraphs>24</Paragraphs>
  <ScaleCrop>false</ScaleCrop>
  <HeadingPairs>
    <vt:vector size="2" baseType="variant">
      <vt:variant>
        <vt:lpstr>Titolo</vt:lpstr>
      </vt:variant>
      <vt:variant>
        <vt:i4>1</vt:i4>
      </vt:variant>
    </vt:vector>
  </HeadingPairs>
  <TitlesOfParts>
    <vt:vector size="1" baseType="lpstr">
      <vt:lpstr>_x000d__x000d__x0001__x000d_Regione Umbria_x000d_Giunta Regionale_x0007__x0007__x0007__x0007_DIREZIONE REGIONALE PROGRAMMAZIONE, AFFARI INTERNAZIONALI ED EUROPEI. AGENDA DIGITALE, AGENZIE E SOCIETA' PARTECIPATE_x0007__x0007__x000d__x0007__x0007__x000d__x000d__x000d_DETERMINAZIONE DIRETTORIALE_x000d__x000d__x000d_N. 11343  DEL  18/11/2016_x000d__x000d__x000d_OGGETTO:_x0007_PO Umbria FSE 2014-2020:</vt:lpstr>
    </vt:vector>
  </TitlesOfParts>
  <Company>ru</Company>
  <LinksUpToDate>false</LinksUpToDate>
  <CharactersWithSpaces>12041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_x0001__x000d_Regione Umbria_x000d_Giunta Regionale_x0007__x0007__x0007__x0007_DIREZIONE REGIONALE PROGRAMMAZIONE, AFFARI INTERNAZIONALI ED EUROPEI. AGENDA DIGITALE, AGENZIE E SOCIETA' PARTECIPATE_x0007__x0007__x000d__x0007__x0007__x000d__x000d__x000d_DETERMINAZIONE DIRETTORIALE_x000d__x000d__x000d_N. 11343  DEL  18/11/2016_x000d__x000d__x000d_OGGETTO:_x0007_PO Umbria FSE 2014-2020:</dc:title>
  <dc:subject/>
  <dc:creator>MCLDTL69L68L117E</dc:creator>
  <cp:keywords/>
  <dc:description/>
  <cp:lastModifiedBy>Serena Spizzichino</cp:lastModifiedBy>
  <cp:revision>2</cp:revision>
  <cp:lastPrinted>2010-02-24T13:25:00Z</cp:lastPrinted>
  <dcterms:created xsi:type="dcterms:W3CDTF">2018-02-27T08:00:00Z</dcterms:created>
  <dcterms:modified xsi:type="dcterms:W3CDTF">2018-02-27T08:00:00Z</dcterms:modified>
</cp:coreProperties>
</file>