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Default="00DB3DEB" w:rsidP="00015B54">
      <w:pPr>
        <w:rPr>
          <w:b/>
        </w:rPr>
      </w:pPr>
      <w:r>
        <w:rPr>
          <w:b/>
        </w:rPr>
        <w:t xml:space="preserve">QUESITO N. </w:t>
      </w:r>
      <w:r w:rsidR="00E702AF">
        <w:rPr>
          <w:b/>
        </w:rPr>
        <w:t>8</w:t>
      </w:r>
    </w:p>
    <w:p w:rsidR="00E702AF" w:rsidRPr="00E702AF" w:rsidRDefault="00E702AF" w:rsidP="00E702AF">
      <w:pPr>
        <w:spacing w:after="0" w:line="240" w:lineRule="auto"/>
        <w:jc w:val="both"/>
        <w:rPr>
          <w:iCs/>
        </w:rPr>
      </w:pPr>
      <w:r>
        <w:rPr>
          <w:iCs/>
        </w:rPr>
        <w:t>C</w:t>
      </w:r>
      <w:r w:rsidRPr="00E702AF">
        <w:rPr>
          <w:iCs/>
        </w:rPr>
        <w:t>on riferimento al bando di gara per l’affidamento del servizio di tesoreria (CIG  74308947B6)</w:t>
      </w:r>
      <w:r>
        <w:rPr>
          <w:iCs/>
        </w:rPr>
        <w:t xml:space="preserve"> si chiede quanto </w:t>
      </w:r>
      <w:r w:rsidRPr="00E702AF">
        <w:rPr>
          <w:iCs/>
        </w:rPr>
        <w:t>segue:</w:t>
      </w:r>
    </w:p>
    <w:p w:rsidR="00E702AF" w:rsidRPr="00E702AF" w:rsidRDefault="00E702AF" w:rsidP="00E702AF">
      <w:pPr>
        <w:pStyle w:val="Paragrafoelenco"/>
        <w:numPr>
          <w:ilvl w:val="0"/>
          <w:numId w:val="18"/>
        </w:numPr>
        <w:spacing w:after="0" w:line="240" w:lineRule="auto"/>
        <w:jc w:val="both"/>
        <w:rPr>
          <w:iCs/>
        </w:rPr>
      </w:pPr>
      <w:r w:rsidRPr="00E702AF">
        <w:rPr>
          <w:iCs/>
        </w:rPr>
        <w:t xml:space="preserve">in riferimento al numero di ordinativi segnalati, chiediamo se potete indicarci anche il numero indicativo della suddivisione tra mandati e reversali, con indicazione del numero dei rispettivi Sub ordinativi </w:t>
      </w:r>
    </w:p>
    <w:p w:rsidR="00E702AF" w:rsidRPr="00E702AF" w:rsidRDefault="00E702AF" w:rsidP="00E702AF">
      <w:pPr>
        <w:pStyle w:val="Paragrafoelenco"/>
        <w:numPr>
          <w:ilvl w:val="0"/>
          <w:numId w:val="18"/>
        </w:numPr>
        <w:spacing w:after="0" w:line="240" w:lineRule="auto"/>
        <w:jc w:val="both"/>
        <w:rPr>
          <w:iCs/>
        </w:rPr>
      </w:pPr>
      <w:r w:rsidRPr="00E702AF">
        <w:rPr>
          <w:iCs/>
        </w:rPr>
        <w:t xml:space="preserve">relativamente al capitolato di </w:t>
      </w:r>
      <w:proofErr w:type="gramStart"/>
      <w:r w:rsidRPr="00E702AF">
        <w:rPr>
          <w:iCs/>
        </w:rPr>
        <w:t>gara  </w:t>
      </w:r>
      <w:r>
        <w:rPr>
          <w:iCs/>
        </w:rPr>
        <w:t>a</w:t>
      </w:r>
      <w:r w:rsidRPr="00E702AF">
        <w:rPr>
          <w:iCs/>
        </w:rPr>
        <w:t>rt.</w:t>
      </w:r>
      <w:proofErr w:type="gramEnd"/>
      <w:r>
        <w:rPr>
          <w:iCs/>
        </w:rPr>
        <w:t xml:space="preserve"> </w:t>
      </w:r>
      <w:r w:rsidRPr="00E702AF">
        <w:rPr>
          <w:iCs/>
        </w:rPr>
        <w:t xml:space="preserve">3 : </w:t>
      </w:r>
    </w:p>
    <w:p w:rsidR="00E702AF" w:rsidRPr="00E702AF" w:rsidRDefault="00E702AF" w:rsidP="00E702AF">
      <w:pPr>
        <w:pStyle w:val="Paragrafoelenco"/>
        <w:numPr>
          <w:ilvl w:val="0"/>
          <w:numId w:val="19"/>
        </w:numPr>
        <w:spacing w:after="0" w:line="240" w:lineRule="auto"/>
        <w:jc w:val="both"/>
        <w:rPr>
          <w:iCs/>
        </w:rPr>
      </w:pPr>
      <w:r w:rsidRPr="00E702AF">
        <w:rPr>
          <w:iCs/>
        </w:rPr>
        <w:t xml:space="preserve">il punto 19 prevede l’impegno per il tesoriere ad assumere il servizio per gli Enti strumentali della Regione e dell’Assemblea Legislativa (Consiglio Regionale) </w:t>
      </w:r>
      <w:proofErr w:type="gramStart"/>
      <w:r w:rsidRPr="00E702AF">
        <w:rPr>
          <w:iCs/>
        </w:rPr>
        <w:t>previa  verifica</w:t>
      </w:r>
      <w:proofErr w:type="gramEnd"/>
      <w:r w:rsidRPr="00E702AF">
        <w:rPr>
          <w:iCs/>
        </w:rPr>
        <w:t xml:space="preserve"> del merito creditizio degli stessi. Restiamo in attesa di conoscere il dettaglio degli Enti strumentali che potrebbero aderire alla convenzione, tenuto conto che di norma la gestione del servizio di cassa/tesoreria presuppone la concessione di anticipazione. Dato che, in caso di esito negativo circa la verifica del merito creditizio, non potrebbe essere svolto il servizio stesso. </w:t>
      </w:r>
    </w:p>
    <w:p w:rsidR="00E702AF" w:rsidRPr="00E702AF" w:rsidRDefault="00E702AF" w:rsidP="00E702AF">
      <w:pPr>
        <w:pStyle w:val="Paragrafoelenco"/>
        <w:numPr>
          <w:ilvl w:val="0"/>
          <w:numId w:val="19"/>
        </w:numPr>
        <w:spacing w:after="0" w:line="240" w:lineRule="auto"/>
        <w:jc w:val="both"/>
        <w:rPr>
          <w:iCs/>
        </w:rPr>
      </w:pPr>
      <w:r w:rsidRPr="00E702AF">
        <w:rPr>
          <w:iCs/>
        </w:rPr>
        <w:t xml:space="preserve">il punto 20 prevede l’impegno da parte del tesoriere al rilascio di qualsiasi fidejussione nell’interesse dell’Ente, ivi comprese quelle richieste dall’Erario. Rileviamo che tale impegno non viene inserito nella bozza di convenzione, e che sarebbe auspicabile definirne il limite </w:t>
      </w:r>
      <w:proofErr w:type="gramStart"/>
      <w:r w:rsidRPr="00E702AF">
        <w:rPr>
          <w:iCs/>
        </w:rPr>
        <w:t>massimo  eventualmente</w:t>
      </w:r>
      <w:proofErr w:type="gramEnd"/>
      <w:r w:rsidRPr="00E702AF">
        <w:rPr>
          <w:iCs/>
        </w:rPr>
        <w:t xml:space="preserve"> con il rilascio condizionato dall’apposizione di vincolo sull’anticipazione in assenza del quale l’impegno assumerebbe  la Banca di importo illimitato. </w:t>
      </w:r>
    </w:p>
    <w:p w:rsidR="00E702AF" w:rsidRPr="00E702AF" w:rsidRDefault="00E702AF" w:rsidP="00E702AF">
      <w:pPr>
        <w:spacing w:after="0" w:line="240" w:lineRule="auto"/>
        <w:ind w:left="708"/>
        <w:rPr>
          <w:iCs/>
        </w:rPr>
      </w:pPr>
    </w:p>
    <w:p w:rsidR="0073574C" w:rsidRPr="00857A4F" w:rsidRDefault="00E702AF" w:rsidP="00E702AF">
      <w:pPr>
        <w:pStyle w:val="Paragrafoelenco"/>
        <w:spacing w:after="0" w:line="240" w:lineRule="auto"/>
        <w:contextualSpacing w:val="0"/>
        <w:rPr>
          <w:b/>
        </w:rPr>
      </w:pPr>
      <w:r>
        <w:t>                                                                                                                                            </w:t>
      </w:r>
    </w:p>
    <w:p w:rsidR="00DB3DEB" w:rsidRPr="00DB3DEB" w:rsidRDefault="00DB3DEB" w:rsidP="00DB3DEB">
      <w:pPr>
        <w:pStyle w:val="NormaleWeb"/>
        <w:adjustRightInd w:val="0"/>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rPr>
        <w:t xml:space="preserve"> </w:t>
      </w:r>
    </w:p>
    <w:p w:rsidR="00AC0643" w:rsidRDefault="00DB3DEB" w:rsidP="00B00E02">
      <w:pPr>
        <w:pStyle w:val="NormaleWeb"/>
        <w:spacing w:before="0" w:beforeAutospacing="0" w:after="0" w:afterAutospacing="0"/>
      </w:pPr>
      <w:r w:rsidRPr="00DB3DEB">
        <w:rPr>
          <w:rFonts w:asciiTheme="minorHAnsi" w:hAnsiTheme="minorHAnsi" w:cstheme="minorHAnsi"/>
          <w:color w:val="000000"/>
          <w:sz w:val="22"/>
          <w:szCs w:val="22"/>
          <w:lang w:eastAsia="en-US"/>
        </w:rPr>
        <w:t> </w:t>
      </w:r>
    </w:p>
    <w:p w:rsidR="00AC0643" w:rsidRDefault="00AC0643" w:rsidP="00015B54">
      <w:pPr>
        <w:rPr>
          <w:b/>
        </w:rPr>
      </w:pPr>
      <w:r w:rsidRPr="00857A4F">
        <w:rPr>
          <w:b/>
        </w:rPr>
        <w:t>RISPOSTA</w:t>
      </w:r>
      <w:r w:rsidR="00DB3DEB">
        <w:rPr>
          <w:b/>
        </w:rPr>
        <w:t xml:space="preserve"> Quesito n. </w:t>
      </w:r>
      <w:r w:rsidR="00E702AF">
        <w:rPr>
          <w:b/>
        </w:rPr>
        <w:t>8</w:t>
      </w:r>
    </w:p>
    <w:p w:rsidR="004245E5" w:rsidRPr="004245E5" w:rsidRDefault="004245E5" w:rsidP="004245E5">
      <w:pPr>
        <w:pStyle w:val="Paragrafoelenco"/>
        <w:numPr>
          <w:ilvl w:val="0"/>
          <w:numId w:val="18"/>
        </w:numPr>
        <w:spacing w:after="0" w:line="240" w:lineRule="auto"/>
        <w:jc w:val="both"/>
        <w:rPr>
          <w:rFonts w:asciiTheme="minorHAnsi" w:hAnsiTheme="minorHAnsi" w:cstheme="minorHAnsi"/>
          <w:iCs/>
          <w:color w:val="000000"/>
        </w:rPr>
      </w:pPr>
      <w:r w:rsidRPr="004245E5">
        <w:rPr>
          <w:rFonts w:asciiTheme="minorHAnsi" w:hAnsiTheme="minorHAnsi" w:cstheme="minorHAnsi"/>
          <w:iCs/>
          <w:color w:val="000000"/>
        </w:rPr>
        <w:t>N. mandati emessi</w:t>
      </w:r>
      <w:r w:rsidRPr="004245E5">
        <w:rPr>
          <w:rFonts w:asciiTheme="minorHAnsi" w:hAnsiTheme="minorHAnsi" w:cstheme="minorHAnsi"/>
          <w:b/>
          <w:iCs/>
          <w:color w:val="000000"/>
        </w:rPr>
        <w:t xml:space="preserve">: </w:t>
      </w:r>
      <w:r w:rsidRPr="004245E5">
        <w:rPr>
          <w:rFonts w:asciiTheme="minorHAnsi" w:hAnsiTheme="minorHAnsi" w:cstheme="minorHAnsi"/>
          <w:iCs/>
          <w:color w:val="000000"/>
        </w:rPr>
        <w:t>24.255</w:t>
      </w:r>
      <w:r w:rsidRPr="004245E5">
        <w:rPr>
          <w:rFonts w:asciiTheme="minorHAnsi" w:hAnsiTheme="minorHAnsi" w:cstheme="minorHAnsi"/>
          <w:b/>
          <w:iCs/>
          <w:color w:val="000000"/>
        </w:rPr>
        <w:t xml:space="preserve">; </w:t>
      </w:r>
      <w:r w:rsidRPr="004245E5">
        <w:rPr>
          <w:rFonts w:asciiTheme="minorHAnsi" w:hAnsiTheme="minorHAnsi" w:cstheme="minorHAnsi"/>
          <w:iCs/>
          <w:color w:val="000000"/>
        </w:rPr>
        <w:t>N. reversali emesse: 7.430; non vi sono sub ordinativi.</w:t>
      </w:r>
    </w:p>
    <w:p w:rsidR="004245E5" w:rsidRPr="004245E5" w:rsidRDefault="004245E5" w:rsidP="004245E5">
      <w:pPr>
        <w:pStyle w:val="NormaleWeb"/>
        <w:spacing w:before="0" w:beforeAutospacing="0" w:after="0" w:afterAutospacing="0"/>
        <w:ind w:firstLine="708"/>
        <w:jc w:val="both"/>
        <w:rPr>
          <w:rFonts w:asciiTheme="minorHAnsi" w:hAnsiTheme="minorHAnsi" w:cstheme="minorHAnsi"/>
          <w:iCs/>
          <w:color w:val="000000"/>
          <w:lang w:eastAsia="en-US"/>
        </w:rPr>
      </w:pPr>
    </w:p>
    <w:p w:rsidR="004245E5" w:rsidRPr="004245E5" w:rsidRDefault="004245E5" w:rsidP="004245E5">
      <w:pPr>
        <w:pStyle w:val="Paragrafoelenco"/>
        <w:numPr>
          <w:ilvl w:val="0"/>
          <w:numId w:val="18"/>
        </w:numPr>
        <w:spacing w:after="0" w:line="240" w:lineRule="auto"/>
        <w:jc w:val="both"/>
        <w:rPr>
          <w:rFonts w:asciiTheme="minorHAnsi" w:hAnsiTheme="minorHAnsi" w:cstheme="minorHAnsi"/>
          <w:iCs/>
          <w:color w:val="000000"/>
        </w:rPr>
      </w:pPr>
      <w:r w:rsidRPr="004245E5">
        <w:rPr>
          <w:rFonts w:asciiTheme="minorHAnsi" w:hAnsiTheme="minorHAnsi" w:cstheme="minorHAnsi"/>
          <w:iCs/>
          <w:color w:val="000000"/>
        </w:rPr>
        <w:t>Gli enti strumentali che potrebbero aderire alla Convenzione sono qui di seguito elencati:</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ADISU - Agenzia per il diritto allo studio universitario dell'Umbria</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AFOR - Agenzia Forestale regionale</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ARPA Umbria – Agenzia regionale per la protezione ambientale</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ATER- Azienda territoriale per l’edilizia residenziale della Regione Umbria</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AUR – AGENZIA UMBRIA RICERCHE</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 xml:space="preserve">CEDRAV- Centro per la documentazione e la ricerca antropologica in </w:t>
      </w:r>
      <w:proofErr w:type="spellStart"/>
      <w:r w:rsidRPr="004245E5">
        <w:rPr>
          <w:rFonts w:asciiTheme="minorHAnsi" w:hAnsiTheme="minorHAnsi" w:cstheme="minorHAnsi"/>
          <w:iCs/>
          <w:color w:val="000000"/>
        </w:rPr>
        <w:t>Valnerina</w:t>
      </w:r>
      <w:proofErr w:type="spellEnd"/>
      <w:r w:rsidRPr="004245E5">
        <w:rPr>
          <w:rFonts w:asciiTheme="minorHAnsi" w:hAnsiTheme="minorHAnsi" w:cstheme="minorHAnsi"/>
          <w:iCs/>
          <w:color w:val="000000"/>
        </w:rPr>
        <w:t xml:space="preserve"> e nella dorsale Appenninica Umbra</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CSGP - Centro Studi Giuridici e Politici</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CPO - Centro per le pari opportunità</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Consorzio Scuola Umbra di Amministrazione Pubblica (Villa Umbra)</w:t>
      </w:r>
    </w:p>
    <w:p w:rsidR="004245E5" w:rsidRPr="004245E5" w:rsidRDefault="004245E5" w:rsidP="004245E5">
      <w:pPr>
        <w:pStyle w:val="Paragrafoelenco"/>
        <w:ind w:left="1416" w:hanging="707"/>
        <w:rPr>
          <w:rFonts w:asciiTheme="minorHAnsi" w:hAnsiTheme="minorHAnsi" w:cstheme="minorHAnsi"/>
          <w:iCs/>
          <w:color w:val="000000"/>
        </w:rPr>
      </w:pPr>
      <w:r w:rsidRPr="004245E5">
        <w:rPr>
          <w:rFonts w:asciiTheme="minorHAnsi" w:hAnsiTheme="minorHAnsi" w:cstheme="minorHAnsi"/>
          <w:iCs/>
          <w:color w:val="000000"/>
        </w:rPr>
        <w:t>ISUC – Istituto per la Storia dell’Umbria Contemporanea</w:t>
      </w:r>
    </w:p>
    <w:p w:rsidR="004245E5" w:rsidRPr="004245E5" w:rsidRDefault="004245E5" w:rsidP="004245E5">
      <w:pPr>
        <w:pStyle w:val="Paragrafoelenco"/>
        <w:spacing w:after="0" w:line="240" w:lineRule="auto"/>
        <w:ind w:left="360"/>
        <w:rPr>
          <w:rFonts w:asciiTheme="minorHAnsi" w:hAnsiTheme="minorHAnsi" w:cstheme="minorHAnsi"/>
          <w:iCs/>
          <w:color w:val="000000"/>
        </w:rPr>
      </w:pPr>
      <w:bookmarkStart w:id="0" w:name="_GoBack"/>
      <w:bookmarkEnd w:id="0"/>
      <w:r w:rsidRPr="004245E5">
        <w:rPr>
          <w:rFonts w:asciiTheme="minorHAnsi" w:hAnsiTheme="minorHAnsi" w:cstheme="minorHAnsi"/>
          <w:iCs/>
          <w:color w:val="000000"/>
        </w:rPr>
        <w:t>Il rilascio di fidejussioni è da intendersi nel limite dell’anticipazione.</w:t>
      </w:r>
    </w:p>
    <w:p w:rsidR="00A33A34" w:rsidRPr="004245E5" w:rsidRDefault="00A33A34" w:rsidP="00015B54">
      <w:pPr>
        <w:rPr>
          <w:rFonts w:cstheme="minorHAnsi"/>
          <w:b/>
        </w:rPr>
      </w:pPr>
    </w:p>
    <w:p w:rsidR="00B00E02" w:rsidRPr="004245E5" w:rsidRDefault="00B00E02" w:rsidP="00B00E02">
      <w:pPr>
        <w:pStyle w:val="NormaleWeb"/>
        <w:spacing w:before="0" w:beforeAutospacing="0" w:after="0" w:afterAutospacing="0"/>
        <w:jc w:val="both"/>
        <w:rPr>
          <w:rFonts w:asciiTheme="minorHAnsi" w:hAnsiTheme="minorHAnsi" w:cstheme="minorHAnsi"/>
          <w:sz w:val="22"/>
          <w:szCs w:val="22"/>
        </w:rPr>
      </w:pPr>
      <w:r w:rsidRPr="004245E5">
        <w:rPr>
          <w:rFonts w:asciiTheme="minorHAnsi" w:hAnsiTheme="minorHAnsi" w:cstheme="minorHAnsi"/>
          <w:color w:val="000000"/>
          <w:sz w:val="22"/>
          <w:szCs w:val="22"/>
        </w:rPr>
        <w:t> </w:t>
      </w:r>
    </w:p>
    <w:sectPr w:rsidR="00B00E02" w:rsidRPr="004245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35F8"/>
    <w:multiLevelType w:val="multilevel"/>
    <w:tmpl w:val="77CA1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77A9E"/>
    <w:multiLevelType w:val="hybridMultilevel"/>
    <w:tmpl w:val="C52A584E"/>
    <w:lvl w:ilvl="0" w:tplc="2DC66344">
      <w:numFmt w:val="bullet"/>
      <w:lvlText w:val="-"/>
      <w:lvlJc w:val="left"/>
      <w:pPr>
        <w:ind w:left="360" w:hanging="360"/>
      </w:pPr>
      <w:rPr>
        <w:rFonts w:ascii="Times" w:eastAsiaTheme="minorHAnsi" w:hAnsi="Times" w:cs="Time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3CF1B32"/>
    <w:multiLevelType w:val="multilevel"/>
    <w:tmpl w:val="7D4400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A500A"/>
    <w:multiLevelType w:val="multilevel"/>
    <w:tmpl w:val="CDD61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F1CE9"/>
    <w:multiLevelType w:val="multilevel"/>
    <w:tmpl w:val="9820B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3648E"/>
    <w:multiLevelType w:val="multilevel"/>
    <w:tmpl w:val="DF7AEC6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1122F"/>
    <w:multiLevelType w:val="multilevel"/>
    <w:tmpl w:val="9DFE9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505BC"/>
    <w:multiLevelType w:val="hybridMultilevel"/>
    <w:tmpl w:val="AF60A5B4"/>
    <w:lvl w:ilvl="0" w:tplc="2DD0CC9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CF70F3E"/>
    <w:multiLevelType w:val="hybridMultilevel"/>
    <w:tmpl w:val="2D4E8B46"/>
    <w:lvl w:ilvl="0" w:tplc="0E483906">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FDF0FE3"/>
    <w:multiLevelType w:val="hybridMultilevel"/>
    <w:tmpl w:val="320681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376470A"/>
    <w:multiLevelType w:val="multilevel"/>
    <w:tmpl w:val="269A4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DC25C8"/>
    <w:multiLevelType w:val="multilevel"/>
    <w:tmpl w:val="F84049A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07BE4"/>
    <w:multiLevelType w:val="multilevel"/>
    <w:tmpl w:val="8A961B3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F07CB2"/>
    <w:multiLevelType w:val="multilevel"/>
    <w:tmpl w:val="FDA43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C13F6A"/>
    <w:multiLevelType w:val="hybridMultilevel"/>
    <w:tmpl w:val="16F8A56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F985D1B"/>
    <w:multiLevelType w:val="multilevel"/>
    <w:tmpl w:val="544C3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9A5E46"/>
    <w:multiLevelType w:val="hybridMultilevel"/>
    <w:tmpl w:val="CCBE305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
  </w:num>
  <w:num w:numId="4">
    <w:abstractNumId w:val="3"/>
  </w:num>
  <w:num w:numId="5">
    <w:abstractNumId w:val="7"/>
  </w:num>
  <w:num w:numId="6">
    <w:abstractNumId w:val="17"/>
  </w:num>
  <w:num w:numId="7">
    <w:abstractNumId w:val="13"/>
  </w:num>
  <w:num w:numId="8">
    <w:abstractNumId w:val="5"/>
  </w:num>
  <w:num w:numId="9">
    <w:abstractNumId w:val="4"/>
  </w:num>
  <w:num w:numId="10">
    <w:abstractNumId w:val="8"/>
  </w:num>
  <w:num w:numId="11">
    <w:abstractNumId w:val="6"/>
  </w:num>
  <w:num w:numId="12">
    <w:abstractNumId w:val="12"/>
  </w:num>
  <w:num w:numId="13">
    <w:abstractNumId w:val="9"/>
  </w:num>
  <w:num w:numId="14">
    <w:abstractNumId w:val="14"/>
  </w:num>
  <w:num w:numId="15">
    <w:abstractNumId w:val="0"/>
  </w:num>
  <w:num w:numId="16">
    <w:abstractNumId w:val="11"/>
  </w:num>
  <w:num w:numId="17">
    <w:abstractNumId w:val="10"/>
  </w:num>
  <w:num w:numId="18">
    <w:abstractNumId w:val="18"/>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0A39BD"/>
    <w:rsid w:val="001A1964"/>
    <w:rsid w:val="00231501"/>
    <w:rsid w:val="002A4E25"/>
    <w:rsid w:val="003B521E"/>
    <w:rsid w:val="004245E5"/>
    <w:rsid w:val="005843A9"/>
    <w:rsid w:val="005A7FFB"/>
    <w:rsid w:val="006155D6"/>
    <w:rsid w:val="00715554"/>
    <w:rsid w:val="0073574C"/>
    <w:rsid w:val="00857A4F"/>
    <w:rsid w:val="008C7A8A"/>
    <w:rsid w:val="00A259ED"/>
    <w:rsid w:val="00A33A34"/>
    <w:rsid w:val="00A4350F"/>
    <w:rsid w:val="00AC0643"/>
    <w:rsid w:val="00B00E02"/>
    <w:rsid w:val="00B8557E"/>
    <w:rsid w:val="00C83FB2"/>
    <w:rsid w:val="00DB3DEB"/>
    <w:rsid w:val="00DC3028"/>
    <w:rsid w:val="00E702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F799"/>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unhideWhenUsed/>
    <w:rsid w:val="00DB3DEB"/>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42071">
      <w:bodyDiv w:val="1"/>
      <w:marLeft w:val="0"/>
      <w:marRight w:val="0"/>
      <w:marTop w:val="0"/>
      <w:marBottom w:val="0"/>
      <w:divBdr>
        <w:top w:val="none" w:sz="0" w:space="0" w:color="auto"/>
        <w:left w:val="none" w:sz="0" w:space="0" w:color="auto"/>
        <w:bottom w:val="none" w:sz="0" w:space="0" w:color="auto"/>
        <w:right w:val="none" w:sz="0" w:space="0" w:color="auto"/>
      </w:divBdr>
    </w:div>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373116444">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 w:id="1670907585">
      <w:bodyDiv w:val="1"/>
      <w:marLeft w:val="0"/>
      <w:marRight w:val="0"/>
      <w:marTop w:val="0"/>
      <w:marBottom w:val="0"/>
      <w:divBdr>
        <w:top w:val="none" w:sz="0" w:space="0" w:color="auto"/>
        <w:left w:val="none" w:sz="0" w:space="0" w:color="auto"/>
        <w:bottom w:val="none" w:sz="0" w:space="0" w:color="auto"/>
        <w:right w:val="none" w:sz="0" w:space="0" w:color="auto"/>
      </w:divBdr>
    </w:div>
    <w:div w:id="1929388222">
      <w:bodyDiv w:val="1"/>
      <w:marLeft w:val="0"/>
      <w:marRight w:val="0"/>
      <w:marTop w:val="0"/>
      <w:marBottom w:val="0"/>
      <w:divBdr>
        <w:top w:val="none" w:sz="0" w:space="0" w:color="auto"/>
        <w:left w:val="none" w:sz="0" w:space="0" w:color="auto"/>
        <w:bottom w:val="none" w:sz="0" w:space="0" w:color="auto"/>
        <w:right w:val="none" w:sz="0" w:space="0" w:color="auto"/>
      </w:divBdr>
    </w:div>
    <w:div w:id="21242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359</Words>
  <Characters>2049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4</cp:revision>
  <dcterms:created xsi:type="dcterms:W3CDTF">2018-06-14T13:34:00Z</dcterms:created>
  <dcterms:modified xsi:type="dcterms:W3CDTF">2018-06-20T07:18:00Z</dcterms:modified>
</cp:coreProperties>
</file>