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FA0F10" w:rsidRDefault="00DB3DEB" w:rsidP="00FA0F10">
      <w:pPr>
        <w:jc w:val="both"/>
        <w:rPr>
          <w:rFonts w:ascii="Calibri" w:hAnsi="Calibri" w:cs="Calibri"/>
          <w:b/>
        </w:rPr>
      </w:pPr>
      <w:r w:rsidRPr="00FA0F10">
        <w:rPr>
          <w:rFonts w:ascii="Calibri" w:hAnsi="Calibri" w:cs="Calibri"/>
          <w:b/>
        </w:rPr>
        <w:t xml:space="preserve">QUESITO N. </w:t>
      </w:r>
      <w:r w:rsidR="004C03AB">
        <w:rPr>
          <w:rFonts w:ascii="Calibri" w:hAnsi="Calibri" w:cs="Calibri"/>
          <w:b/>
        </w:rPr>
        <w:t>10</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bookmarkStart w:id="0" w:name="_MailEndCompose"/>
      <w:bookmarkEnd w:id="0"/>
      <w:r w:rsidRPr="00FA0F10">
        <w:rPr>
          <w:rFonts w:eastAsia="Times New Roman"/>
        </w:rPr>
        <w:t>Disciplinare art. 7.1 REQUISITI DI IDONEITÀ lettera b)</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È previsto che la comprova del requisito è fornita, ai sensi dell’art. 86, comma 4 e </w:t>
      </w:r>
      <w:proofErr w:type="spellStart"/>
      <w:r w:rsidRPr="00FA0F10">
        <w:rPr>
          <w:rFonts w:ascii="Calibri" w:eastAsia="Times New Roman" w:hAnsi="Calibri" w:cs="Calibri"/>
        </w:rPr>
        <w:t>all</w:t>
      </w:r>
      <w:proofErr w:type="spellEnd"/>
      <w:r w:rsidRPr="00FA0F10">
        <w:rPr>
          <w:rFonts w:ascii="Calibri" w:eastAsia="Times New Roman" w:hAnsi="Calibri" w:cs="Calibri"/>
        </w:rPr>
        <w:t xml:space="preserve">. XVII parte I, del Codice, mediante idonea documentazione inserita nel sistema </w:t>
      </w:r>
      <w:proofErr w:type="spellStart"/>
      <w:r w:rsidRPr="00FA0F10">
        <w:rPr>
          <w:rFonts w:ascii="Calibri" w:eastAsia="Times New Roman" w:hAnsi="Calibri" w:cs="Calibri"/>
        </w:rPr>
        <w:t>AVCpass</w:t>
      </w:r>
      <w:proofErr w:type="spellEnd"/>
      <w:r w:rsidRPr="00FA0F10">
        <w:rPr>
          <w:rFonts w:ascii="Calibri" w:eastAsia="Times New Roman" w:hAnsi="Calibri" w:cs="Calibri"/>
        </w:rPr>
        <w:t xml:space="preserve"> dagli operatori economici.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Tenuto conto che ai sensi dell’art. 15 della Legge 183/2011 non può essere prodotta a Pubblica Amministrazione documentazione rilasciata da altra Pubblica Amministrazione o Gestori di Pubblici Servizi, si chiede conferma che il certificato di iscrizione all’Albo delle Banche non dovrà essere inserito nel sistema </w:t>
      </w:r>
      <w:proofErr w:type="spellStart"/>
      <w:r w:rsidRPr="00FA0F10">
        <w:rPr>
          <w:rFonts w:ascii="Calibri" w:eastAsia="Times New Roman" w:hAnsi="Calibri" w:cs="Calibri"/>
        </w:rPr>
        <w:t>AVCpass</w:t>
      </w:r>
      <w:proofErr w:type="spellEnd"/>
      <w:r w:rsidRPr="00FA0F10">
        <w:rPr>
          <w:rFonts w:ascii="Calibri" w:eastAsia="Times New Roman" w:hAnsi="Calibri" w:cs="Calibri"/>
        </w:rPr>
        <w:t xml:space="preserve"> da parte del concorrente.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Disciplinare art. 7.3 REQUISITI DI CAPACITÀ TECNICA E PROFESSIONALE</w:t>
      </w:r>
    </w:p>
    <w:p w:rsidR="00FA0F10" w:rsidRPr="00FA0F10" w:rsidRDefault="00FA0F10" w:rsidP="00FA0F10">
      <w:pPr>
        <w:spacing w:after="0" w:line="240" w:lineRule="auto"/>
        <w:jc w:val="both"/>
        <w:rPr>
          <w:rFonts w:ascii="Calibri" w:eastAsia="Times New Roman" w:hAnsi="Calibri" w:cs="Calibri"/>
        </w:rPr>
      </w:pPr>
      <w:proofErr w:type="gramStart"/>
      <w:r w:rsidRPr="00FA0F10">
        <w:rPr>
          <w:rFonts w:ascii="Calibri" w:eastAsia="Times New Roman" w:hAnsi="Calibri" w:cs="Calibri"/>
        </w:rPr>
        <w:t>E’</w:t>
      </w:r>
      <w:proofErr w:type="gramEnd"/>
      <w:r w:rsidRPr="00FA0F10">
        <w:rPr>
          <w:rFonts w:ascii="Calibri" w:eastAsia="Times New Roman" w:hAnsi="Calibri" w:cs="Calibri"/>
        </w:rPr>
        <w:t xml:space="preserve"> previsto che il concorrente abbia gestito un volume di movimenti di cassa gestiti annualmente non inferiore a 2,5 miliardi di Euro, negli ultimi tre anni antecedenti la data di pubblicazione del bando.</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Si chiede conferma che per ultimo triennio si intendano gli esercizi 2015/2016/2017.</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Capitolato Speciale art. 15 - Adempimenti fiscali sui pagamenti</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si chiede conferma che sarà onere della Regione provvedere ad inserire sugli ordinativi di pagamento, e anche di incasso, l’assoggettabilità o meno ad adempimenti di natura fiscale (ad es bolli).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Art. 3 Convenzione e art. 3.14 Capitolato Speciale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Si chiede conferma che il concorrente avrà facoltà di ridurre, nel corso dell’esecuzione del contratto, il numero degli sportelli dichiarati nell’offerta presentata in sede di gara, corrispondenti agli sportelli operativi aperti al pubblico nel territorio regionale alla data di presentazione dell’offerta – come previsto a pag. 25 del disciplinare di gara – fermo l’impegno a mantenere attivo un numero di sportelli che soddisfi il requisito di cui all’art. 3.14 del Capitolato speciale.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 xml:space="preserve">Art. 3.19 Capitolato Speciale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Si chiede conferma che:</w:t>
      </w:r>
    </w:p>
    <w:p w:rsidR="00FA0F10" w:rsidRPr="00FA0F10" w:rsidRDefault="00FA0F10" w:rsidP="004C03AB">
      <w:pPr>
        <w:numPr>
          <w:ilvl w:val="0"/>
          <w:numId w:val="29"/>
        </w:numPr>
        <w:spacing w:after="0" w:line="240" w:lineRule="auto"/>
        <w:jc w:val="both"/>
        <w:rPr>
          <w:rFonts w:ascii="Calibri" w:eastAsia="Times New Roman" w:hAnsi="Calibri" w:cs="Calibri"/>
        </w:rPr>
      </w:pPr>
      <w:r w:rsidRPr="00FA0F10">
        <w:rPr>
          <w:rFonts w:ascii="Calibri" w:eastAsia="Times New Roman" w:hAnsi="Calibri" w:cs="Calibri"/>
        </w:rPr>
        <w:t>considerata l’eterogeneità dei soggetti ivi elencati il Tesoriere ha l’obbligo di assumere il servizio di tesoreria di enti, agenzie, organismi strumentali ed istituti dipendenti dalla Regione, che abbiano natura giuridica di ente pubblico;</w:t>
      </w:r>
    </w:p>
    <w:p w:rsidR="00FA0F10" w:rsidRPr="00FA0F10" w:rsidRDefault="00FA0F10" w:rsidP="004C03AB">
      <w:pPr>
        <w:numPr>
          <w:ilvl w:val="0"/>
          <w:numId w:val="29"/>
        </w:numPr>
        <w:spacing w:after="0" w:line="240" w:lineRule="auto"/>
        <w:jc w:val="both"/>
        <w:rPr>
          <w:rFonts w:ascii="Calibri" w:eastAsia="Times New Roman" w:hAnsi="Calibri" w:cs="Calibri"/>
        </w:rPr>
      </w:pPr>
      <w:r w:rsidRPr="00FA0F10">
        <w:rPr>
          <w:rFonts w:ascii="Calibri" w:eastAsia="Times New Roman" w:hAnsi="Calibri" w:cs="Calibri"/>
        </w:rPr>
        <w:t>il Tesoriere sarà tenuto ad estendere unicamente le condizioni economiche previste per il servizio di tesoreria regionale;</w:t>
      </w:r>
    </w:p>
    <w:p w:rsidR="00FA0F10" w:rsidRPr="00FA0F10" w:rsidRDefault="00FA0F10" w:rsidP="004C03AB">
      <w:pPr>
        <w:numPr>
          <w:ilvl w:val="0"/>
          <w:numId w:val="29"/>
        </w:numPr>
        <w:spacing w:after="0" w:line="240" w:lineRule="auto"/>
        <w:jc w:val="both"/>
        <w:rPr>
          <w:rFonts w:ascii="Calibri" w:eastAsia="Times New Roman" w:hAnsi="Calibri" w:cs="Calibri"/>
        </w:rPr>
      </w:pPr>
      <w:r w:rsidRPr="00FA0F10">
        <w:rPr>
          <w:rFonts w:ascii="Calibri" w:eastAsia="Times New Roman" w:hAnsi="Calibri" w:cs="Calibri"/>
        </w:rPr>
        <w:t>il tesoriere ha facoltà di procedere alla valutazione della sussistenza del merito creditizio degli stessi con periodicità annuale.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Si chiede altresì l’elenco degli enti, agenzie, organismi strumentali ed istituti dipendenti dalla Regione costituiti alla data odierna.</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Art. 3.20 Capitolato Speciale</w:t>
      </w:r>
    </w:p>
    <w:p w:rsidR="00FA0F10" w:rsidRPr="00FA0F10" w:rsidRDefault="00FA0F10" w:rsidP="004C03AB">
      <w:pPr>
        <w:numPr>
          <w:ilvl w:val="0"/>
          <w:numId w:val="34"/>
        </w:numPr>
        <w:spacing w:after="0" w:line="240" w:lineRule="auto"/>
        <w:jc w:val="both"/>
        <w:rPr>
          <w:rFonts w:ascii="Calibri" w:eastAsia="Times New Roman" w:hAnsi="Calibri" w:cs="Calibri"/>
        </w:rPr>
      </w:pPr>
      <w:r w:rsidRPr="00FA0F10">
        <w:rPr>
          <w:rFonts w:ascii="Calibri" w:eastAsia="Times New Roman" w:hAnsi="Calibri" w:cs="Calibri"/>
        </w:rPr>
        <w:t>Considerato che l’assenza della previsione dell’importo massimo per il quale il tesoriere si impegna al rilascio di fidejussioni non consente l’assunzione della relativa delibera autorizzativa, si chiede conferma che il tesoriere è autorizzato ad apporre un vincolo sull’anticipazione di cassa, rendendo pertanto indisponibile sulla stessa un importo pari al totale delle fidejussioni rilasciate; in alternativa si chiede di fissare un plafond massimo di fidejussioni che il tesoriere è tenuto a rilasciare nel triennio contrattuale.</w:t>
      </w:r>
    </w:p>
    <w:p w:rsidR="00FA0F10" w:rsidRPr="00FA0F10" w:rsidRDefault="00FA0F10" w:rsidP="004C03AB">
      <w:pPr>
        <w:numPr>
          <w:ilvl w:val="0"/>
          <w:numId w:val="34"/>
        </w:numPr>
        <w:spacing w:after="0" w:line="240" w:lineRule="auto"/>
        <w:jc w:val="both"/>
        <w:rPr>
          <w:rFonts w:ascii="Calibri" w:eastAsia="Times New Roman" w:hAnsi="Calibri" w:cs="Calibri"/>
        </w:rPr>
      </w:pPr>
      <w:r w:rsidRPr="00FA0F10">
        <w:rPr>
          <w:rFonts w:ascii="Calibri" w:eastAsia="Times New Roman" w:hAnsi="Calibri" w:cs="Calibri"/>
        </w:rPr>
        <w:t>Si chiede inoltre conferma che dall’obbligo di rilascio di qualsiasi fidejussione nell’interesse dell’Ente sono escluse le fidejussioni a garanzia di finanziamenti/mutui concessi da altri istituti mutuanti.</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Art.3.21 e 3.22 Capitolato Speciale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Si chiede conferma che qualora il Tesoriere non abbia potuto accantonare le somme occorrenti per il pagamento delle singole rate di ammortamento dei mutui, per mancanza di entrate da accantonare, non sarà tenuto ad anticipare le somme occorrenti e non sarà tenuto a corrispondere l’eventuale indennità di mora.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lastRenderedPageBreak/>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Art. 6.4 Capitolato Speciale, Determinazione Dirigenziale n. 3076 del 27/03/2018 e risposta al Quesito n. 1.3</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Si chiede conferma che:</w:t>
      </w:r>
    </w:p>
    <w:p w:rsidR="00FA0F10" w:rsidRPr="00FA0F10" w:rsidRDefault="00FA0F10" w:rsidP="008F33CB">
      <w:pPr>
        <w:numPr>
          <w:ilvl w:val="0"/>
          <w:numId w:val="36"/>
        </w:numPr>
        <w:spacing w:after="0" w:line="240" w:lineRule="auto"/>
        <w:jc w:val="both"/>
        <w:rPr>
          <w:rFonts w:ascii="Calibri" w:eastAsia="Times New Roman" w:hAnsi="Calibri" w:cs="Calibri"/>
        </w:rPr>
      </w:pPr>
      <w:r w:rsidRPr="00FA0F10">
        <w:rPr>
          <w:rFonts w:ascii="Calibri" w:eastAsia="Times New Roman" w:hAnsi="Calibri" w:cs="Calibri"/>
        </w:rPr>
        <w:t>il servizio di tesoreria è reso con riconoscimento all’aggiudicatario di un compenso annuo massimo di euro 80.000,00 oltre IVA se dovuta, delle commissioni e del rimborso spese (Determinazione n. 3076 del 27/03/2018)</w:t>
      </w:r>
    </w:p>
    <w:p w:rsidR="00FA0F10" w:rsidRPr="00FA0F10" w:rsidRDefault="00FA0F10" w:rsidP="008F33CB">
      <w:pPr>
        <w:numPr>
          <w:ilvl w:val="0"/>
          <w:numId w:val="36"/>
        </w:numPr>
        <w:spacing w:after="0" w:line="240" w:lineRule="auto"/>
        <w:jc w:val="both"/>
        <w:rPr>
          <w:rFonts w:ascii="Calibri" w:eastAsia="Times New Roman" w:hAnsi="Calibri" w:cs="Calibri"/>
        </w:rPr>
      </w:pPr>
      <w:r w:rsidRPr="00FA0F10">
        <w:rPr>
          <w:rFonts w:ascii="Calibri" w:eastAsia="Times New Roman" w:hAnsi="Calibri" w:cs="Calibri"/>
        </w:rPr>
        <w:t>il compenso annuo è comprensivo della commissione unitaria per ogni mandato/</w:t>
      </w:r>
      <w:proofErr w:type="gramStart"/>
      <w:r w:rsidRPr="00FA0F10">
        <w:rPr>
          <w:rFonts w:ascii="Calibri" w:eastAsia="Times New Roman" w:hAnsi="Calibri" w:cs="Calibri"/>
        </w:rPr>
        <w:t>reversale,  della</w:t>
      </w:r>
      <w:proofErr w:type="gramEnd"/>
      <w:r w:rsidRPr="00FA0F10">
        <w:rPr>
          <w:rFonts w:ascii="Calibri" w:eastAsia="Times New Roman" w:hAnsi="Calibri" w:cs="Calibri"/>
        </w:rPr>
        <w:t xml:space="preserve"> commissione annua per il rilascio di fidejussioni e delle commissioni per il servizio SEPA Direct </w:t>
      </w:r>
      <w:proofErr w:type="spellStart"/>
      <w:r w:rsidRPr="00FA0F10">
        <w:rPr>
          <w:rFonts w:ascii="Calibri" w:eastAsia="Times New Roman" w:hAnsi="Calibri" w:cs="Calibri"/>
        </w:rPr>
        <w:t>Debit</w:t>
      </w:r>
      <w:proofErr w:type="spellEnd"/>
    </w:p>
    <w:p w:rsidR="00FA0F10" w:rsidRPr="00FA0F10" w:rsidRDefault="00FA0F10" w:rsidP="008F33CB">
      <w:pPr>
        <w:numPr>
          <w:ilvl w:val="0"/>
          <w:numId w:val="36"/>
        </w:numPr>
        <w:spacing w:after="0" w:line="240" w:lineRule="auto"/>
        <w:jc w:val="both"/>
        <w:rPr>
          <w:rFonts w:ascii="Calibri" w:eastAsia="Times New Roman" w:hAnsi="Calibri" w:cs="Calibri"/>
        </w:rPr>
      </w:pPr>
      <w:r w:rsidRPr="00FA0F10">
        <w:rPr>
          <w:rFonts w:ascii="Calibri" w:eastAsia="Times New Roman" w:hAnsi="Calibri" w:cs="Calibri"/>
        </w:rPr>
        <w:t>le commissioni sono relative a tutti i servizi bancari, esclusi quelli di cui al punto precedente</w:t>
      </w:r>
    </w:p>
    <w:p w:rsidR="00FA0F10" w:rsidRPr="00FA0F10" w:rsidRDefault="00FA0F10" w:rsidP="008F33CB">
      <w:pPr>
        <w:numPr>
          <w:ilvl w:val="0"/>
          <w:numId w:val="36"/>
        </w:numPr>
        <w:spacing w:after="0" w:line="240" w:lineRule="auto"/>
        <w:jc w:val="both"/>
        <w:rPr>
          <w:rFonts w:ascii="Calibri" w:eastAsia="Times New Roman" w:hAnsi="Calibri" w:cs="Calibri"/>
        </w:rPr>
      </w:pPr>
      <w:r w:rsidRPr="00FA0F10">
        <w:rPr>
          <w:rFonts w:ascii="Calibri" w:eastAsia="Times New Roman" w:hAnsi="Calibri" w:cs="Calibri"/>
        </w:rPr>
        <w:t xml:space="preserve">il rimborso spese è quello previsto dall’art. 6.2 del Capitolato Speciale </w:t>
      </w:r>
    </w:p>
    <w:p w:rsidR="00FA0F10" w:rsidRPr="00FA0F10" w:rsidRDefault="00FA0F10" w:rsidP="008F33CB">
      <w:pPr>
        <w:numPr>
          <w:ilvl w:val="0"/>
          <w:numId w:val="36"/>
        </w:numPr>
        <w:spacing w:after="0" w:line="240" w:lineRule="auto"/>
        <w:jc w:val="both"/>
        <w:rPr>
          <w:rFonts w:ascii="Calibri" w:eastAsia="Times New Roman" w:hAnsi="Calibri" w:cs="Calibri"/>
        </w:rPr>
      </w:pPr>
      <w:r w:rsidRPr="00FA0F10">
        <w:rPr>
          <w:rFonts w:ascii="Calibri" w:eastAsia="Times New Roman" w:hAnsi="Calibri" w:cs="Calibri"/>
        </w:rPr>
        <w:t xml:space="preserve">il Tesoriere ha diritto al pagamento degli importi eccedenti il limite annuo di euro 80.000,00 qualora, per effetto dell’aumento del numero di mandati/reversali e/o del numero di incassi SEPA Direct </w:t>
      </w:r>
      <w:proofErr w:type="spellStart"/>
      <w:r w:rsidRPr="00FA0F10">
        <w:rPr>
          <w:rFonts w:ascii="Calibri" w:eastAsia="Times New Roman" w:hAnsi="Calibri" w:cs="Calibri"/>
        </w:rPr>
        <w:t>Debit</w:t>
      </w:r>
      <w:proofErr w:type="spellEnd"/>
      <w:r w:rsidRPr="00FA0F10">
        <w:rPr>
          <w:rFonts w:ascii="Calibri" w:eastAsia="Times New Roman" w:hAnsi="Calibri" w:cs="Calibri"/>
        </w:rPr>
        <w:t xml:space="preserve"> presentati e/o dell’importo delle fidejussioni richieste, venisse superato l’importo a base di gara.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Artt. 3, 10, 11 e 19 del Capitolato Speciale, art. 17.1 Disciplinare ed Offerta Tecnica</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Si chiede conferma </w:t>
      </w:r>
      <w:proofErr w:type="gramStart"/>
      <w:r w:rsidRPr="00FA0F10">
        <w:rPr>
          <w:rFonts w:ascii="Calibri" w:eastAsia="Times New Roman" w:hAnsi="Calibri" w:cs="Calibri"/>
        </w:rPr>
        <w:t>che :</w:t>
      </w:r>
      <w:proofErr w:type="gramEnd"/>
    </w:p>
    <w:p w:rsidR="00FA0F10" w:rsidRPr="00FA0F10" w:rsidRDefault="00FA0F10" w:rsidP="00FA0F10">
      <w:pPr>
        <w:numPr>
          <w:ilvl w:val="0"/>
          <w:numId w:val="22"/>
        </w:numPr>
        <w:spacing w:after="0" w:line="240" w:lineRule="auto"/>
        <w:ind w:left="0"/>
        <w:jc w:val="both"/>
        <w:rPr>
          <w:rFonts w:ascii="Calibri" w:eastAsia="Times New Roman" w:hAnsi="Calibri" w:cs="Calibri"/>
        </w:rPr>
      </w:pPr>
      <w:r w:rsidRPr="00FA0F10">
        <w:rPr>
          <w:rFonts w:ascii="Calibri" w:eastAsia="Times New Roman" w:hAnsi="Calibri" w:cs="Calibri"/>
        </w:rPr>
        <w:t xml:space="preserve">restano a carico della </w:t>
      </w:r>
      <w:proofErr w:type="gramStart"/>
      <w:r w:rsidRPr="00FA0F10">
        <w:rPr>
          <w:rFonts w:ascii="Calibri" w:eastAsia="Times New Roman" w:hAnsi="Calibri" w:cs="Calibri"/>
        </w:rPr>
        <w:t>Regione  le</w:t>
      </w:r>
      <w:proofErr w:type="gramEnd"/>
      <w:r w:rsidRPr="00FA0F10">
        <w:rPr>
          <w:rFonts w:ascii="Calibri" w:eastAsia="Times New Roman" w:hAnsi="Calibri" w:cs="Calibri"/>
        </w:rPr>
        <w:t xml:space="preserve"> attività di produzione degli Ordinativi informatici di Incasso e di Pagamento (OPI) e la trasmissione degli stessi all’infrastruttura della banca dati SIOPE gestita dalla Banca d’Italia, secondo le “Regole tecniche per il colloquio telematico delle Amministrazioni pubbliche e Tesorieri con SIOPE+”; </w:t>
      </w:r>
    </w:p>
    <w:p w:rsidR="00FA0F10" w:rsidRPr="00FA0F10" w:rsidRDefault="00FA0F10" w:rsidP="00FA0F10">
      <w:pPr>
        <w:numPr>
          <w:ilvl w:val="0"/>
          <w:numId w:val="22"/>
        </w:numPr>
        <w:spacing w:after="0" w:line="240" w:lineRule="auto"/>
        <w:ind w:left="0"/>
        <w:jc w:val="both"/>
        <w:rPr>
          <w:rFonts w:ascii="Calibri" w:eastAsia="Times New Roman" w:hAnsi="Calibri" w:cs="Calibri"/>
        </w:rPr>
      </w:pPr>
      <w:r w:rsidRPr="00FA0F10">
        <w:rPr>
          <w:rFonts w:ascii="Calibri" w:eastAsia="Times New Roman" w:hAnsi="Calibri" w:cs="Calibri"/>
        </w:rPr>
        <w:t xml:space="preserve">restano a carico del Tesoriere le </w:t>
      </w:r>
      <w:proofErr w:type="gramStart"/>
      <w:r w:rsidRPr="00FA0F10">
        <w:rPr>
          <w:rFonts w:ascii="Calibri" w:eastAsia="Times New Roman" w:hAnsi="Calibri" w:cs="Calibri"/>
        </w:rPr>
        <w:t>attività  e</w:t>
      </w:r>
      <w:proofErr w:type="gramEnd"/>
      <w:r w:rsidRPr="00FA0F10">
        <w:rPr>
          <w:rFonts w:ascii="Calibri" w:eastAsia="Times New Roman" w:hAnsi="Calibri" w:cs="Calibri"/>
        </w:rPr>
        <w:t xml:space="preserve"> la gestione della messaggistica da ricevere ed inviare all’infrastruttura della banca dati SIOPE gestita dalla Banca d’Italia, secondo le “Regole tecniche per il colloquio telematico delle Amministrazioni pubbliche e Tesorieri con SIOPE+”;</w:t>
      </w:r>
    </w:p>
    <w:p w:rsidR="00FA0F10" w:rsidRPr="00FA0F10" w:rsidRDefault="00FA0F10" w:rsidP="00FA0F10">
      <w:pPr>
        <w:numPr>
          <w:ilvl w:val="0"/>
          <w:numId w:val="22"/>
        </w:numPr>
        <w:spacing w:after="0" w:line="240" w:lineRule="auto"/>
        <w:ind w:left="0"/>
        <w:jc w:val="both"/>
        <w:rPr>
          <w:rFonts w:ascii="Calibri" w:eastAsia="Times New Roman" w:hAnsi="Calibri" w:cs="Calibri"/>
        </w:rPr>
      </w:pPr>
      <w:r w:rsidRPr="00FA0F10">
        <w:rPr>
          <w:rFonts w:ascii="Calibri" w:eastAsia="Times New Roman" w:hAnsi="Calibri" w:cs="Calibri"/>
        </w:rPr>
        <w:t xml:space="preserve">ai sensi dell’art. 19 del Capitolato Speciale e all’art. 19 della Convenzione, nonché in considerazione della disponibilità dei dati da porre in </w:t>
      </w:r>
      <w:proofErr w:type="gramStart"/>
      <w:r w:rsidRPr="00FA0F10">
        <w:rPr>
          <w:rFonts w:ascii="Calibri" w:eastAsia="Times New Roman" w:hAnsi="Calibri" w:cs="Calibri"/>
        </w:rPr>
        <w:t>conservazione,  il</w:t>
      </w:r>
      <w:proofErr w:type="gramEnd"/>
      <w:r w:rsidRPr="00FA0F10">
        <w:rPr>
          <w:rFonts w:ascii="Calibri" w:eastAsia="Times New Roman" w:hAnsi="Calibri" w:cs="Calibri"/>
        </w:rPr>
        <w:t xml:space="preserve"> Tesoriere ha l’obbligo dell’archiviazione e della conservazione, nel rispetto e secondo la vigente normativa, dei soli documenti informatici prodotti dallo stesso; </w:t>
      </w:r>
    </w:p>
    <w:p w:rsidR="00FA0F10" w:rsidRPr="00FA0F10" w:rsidRDefault="00FA0F10" w:rsidP="00FA0F10">
      <w:pPr>
        <w:numPr>
          <w:ilvl w:val="0"/>
          <w:numId w:val="22"/>
        </w:numPr>
        <w:spacing w:after="0" w:line="240" w:lineRule="auto"/>
        <w:ind w:left="0"/>
        <w:jc w:val="both"/>
        <w:rPr>
          <w:rFonts w:ascii="Calibri" w:eastAsia="Times New Roman" w:hAnsi="Calibri" w:cs="Calibri"/>
        </w:rPr>
      </w:pPr>
      <w:r w:rsidRPr="00FA0F10">
        <w:rPr>
          <w:rFonts w:ascii="Calibri" w:eastAsia="Times New Roman" w:hAnsi="Calibri" w:cs="Calibri"/>
        </w:rPr>
        <w:t>per quanto sopra riportato il contenuto del progetto tecnico per la gestione del servizio di tesoreria, da inserire nell’offerta tecnica, dovrà garantire l’automazione del processo di gestione dell’OPI di competenza del Tesoriere (gestione della messaggistica da ricevere ed inviare all’infrastruttura della banca dati SIOPE gestita dalla Banca d’Italia, secondo le “Regole tecniche per il colloquio telematico delle Amministrazioni pubbliche e Tesorieri con SIOPE+”) nonché la conservazione ed archiviazione dei documenti informatici prodotti dal Tesoriere stesso.</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FA0F10" w:rsidRPr="00FA0F10" w:rsidRDefault="00FA0F10" w:rsidP="00FA0F10">
      <w:pPr>
        <w:pStyle w:val="Paragrafoelenco"/>
        <w:numPr>
          <w:ilvl w:val="0"/>
          <w:numId w:val="23"/>
        </w:numPr>
        <w:spacing w:after="0" w:line="240" w:lineRule="auto"/>
        <w:ind w:left="426" w:hanging="426"/>
        <w:jc w:val="both"/>
        <w:rPr>
          <w:rFonts w:eastAsia="Times New Roman"/>
        </w:rPr>
      </w:pPr>
      <w:r w:rsidRPr="00FA0F10">
        <w:rPr>
          <w:rFonts w:eastAsia="Times New Roman"/>
        </w:rPr>
        <w:t xml:space="preserve">Art. </w:t>
      </w:r>
      <w:proofErr w:type="gramStart"/>
      <w:r w:rsidRPr="00FA0F10">
        <w:rPr>
          <w:rFonts w:eastAsia="Times New Roman"/>
        </w:rPr>
        <w:t>17.3  Disciplinare</w:t>
      </w:r>
      <w:proofErr w:type="gramEnd"/>
      <w:r w:rsidRPr="00FA0F10">
        <w:rPr>
          <w:rFonts w:eastAsia="Times New Roman"/>
        </w:rPr>
        <w:t xml:space="preserve"> e art. 11 Capitolato Speciale</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Con riferimento al servizio SEDA i criteri di attribuzione dei punteggi (canone trimestrale e commissione trimestrale percentuale di allineamento) non corrispondono alla nuova struttura commissionale prevista a livello interbancario come da tabella sotto riportata. Si chiede conferma del Vostro recepimento di tale nuova struttura e di indicazioni circa punteggio e modalità di presentazione dell’offerta.</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Comm.</w:t>
      </w:r>
      <w:proofErr w:type="spellStart"/>
      <w:r w:rsidRPr="00FA0F10">
        <w:rPr>
          <w:rFonts w:ascii="Calibri" w:eastAsia="Times New Roman" w:hAnsi="Calibri" w:cs="Calibri"/>
        </w:rPr>
        <w:t>ne</w:t>
      </w:r>
      <w:proofErr w:type="spellEnd"/>
      <w:r w:rsidRPr="00FA0F10">
        <w:rPr>
          <w:rFonts w:ascii="Calibri" w:eastAsia="Times New Roman" w:hAnsi="Calibri" w:cs="Calibri"/>
        </w:rPr>
        <w:t xml:space="preserve"> di allineamento messaggio ricevuto/inviato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MIF mandato Banca rilasciato e conservato presso Beneficiario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MIF mandato Banca rilasciato e conservato presso PSP del Pagatore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MIF mandato Altre </w:t>
      </w:r>
      <w:proofErr w:type="gramStart"/>
      <w:r w:rsidRPr="00FA0F10">
        <w:rPr>
          <w:rFonts w:ascii="Calibri" w:eastAsia="Times New Roman" w:hAnsi="Calibri" w:cs="Calibri"/>
        </w:rPr>
        <w:t>Banche  rilasciato</w:t>
      </w:r>
      <w:proofErr w:type="gramEnd"/>
      <w:r w:rsidRPr="00FA0F10">
        <w:rPr>
          <w:rFonts w:ascii="Calibri" w:eastAsia="Times New Roman" w:hAnsi="Calibri" w:cs="Calibri"/>
        </w:rPr>
        <w:t xml:space="preserve"> e conservato presso Beneficiario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MIF mandato Altre </w:t>
      </w:r>
      <w:proofErr w:type="gramStart"/>
      <w:r w:rsidRPr="00FA0F10">
        <w:rPr>
          <w:rFonts w:ascii="Calibri" w:eastAsia="Times New Roman" w:hAnsi="Calibri" w:cs="Calibri"/>
        </w:rPr>
        <w:t>Banche  rilasciato</w:t>
      </w:r>
      <w:proofErr w:type="gramEnd"/>
      <w:r w:rsidRPr="00FA0F10">
        <w:rPr>
          <w:rFonts w:ascii="Calibri" w:eastAsia="Times New Roman" w:hAnsi="Calibri" w:cs="Calibri"/>
        </w:rPr>
        <w:t xml:space="preserve"> e conservato presso PSP del Pagatore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xml:space="preserve">Spese per costi di </w:t>
      </w:r>
      <w:proofErr w:type="spellStart"/>
      <w:proofErr w:type="gramStart"/>
      <w:r w:rsidRPr="00FA0F10">
        <w:rPr>
          <w:rFonts w:ascii="Calibri" w:eastAsia="Times New Roman" w:hAnsi="Calibri" w:cs="Calibri"/>
        </w:rPr>
        <w:t>Investigation</w:t>
      </w:r>
      <w:proofErr w:type="spellEnd"/>
      <w:r w:rsidRPr="00FA0F10">
        <w:rPr>
          <w:rFonts w:ascii="Calibri" w:eastAsia="Times New Roman" w:hAnsi="Calibri" w:cs="Calibri"/>
        </w:rPr>
        <w:t>  pratica</w:t>
      </w:r>
      <w:proofErr w:type="gramEnd"/>
      <w:r w:rsidRPr="00FA0F10">
        <w:rPr>
          <w:rFonts w:ascii="Calibri" w:eastAsia="Times New Roman" w:hAnsi="Calibri" w:cs="Calibri"/>
        </w:rPr>
        <w:t xml:space="preserve"> gestita                                          </w:t>
      </w:r>
      <w:r>
        <w:rPr>
          <w:rFonts w:ascii="Calibri" w:eastAsia="Times New Roman" w:hAnsi="Calibri" w:cs="Calibri"/>
        </w:rPr>
        <w:t xml:space="preserve"> </w:t>
      </w:r>
      <w:r w:rsidRPr="00FA0F10">
        <w:rPr>
          <w:rFonts w:ascii="Calibri" w:eastAsia="Times New Roman" w:hAnsi="Calibri" w:cs="Calibri"/>
        </w:rPr>
        <w:t>                       €</w:t>
      </w:r>
    </w:p>
    <w:p w:rsidR="00FA0F10" w:rsidRPr="00FA0F10" w:rsidRDefault="00FA0F10" w:rsidP="00FA0F10">
      <w:pPr>
        <w:spacing w:after="0" w:line="240" w:lineRule="auto"/>
        <w:jc w:val="both"/>
        <w:rPr>
          <w:rFonts w:ascii="Calibri" w:eastAsia="Times New Roman" w:hAnsi="Calibri" w:cs="Calibri"/>
        </w:rPr>
      </w:pPr>
      <w:r w:rsidRPr="00FA0F10">
        <w:rPr>
          <w:rFonts w:ascii="Calibri" w:eastAsia="Times New Roman" w:hAnsi="Calibri" w:cs="Calibri"/>
        </w:rPr>
        <w:t> </w:t>
      </w:r>
    </w:p>
    <w:p w:rsidR="00E702AF" w:rsidRPr="00FA0F10" w:rsidRDefault="00E702AF" w:rsidP="00FA0F10">
      <w:pPr>
        <w:spacing w:after="0" w:line="240" w:lineRule="auto"/>
        <w:ind w:left="708"/>
        <w:jc w:val="both"/>
        <w:rPr>
          <w:rFonts w:ascii="Calibri" w:hAnsi="Calibri" w:cs="Calibri"/>
          <w:iCs/>
        </w:rPr>
      </w:pPr>
    </w:p>
    <w:p w:rsidR="0073574C" w:rsidRPr="00FA0F10" w:rsidRDefault="00E702AF" w:rsidP="00FA0F10">
      <w:pPr>
        <w:pStyle w:val="Paragrafoelenco"/>
        <w:spacing w:after="0" w:line="240" w:lineRule="auto"/>
        <w:contextualSpacing w:val="0"/>
        <w:jc w:val="both"/>
        <w:rPr>
          <w:b/>
        </w:rPr>
      </w:pPr>
      <w:r w:rsidRPr="00FA0F10">
        <w:t>                                                                                                                                            </w:t>
      </w:r>
    </w:p>
    <w:p w:rsidR="00DB3DEB" w:rsidRPr="00FA0F10" w:rsidRDefault="00DB3DEB" w:rsidP="00FA0F10">
      <w:pPr>
        <w:pStyle w:val="NormaleWeb"/>
        <w:adjustRightInd w:val="0"/>
        <w:spacing w:before="0" w:beforeAutospacing="0" w:after="0" w:afterAutospacing="0"/>
        <w:ind w:firstLine="708"/>
        <w:jc w:val="both"/>
        <w:rPr>
          <w:rFonts w:ascii="Calibri" w:hAnsi="Calibri" w:cs="Calibri"/>
          <w:sz w:val="22"/>
          <w:szCs w:val="22"/>
        </w:rPr>
      </w:pPr>
      <w:r w:rsidRPr="00FA0F10">
        <w:rPr>
          <w:rFonts w:ascii="Calibri" w:hAnsi="Calibri" w:cs="Calibri"/>
          <w:i/>
          <w:sz w:val="22"/>
          <w:szCs w:val="22"/>
        </w:rPr>
        <w:t xml:space="preserve"> </w:t>
      </w:r>
    </w:p>
    <w:p w:rsidR="00AC0643" w:rsidRPr="00FA0F10" w:rsidRDefault="00DB3DEB" w:rsidP="00FA0F10">
      <w:pPr>
        <w:pStyle w:val="NormaleWeb"/>
        <w:spacing w:before="0" w:beforeAutospacing="0" w:after="0" w:afterAutospacing="0"/>
        <w:jc w:val="both"/>
        <w:rPr>
          <w:rFonts w:ascii="Calibri" w:hAnsi="Calibri" w:cs="Calibri"/>
          <w:sz w:val="22"/>
          <w:szCs w:val="22"/>
        </w:rPr>
      </w:pPr>
      <w:r w:rsidRPr="00FA0F10">
        <w:rPr>
          <w:rFonts w:ascii="Calibri" w:hAnsi="Calibri" w:cs="Calibri"/>
          <w:sz w:val="22"/>
          <w:szCs w:val="22"/>
          <w:lang w:eastAsia="en-US"/>
        </w:rPr>
        <w:t> </w:t>
      </w:r>
    </w:p>
    <w:p w:rsidR="00AC0643" w:rsidRDefault="00AC0643" w:rsidP="00FA0F10">
      <w:pPr>
        <w:jc w:val="both"/>
        <w:rPr>
          <w:rFonts w:ascii="Calibri" w:hAnsi="Calibri" w:cs="Calibri"/>
          <w:b/>
        </w:rPr>
      </w:pPr>
      <w:r w:rsidRPr="00FA0F10">
        <w:rPr>
          <w:rFonts w:ascii="Calibri" w:hAnsi="Calibri" w:cs="Calibri"/>
          <w:b/>
        </w:rPr>
        <w:t>RISPOSTA</w:t>
      </w:r>
      <w:r w:rsidR="00DB3DEB" w:rsidRPr="00FA0F10">
        <w:rPr>
          <w:rFonts w:ascii="Calibri" w:hAnsi="Calibri" w:cs="Calibri"/>
          <w:b/>
        </w:rPr>
        <w:t xml:space="preserve"> Quesito n. </w:t>
      </w:r>
      <w:r w:rsidR="004C03AB">
        <w:rPr>
          <w:rFonts w:ascii="Calibri" w:hAnsi="Calibri" w:cs="Calibri"/>
          <w:b/>
        </w:rPr>
        <w:t>10</w:t>
      </w:r>
    </w:p>
    <w:p w:rsidR="00375AE4" w:rsidRPr="00B84F7C" w:rsidRDefault="00C71BE2" w:rsidP="00DD0645">
      <w:pPr>
        <w:pStyle w:val="Paragrafoelenco"/>
        <w:numPr>
          <w:ilvl w:val="0"/>
          <w:numId w:val="43"/>
        </w:numPr>
        <w:spacing w:after="0" w:line="240" w:lineRule="auto"/>
        <w:ind w:left="708" w:hanging="720"/>
        <w:jc w:val="both"/>
      </w:pPr>
      <w:r w:rsidRPr="00B84F7C">
        <w:rPr>
          <w:rFonts w:ascii="Tahoma" w:eastAsia="Times New Roman" w:hAnsi="Tahoma" w:cs="Tahoma"/>
          <w:sz w:val="20"/>
          <w:szCs w:val="20"/>
          <w:lang w:eastAsia="it-IT"/>
        </w:rPr>
        <w:lastRenderedPageBreak/>
        <w:t>L</w:t>
      </w:r>
      <w:r w:rsidR="00375AE4" w:rsidRPr="00375AE4">
        <w:rPr>
          <w:rFonts w:ascii="Tahoma" w:eastAsia="Times New Roman" w:hAnsi="Tahoma" w:cs="Tahoma"/>
          <w:sz w:val="20"/>
          <w:szCs w:val="20"/>
          <w:lang w:eastAsia="it-IT"/>
        </w:rPr>
        <w:t>'</w:t>
      </w:r>
      <w:hyperlink r:id="rId5" w:anchor="43" w:history="1">
        <w:r w:rsidR="00375AE4" w:rsidRPr="00B84F7C">
          <w:rPr>
            <w:rFonts w:ascii="Tahoma" w:eastAsia="Times New Roman" w:hAnsi="Tahoma" w:cs="Tahoma"/>
            <w:sz w:val="20"/>
            <w:szCs w:val="20"/>
            <w:u w:val="single"/>
            <w:lang w:eastAsia="it-IT"/>
          </w:rPr>
          <w:t>articolo 43, il comma 1</w:t>
        </w:r>
      </w:hyperlink>
      <w:r w:rsidRPr="007C0A1F">
        <w:rPr>
          <w:rFonts w:ascii="Tahoma" w:eastAsia="Times New Roman" w:hAnsi="Tahoma" w:cs="Tahoma"/>
          <w:color w:val="000000"/>
          <w:sz w:val="20"/>
          <w:szCs w:val="20"/>
          <w:lang w:eastAsia="it-IT"/>
        </w:rPr>
        <w:t xml:space="preserve"> del D.P.R. n. 445/2000 dispone che</w:t>
      </w:r>
      <w:r w:rsidR="00375AE4" w:rsidRPr="00375AE4">
        <w:rPr>
          <w:rFonts w:ascii="Tahoma" w:eastAsia="Times New Roman" w:hAnsi="Tahoma" w:cs="Tahoma"/>
          <w:color w:val="000000"/>
          <w:sz w:val="20"/>
          <w:szCs w:val="20"/>
          <w:lang w:eastAsia="it-IT"/>
        </w:rPr>
        <w:t>: </w:t>
      </w:r>
      <w:r w:rsidRPr="007C0A1F">
        <w:rPr>
          <w:rFonts w:ascii="Tahoma" w:eastAsia="Times New Roman" w:hAnsi="Tahoma" w:cs="Tahoma"/>
          <w:i/>
          <w:iCs/>
          <w:color w:val="000000"/>
          <w:sz w:val="20"/>
          <w:szCs w:val="20"/>
          <w:lang w:eastAsia="it-IT"/>
        </w:rPr>
        <w:t>«</w:t>
      </w:r>
      <w:r w:rsidR="00375AE4" w:rsidRPr="00375AE4">
        <w:rPr>
          <w:rFonts w:ascii="Tahoma" w:eastAsia="Times New Roman" w:hAnsi="Tahoma" w:cs="Tahoma"/>
          <w:i/>
          <w:iCs/>
          <w:color w:val="000000"/>
          <w:sz w:val="20"/>
          <w:szCs w:val="20"/>
          <w:lang w:eastAsia="it-IT"/>
        </w:rPr>
        <w:t xml:space="preserve"> Le amministrazioni pubbliche e i gestori di pubblici servizi sono tenuti ad acquisire d'ufficio le informazioni oggetto delle dichiarazioni sostitutive di cui agli articoli 46 e 47, nonché tutti i dati e i documenti che siano in possesso delle pubbliche amministrazioni, previa indicazione, da parte dell'interessato, degli elementi indispensabili per il reperimento delle in</w:t>
      </w:r>
      <w:r w:rsidRPr="007C0A1F">
        <w:rPr>
          <w:rFonts w:ascii="Tahoma" w:eastAsia="Times New Roman" w:hAnsi="Tahoma" w:cs="Tahoma"/>
          <w:i/>
          <w:iCs/>
          <w:color w:val="000000"/>
          <w:sz w:val="20"/>
          <w:szCs w:val="20"/>
          <w:lang w:eastAsia="it-IT"/>
        </w:rPr>
        <w:t>formazioni o dei dati richiesti</w:t>
      </w:r>
      <w:r w:rsidR="00375AE4" w:rsidRPr="00375AE4">
        <w:rPr>
          <w:rFonts w:ascii="Tahoma" w:eastAsia="Times New Roman" w:hAnsi="Tahoma" w:cs="Tahoma"/>
          <w:i/>
          <w:iCs/>
          <w:color w:val="000000"/>
          <w:sz w:val="20"/>
          <w:szCs w:val="20"/>
          <w:lang w:eastAsia="it-IT"/>
        </w:rPr>
        <w:t>»</w:t>
      </w:r>
      <w:r w:rsidR="007C0A1F" w:rsidRPr="007C0A1F">
        <w:rPr>
          <w:rFonts w:ascii="Tahoma" w:eastAsia="Times New Roman" w:hAnsi="Tahoma" w:cs="Tahoma"/>
          <w:color w:val="000000"/>
          <w:sz w:val="20"/>
          <w:szCs w:val="20"/>
          <w:lang w:eastAsia="it-IT"/>
        </w:rPr>
        <w:t xml:space="preserve">. Conseguentemente, </w:t>
      </w:r>
      <w:r w:rsidR="007C0A1F" w:rsidRPr="00B84F7C">
        <w:rPr>
          <w:rFonts w:ascii="Tahoma" w:eastAsia="Times New Roman" w:hAnsi="Tahoma" w:cs="Tahoma"/>
          <w:color w:val="000000"/>
          <w:sz w:val="20"/>
          <w:szCs w:val="20"/>
          <w:lang w:eastAsia="it-IT"/>
        </w:rPr>
        <w:t>q</w:t>
      </w:r>
      <w:r w:rsidR="007C0A1F" w:rsidRPr="00B84F7C">
        <w:t xml:space="preserve">ualora il possesso del requisito di cui all’art. 7.1 </w:t>
      </w:r>
      <w:proofErr w:type="spellStart"/>
      <w:r w:rsidR="007C0A1F" w:rsidRPr="00B84F7C">
        <w:t>lett</w:t>
      </w:r>
      <w:proofErr w:type="spellEnd"/>
      <w:r w:rsidR="007C0A1F" w:rsidRPr="00B84F7C">
        <w:t xml:space="preserve">. b) del disciplinare di gara debba essere attestato da una pubblica amministrazione, all’acquisizione dell’idonea documentazione provvederà questa stazione appaltante, </w:t>
      </w:r>
      <w:r w:rsidR="007C0A1F" w:rsidRPr="00375AE4">
        <w:rPr>
          <w:rFonts w:ascii="Tahoma" w:eastAsia="Times New Roman" w:hAnsi="Tahoma" w:cs="Tahoma"/>
          <w:iCs/>
          <w:color w:val="000000"/>
          <w:sz w:val="20"/>
          <w:szCs w:val="20"/>
          <w:lang w:eastAsia="it-IT"/>
        </w:rPr>
        <w:t>previa indicazione, da parte dell'interessato, degli elementi indispensabili per il reperimento delle in</w:t>
      </w:r>
      <w:r w:rsidR="007C0A1F" w:rsidRPr="00B84F7C">
        <w:rPr>
          <w:rFonts w:ascii="Tahoma" w:eastAsia="Times New Roman" w:hAnsi="Tahoma" w:cs="Tahoma"/>
          <w:iCs/>
          <w:color w:val="000000"/>
          <w:sz w:val="20"/>
          <w:szCs w:val="20"/>
          <w:lang w:eastAsia="it-IT"/>
        </w:rPr>
        <w:t>formazioni o dei dati richiesti</w:t>
      </w:r>
      <w:r w:rsidR="007C0A1F" w:rsidRPr="00B84F7C">
        <w:t xml:space="preserve">. In caso contrario è onere dell’operatore economico, inserire nel sistema </w:t>
      </w:r>
      <w:proofErr w:type="spellStart"/>
      <w:r w:rsidR="007C0A1F" w:rsidRPr="00B84F7C">
        <w:t>AVCpass</w:t>
      </w:r>
      <w:proofErr w:type="spellEnd"/>
      <w:r w:rsidR="007C0A1F" w:rsidRPr="00B84F7C">
        <w:t xml:space="preserve"> la documentazione richiesta</w:t>
      </w:r>
      <w:r w:rsidRPr="00B84F7C">
        <w:t>.</w:t>
      </w:r>
    </w:p>
    <w:p w:rsidR="00B84F7C" w:rsidRPr="007C0A1F" w:rsidRDefault="00B84F7C" w:rsidP="00B84F7C">
      <w:pPr>
        <w:pStyle w:val="Paragrafoelenco"/>
        <w:spacing w:after="0" w:line="240" w:lineRule="auto"/>
        <w:ind w:left="708"/>
        <w:jc w:val="both"/>
        <w:rPr>
          <w:b/>
        </w:rPr>
      </w:pPr>
    </w:p>
    <w:p w:rsidR="00576C98" w:rsidRDefault="00576C98" w:rsidP="007C0A1F">
      <w:pPr>
        <w:pStyle w:val="Paragrafoelenco"/>
        <w:numPr>
          <w:ilvl w:val="0"/>
          <w:numId w:val="43"/>
        </w:numPr>
        <w:spacing w:after="0" w:line="240" w:lineRule="auto"/>
        <w:ind w:hanging="720"/>
        <w:jc w:val="both"/>
        <w:rPr>
          <w:rFonts w:asciiTheme="minorHAnsi" w:hAnsiTheme="minorHAnsi"/>
          <w:color w:val="000000"/>
        </w:rPr>
      </w:pPr>
      <w:r>
        <w:rPr>
          <w:rFonts w:asciiTheme="minorHAnsi" w:hAnsiTheme="minorHAnsi"/>
          <w:color w:val="000000"/>
        </w:rPr>
        <w:t>I</w:t>
      </w:r>
      <w:r w:rsidR="00861C61">
        <w:rPr>
          <w:rFonts w:asciiTheme="minorHAnsi" w:hAnsiTheme="minorHAnsi"/>
          <w:color w:val="000000"/>
        </w:rPr>
        <w:t>l</w:t>
      </w:r>
      <w:r>
        <w:rPr>
          <w:rFonts w:asciiTheme="minorHAnsi" w:hAnsiTheme="minorHAnsi"/>
          <w:color w:val="000000"/>
        </w:rPr>
        <w:t xml:space="preserve"> requisit</w:t>
      </w:r>
      <w:r w:rsidR="00861C61">
        <w:rPr>
          <w:rFonts w:asciiTheme="minorHAnsi" w:hAnsiTheme="minorHAnsi"/>
          <w:color w:val="000000"/>
        </w:rPr>
        <w:t xml:space="preserve">o di cui all’art. 7.2 del disciplinare di gara attiene ad un requisito di capacità tecnica e professionale e non di </w:t>
      </w:r>
      <w:r>
        <w:rPr>
          <w:rFonts w:asciiTheme="minorHAnsi" w:hAnsiTheme="minorHAnsi"/>
          <w:color w:val="000000"/>
        </w:rPr>
        <w:t>capacità economica e finanziaria</w:t>
      </w:r>
      <w:r w:rsidR="00861C61">
        <w:rPr>
          <w:rFonts w:asciiTheme="minorHAnsi" w:hAnsiTheme="minorHAnsi"/>
          <w:color w:val="000000"/>
        </w:rPr>
        <w:t>, pertanto, l’esperienza deve essere dimostrata negli ultimi tre anni antecedenti la data di pubblicazione del bando. Il bando è stato pubblicato sulla GUCE il 24.05.2018.</w:t>
      </w:r>
    </w:p>
    <w:p w:rsidR="004C03AB" w:rsidRDefault="004C03AB" w:rsidP="004C03AB">
      <w:pPr>
        <w:pStyle w:val="NormaleWeb"/>
        <w:spacing w:before="0" w:beforeAutospacing="0" w:after="0" w:afterAutospacing="0"/>
        <w:ind w:left="502"/>
        <w:jc w:val="both"/>
        <w:rPr>
          <w:rFonts w:ascii="Calibri" w:hAnsi="Calibri" w:cs="Calibri"/>
          <w:sz w:val="22"/>
          <w:szCs w:val="22"/>
        </w:rPr>
      </w:pPr>
    </w:p>
    <w:p w:rsidR="004C03AB" w:rsidRDefault="004C03AB" w:rsidP="007C0A1F">
      <w:pPr>
        <w:pStyle w:val="Paragrafoelenco"/>
        <w:numPr>
          <w:ilvl w:val="0"/>
          <w:numId w:val="43"/>
        </w:numPr>
        <w:spacing w:after="0" w:line="240" w:lineRule="auto"/>
        <w:ind w:hanging="720"/>
        <w:jc w:val="both"/>
        <w:rPr>
          <w:rFonts w:eastAsia="Times New Roman"/>
        </w:rPr>
      </w:pPr>
      <w:r>
        <w:rPr>
          <w:rFonts w:eastAsia="Times New Roman"/>
        </w:rPr>
        <w:t xml:space="preserve"> Si</w:t>
      </w:r>
    </w:p>
    <w:p w:rsidR="004C03AB" w:rsidRPr="00A25207" w:rsidRDefault="004C03AB" w:rsidP="00A25207">
      <w:pPr>
        <w:pStyle w:val="Paragrafoelenco"/>
        <w:spacing w:after="0" w:line="240" w:lineRule="auto"/>
        <w:jc w:val="both"/>
        <w:rPr>
          <w:rFonts w:eastAsia="Times New Roman"/>
        </w:rPr>
      </w:pPr>
    </w:p>
    <w:p w:rsidR="004C03AB" w:rsidRDefault="004C03AB" w:rsidP="007C0A1F">
      <w:pPr>
        <w:pStyle w:val="Paragrafoelenco"/>
        <w:numPr>
          <w:ilvl w:val="0"/>
          <w:numId w:val="43"/>
        </w:numPr>
        <w:spacing w:after="0" w:line="240" w:lineRule="auto"/>
        <w:ind w:hanging="720"/>
        <w:jc w:val="both"/>
        <w:rPr>
          <w:rFonts w:eastAsia="Times New Roman"/>
        </w:rPr>
      </w:pPr>
      <w:bookmarkStart w:id="1" w:name="_Hlk517264134"/>
      <w:r>
        <w:rPr>
          <w:rFonts w:eastAsia="Times New Roman"/>
        </w:rPr>
        <w:t>S</w:t>
      </w:r>
      <w:bookmarkEnd w:id="1"/>
      <w:r>
        <w:rPr>
          <w:rFonts w:eastAsia="Times New Roman"/>
        </w:rPr>
        <w:t>i</w:t>
      </w:r>
    </w:p>
    <w:p w:rsidR="004C03AB" w:rsidRPr="004C03AB" w:rsidRDefault="004C03AB" w:rsidP="007C0A1F">
      <w:pPr>
        <w:pStyle w:val="Paragrafoelenco"/>
        <w:numPr>
          <w:ilvl w:val="0"/>
          <w:numId w:val="43"/>
        </w:numPr>
        <w:spacing w:after="0" w:line="240" w:lineRule="auto"/>
        <w:ind w:hanging="720"/>
        <w:jc w:val="both"/>
        <w:rPr>
          <w:rFonts w:eastAsia="Times New Roman"/>
        </w:rPr>
      </w:pPr>
    </w:p>
    <w:p w:rsidR="004C03AB" w:rsidRPr="004C03AB" w:rsidRDefault="004C03AB" w:rsidP="00A25207">
      <w:pPr>
        <w:numPr>
          <w:ilvl w:val="0"/>
          <w:numId w:val="30"/>
        </w:numPr>
        <w:spacing w:after="0" w:line="240" w:lineRule="auto"/>
        <w:jc w:val="both"/>
        <w:rPr>
          <w:rFonts w:eastAsia="Times New Roman"/>
        </w:rPr>
      </w:pPr>
      <w:r w:rsidRPr="004C03AB">
        <w:rPr>
          <w:rFonts w:eastAsia="Times New Roman"/>
          <w:sz w:val="24"/>
          <w:szCs w:val="24"/>
        </w:rPr>
        <w:t>Si</w:t>
      </w:r>
    </w:p>
    <w:p w:rsidR="004C03AB" w:rsidRPr="004C03AB" w:rsidRDefault="004C03AB" w:rsidP="004C03AB">
      <w:pPr>
        <w:numPr>
          <w:ilvl w:val="0"/>
          <w:numId w:val="30"/>
        </w:numPr>
        <w:spacing w:after="0" w:line="240" w:lineRule="auto"/>
        <w:jc w:val="both"/>
        <w:rPr>
          <w:rFonts w:eastAsia="Times New Roman"/>
        </w:rPr>
      </w:pPr>
      <w:bookmarkStart w:id="2" w:name="_Hlk517096303"/>
      <w:r w:rsidRPr="004C03AB">
        <w:rPr>
          <w:rFonts w:eastAsia="Times New Roman"/>
          <w:sz w:val="24"/>
          <w:szCs w:val="24"/>
        </w:rPr>
        <w:t>Si</w:t>
      </w:r>
    </w:p>
    <w:bookmarkEnd w:id="2"/>
    <w:p w:rsidR="004C03AB" w:rsidRDefault="004C03AB" w:rsidP="004C03AB">
      <w:pPr>
        <w:numPr>
          <w:ilvl w:val="0"/>
          <w:numId w:val="30"/>
        </w:numPr>
        <w:spacing w:after="0" w:line="240" w:lineRule="auto"/>
        <w:jc w:val="both"/>
        <w:rPr>
          <w:rFonts w:eastAsia="Times New Roman"/>
        </w:rPr>
      </w:pPr>
      <w:r>
        <w:rPr>
          <w:rFonts w:eastAsia="Times New Roman"/>
        </w:rPr>
        <w:t>No non è previsto</w:t>
      </w:r>
    </w:p>
    <w:p w:rsidR="004C03AB" w:rsidRDefault="004C03AB" w:rsidP="004C03AB">
      <w:pPr>
        <w:pStyle w:val="NormaleWeb"/>
        <w:spacing w:before="0" w:beforeAutospacing="0" w:after="0" w:afterAutospacing="0"/>
        <w:jc w:val="both"/>
        <w:rPr>
          <w:rFonts w:ascii="Calibri" w:eastAsia="Times New Roman" w:hAnsi="Calibri" w:cs="Calibri"/>
        </w:rPr>
      </w:pPr>
      <w:r>
        <w:rPr>
          <w:rFonts w:ascii="Calibri" w:eastAsia="Times New Roman" w:hAnsi="Calibri" w:cs="Calibri"/>
          <w:sz w:val="22"/>
          <w:szCs w:val="22"/>
          <w:lang w:eastAsia="en-US"/>
        </w:rPr>
        <w:t> L’elenco degli enti, agenzie, organismi strumentali ed istituti dipendenti dalla</w:t>
      </w:r>
      <w:r>
        <w:rPr>
          <w:rFonts w:ascii="Calibri" w:eastAsia="Times New Roman" w:hAnsi="Calibri" w:cs="Calibri"/>
        </w:rPr>
        <w:t xml:space="preserve"> Regione costituiti alla data odierna è il seguente: </w:t>
      </w:r>
    </w:p>
    <w:p w:rsidR="004C03AB" w:rsidRDefault="004C03AB" w:rsidP="004C03AB">
      <w:pPr>
        <w:ind w:left="720"/>
        <w:contextualSpacing/>
        <w:rPr>
          <w:rFonts w:ascii="Calibri" w:eastAsia="Times New Roman" w:hAnsi="Calibri" w:cs="Calibri"/>
          <w:sz w:val="24"/>
          <w:szCs w:val="24"/>
          <w:lang w:eastAsia="it-IT"/>
        </w:rPr>
      </w:pPr>
      <w:r>
        <w:rPr>
          <w:rFonts w:eastAsia="Times New Roman"/>
          <w:sz w:val="24"/>
          <w:szCs w:val="24"/>
          <w:lang w:eastAsia="it-IT"/>
        </w:rPr>
        <w:t>ADISU - Agenzia per il diritto allo studio universitario dell'Umbria</w:t>
      </w:r>
    </w:p>
    <w:p w:rsidR="004C03AB" w:rsidRDefault="004C03AB" w:rsidP="004C03AB">
      <w:pPr>
        <w:ind w:left="720"/>
        <w:contextualSpacing/>
        <w:rPr>
          <w:rFonts w:eastAsia="Times New Roman"/>
          <w:sz w:val="24"/>
          <w:szCs w:val="24"/>
          <w:lang w:eastAsia="it-IT"/>
        </w:rPr>
      </w:pPr>
      <w:r>
        <w:rPr>
          <w:rFonts w:eastAsia="Times New Roman"/>
          <w:sz w:val="24"/>
          <w:szCs w:val="24"/>
          <w:lang w:eastAsia="it-IT"/>
        </w:rPr>
        <w:t>AFOR - Agenzia Forestale regionale</w:t>
      </w:r>
    </w:p>
    <w:p w:rsidR="004C03AB" w:rsidRDefault="004C03AB" w:rsidP="004C03AB">
      <w:pPr>
        <w:ind w:left="720"/>
        <w:contextualSpacing/>
        <w:rPr>
          <w:rFonts w:eastAsia="Times New Roman"/>
          <w:sz w:val="24"/>
          <w:szCs w:val="24"/>
          <w:lang w:eastAsia="it-IT"/>
        </w:rPr>
      </w:pPr>
      <w:r>
        <w:rPr>
          <w:rFonts w:eastAsia="Times New Roman"/>
          <w:sz w:val="24"/>
          <w:szCs w:val="24"/>
          <w:lang w:eastAsia="it-IT"/>
        </w:rPr>
        <w:t>ARPA Umbria – Agenzia regionale per la protezione ambientale</w:t>
      </w:r>
    </w:p>
    <w:p w:rsidR="004C03AB" w:rsidRDefault="004C03AB" w:rsidP="004C03AB">
      <w:pPr>
        <w:ind w:left="720"/>
        <w:contextualSpacing/>
        <w:rPr>
          <w:rFonts w:eastAsia="Times New Roman"/>
          <w:sz w:val="24"/>
          <w:szCs w:val="24"/>
          <w:lang w:eastAsia="it-IT"/>
        </w:rPr>
      </w:pPr>
      <w:r>
        <w:rPr>
          <w:rFonts w:eastAsia="Times New Roman"/>
          <w:sz w:val="24"/>
          <w:szCs w:val="24"/>
          <w:lang w:eastAsia="it-IT"/>
        </w:rPr>
        <w:t>ATER- Azienda territoriale per l’edilizia residenziale della Regione Umbria</w:t>
      </w:r>
    </w:p>
    <w:p w:rsidR="004C03AB" w:rsidRDefault="004C03AB" w:rsidP="004C03AB">
      <w:pPr>
        <w:ind w:left="720"/>
        <w:contextualSpacing/>
        <w:rPr>
          <w:rFonts w:eastAsia="Times New Roman"/>
          <w:sz w:val="24"/>
          <w:szCs w:val="24"/>
          <w:lang w:eastAsia="it-IT"/>
        </w:rPr>
      </w:pPr>
      <w:r>
        <w:rPr>
          <w:rFonts w:eastAsia="Times New Roman"/>
          <w:sz w:val="24"/>
          <w:szCs w:val="24"/>
          <w:lang w:eastAsia="it-IT"/>
        </w:rPr>
        <w:t>AUR – AGENZIA UMBRIA RICERCHE</w:t>
      </w:r>
    </w:p>
    <w:p w:rsidR="004C03AB" w:rsidRDefault="004C03AB" w:rsidP="004C03AB">
      <w:pPr>
        <w:spacing w:after="0" w:line="240" w:lineRule="auto"/>
        <w:ind w:left="720"/>
        <w:contextualSpacing/>
        <w:rPr>
          <w:rFonts w:eastAsia="Times New Roman"/>
          <w:sz w:val="24"/>
          <w:szCs w:val="24"/>
          <w:lang w:eastAsia="it-IT"/>
        </w:rPr>
      </w:pPr>
      <w:r>
        <w:rPr>
          <w:rFonts w:eastAsia="Times New Roman"/>
          <w:sz w:val="24"/>
          <w:szCs w:val="24"/>
          <w:lang w:eastAsia="it-IT"/>
        </w:rPr>
        <w:t xml:space="preserve">CEDRAV- Centro per la documentazione e la ricerca antropologica in </w:t>
      </w:r>
      <w:proofErr w:type="spellStart"/>
      <w:r>
        <w:rPr>
          <w:rFonts w:eastAsia="Times New Roman"/>
          <w:sz w:val="24"/>
          <w:szCs w:val="24"/>
          <w:lang w:eastAsia="it-IT"/>
        </w:rPr>
        <w:t>Valnerina</w:t>
      </w:r>
      <w:proofErr w:type="spellEnd"/>
      <w:r>
        <w:rPr>
          <w:rFonts w:eastAsia="Times New Roman"/>
          <w:sz w:val="24"/>
          <w:szCs w:val="24"/>
          <w:lang w:eastAsia="it-IT"/>
        </w:rPr>
        <w:t xml:space="preserve"> e nella dorsale Appenninica Umbra</w:t>
      </w:r>
    </w:p>
    <w:p w:rsidR="004C03AB" w:rsidRDefault="004C03AB" w:rsidP="004C03AB">
      <w:pPr>
        <w:spacing w:after="0" w:line="240" w:lineRule="auto"/>
        <w:ind w:left="720"/>
        <w:contextualSpacing/>
        <w:rPr>
          <w:rFonts w:eastAsia="Times New Roman"/>
          <w:sz w:val="24"/>
          <w:szCs w:val="24"/>
          <w:lang w:eastAsia="it-IT"/>
        </w:rPr>
      </w:pPr>
      <w:r>
        <w:rPr>
          <w:rFonts w:eastAsia="Times New Roman"/>
          <w:sz w:val="24"/>
          <w:szCs w:val="24"/>
          <w:lang w:eastAsia="it-IT"/>
        </w:rPr>
        <w:t>CSGP - Centro Studi Giuridici e Politici</w:t>
      </w:r>
    </w:p>
    <w:p w:rsidR="004C03AB" w:rsidRDefault="004C03AB" w:rsidP="004C03AB">
      <w:pPr>
        <w:spacing w:after="0" w:line="240" w:lineRule="auto"/>
        <w:ind w:left="720"/>
        <w:contextualSpacing/>
        <w:rPr>
          <w:rFonts w:eastAsia="Times New Roman"/>
          <w:sz w:val="24"/>
          <w:szCs w:val="24"/>
          <w:lang w:eastAsia="it-IT"/>
        </w:rPr>
      </w:pPr>
      <w:r>
        <w:rPr>
          <w:rFonts w:eastAsia="Times New Roman"/>
          <w:sz w:val="24"/>
          <w:szCs w:val="24"/>
          <w:lang w:eastAsia="it-IT"/>
        </w:rPr>
        <w:t>CPO - Centro per le pari opportunità</w:t>
      </w:r>
    </w:p>
    <w:p w:rsidR="004C03AB" w:rsidRDefault="004C03AB" w:rsidP="004C03AB">
      <w:pPr>
        <w:spacing w:after="0" w:line="240" w:lineRule="auto"/>
        <w:ind w:left="720"/>
        <w:contextualSpacing/>
        <w:rPr>
          <w:rFonts w:eastAsia="Times New Roman"/>
          <w:sz w:val="24"/>
          <w:szCs w:val="24"/>
          <w:lang w:eastAsia="it-IT"/>
        </w:rPr>
      </w:pPr>
      <w:r>
        <w:rPr>
          <w:rFonts w:eastAsia="Times New Roman"/>
          <w:sz w:val="24"/>
          <w:szCs w:val="24"/>
          <w:lang w:eastAsia="it-IT"/>
        </w:rPr>
        <w:t>Consorzio Scuola Umbra di Amministrazione Pubblica (Villa Umbra)</w:t>
      </w:r>
    </w:p>
    <w:p w:rsidR="004C03AB" w:rsidRDefault="004C03AB" w:rsidP="004C03AB">
      <w:pPr>
        <w:pStyle w:val="NormaleWeb"/>
        <w:spacing w:before="0" w:beforeAutospacing="0" w:after="0" w:afterAutospacing="0"/>
        <w:ind w:firstLine="709"/>
        <w:jc w:val="both"/>
        <w:rPr>
          <w:rFonts w:ascii="Calibri" w:eastAsia="Times New Roman" w:hAnsi="Calibri" w:cs="Calibri"/>
        </w:rPr>
      </w:pPr>
      <w:r>
        <w:rPr>
          <w:rFonts w:ascii="Calibri" w:eastAsia="Times New Roman" w:hAnsi="Calibri" w:cs="Calibri"/>
        </w:rPr>
        <w:t>ISUC – Istituto per la Storia dell’Umbria Contemporanea</w:t>
      </w:r>
    </w:p>
    <w:p w:rsidR="004C03AB" w:rsidRDefault="004C03AB" w:rsidP="004C03AB">
      <w:pPr>
        <w:pStyle w:val="NormaleWeb"/>
        <w:spacing w:before="0" w:beforeAutospacing="0" w:after="0" w:afterAutospacing="0"/>
        <w:ind w:firstLine="709"/>
        <w:jc w:val="both"/>
        <w:rPr>
          <w:rFonts w:ascii="Calibri" w:eastAsia="Times New Roman" w:hAnsi="Calibri" w:cs="Calibri"/>
        </w:rPr>
      </w:pPr>
      <w:r>
        <w:rPr>
          <w:rFonts w:ascii="Calibri" w:eastAsia="Times New Roman" w:hAnsi="Calibri" w:cs="Calibri"/>
        </w:rPr>
        <w:t>ARPAL (di nuova istituzione)</w:t>
      </w:r>
    </w:p>
    <w:p w:rsidR="004C03AB" w:rsidRDefault="004C03AB" w:rsidP="004C03AB">
      <w:pPr>
        <w:pStyle w:val="NormaleWeb"/>
        <w:spacing w:before="0" w:beforeAutospacing="0" w:after="0" w:afterAutospacing="0"/>
        <w:ind w:firstLine="709"/>
        <w:jc w:val="both"/>
        <w:rPr>
          <w:rFonts w:ascii="Calibri" w:eastAsia="Times New Roman" w:hAnsi="Calibri" w:cs="Calibri"/>
        </w:rPr>
      </w:pPr>
    </w:p>
    <w:p w:rsidR="004C03AB" w:rsidRDefault="004C03AB" w:rsidP="007C0A1F">
      <w:pPr>
        <w:pStyle w:val="Paragrafoelenco"/>
        <w:numPr>
          <w:ilvl w:val="0"/>
          <w:numId w:val="43"/>
        </w:numPr>
        <w:spacing w:after="0" w:line="240" w:lineRule="auto"/>
        <w:ind w:hanging="720"/>
        <w:jc w:val="both"/>
        <w:rPr>
          <w:rFonts w:eastAsia="Times New Roman"/>
        </w:rPr>
      </w:pPr>
    </w:p>
    <w:p w:rsidR="004C03AB" w:rsidRPr="00A25207" w:rsidRDefault="004C03AB" w:rsidP="00A25207">
      <w:pPr>
        <w:numPr>
          <w:ilvl w:val="0"/>
          <w:numId w:val="41"/>
        </w:numPr>
        <w:spacing w:after="0" w:line="240" w:lineRule="auto"/>
        <w:jc w:val="both"/>
        <w:rPr>
          <w:rFonts w:eastAsia="Times New Roman"/>
          <w:sz w:val="24"/>
          <w:szCs w:val="24"/>
        </w:rPr>
      </w:pPr>
      <w:proofErr w:type="spellStart"/>
      <w:r w:rsidRPr="00A25207">
        <w:rPr>
          <w:rFonts w:eastAsia="Times New Roman"/>
          <w:sz w:val="24"/>
          <w:szCs w:val="24"/>
        </w:rPr>
        <w:t>l</w:t>
      </w:r>
      <w:r w:rsidR="00A25207" w:rsidRPr="00A25207">
        <w:rPr>
          <w:rFonts w:eastAsia="Times New Roman"/>
          <w:sz w:val="24"/>
          <w:szCs w:val="24"/>
        </w:rPr>
        <w:t>l</w:t>
      </w:r>
      <w:proofErr w:type="spellEnd"/>
      <w:r w:rsidRPr="00A25207">
        <w:rPr>
          <w:rFonts w:eastAsia="Times New Roman"/>
          <w:sz w:val="24"/>
          <w:szCs w:val="24"/>
        </w:rPr>
        <w:t xml:space="preserve"> rilascio di fidejussioni è da intendersi incluso nel limite dell’anticipazione</w:t>
      </w:r>
    </w:p>
    <w:p w:rsidR="004C03AB" w:rsidRPr="00A25207" w:rsidRDefault="004C03AB" w:rsidP="00A25207">
      <w:pPr>
        <w:numPr>
          <w:ilvl w:val="0"/>
          <w:numId w:val="41"/>
        </w:numPr>
        <w:spacing w:after="0" w:line="240" w:lineRule="auto"/>
        <w:jc w:val="both"/>
        <w:rPr>
          <w:rFonts w:eastAsia="Times New Roman"/>
          <w:sz w:val="24"/>
          <w:szCs w:val="24"/>
        </w:rPr>
      </w:pPr>
      <w:r>
        <w:rPr>
          <w:rFonts w:eastAsia="Times New Roman"/>
          <w:sz w:val="24"/>
          <w:szCs w:val="24"/>
        </w:rPr>
        <w:t>S</w:t>
      </w:r>
      <w:r w:rsidR="008F33CB">
        <w:rPr>
          <w:rFonts w:eastAsia="Times New Roman"/>
          <w:sz w:val="24"/>
          <w:szCs w:val="24"/>
        </w:rPr>
        <w:t>i</w:t>
      </w:r>
    </w:p>
    <w:p w:rsidR="004C03AB" w:rsidRDefault="004C03AB" w:rsidP="004C03AB">
      <w:pPr>
        <w:jc w:val="both"/>
        <w:rPr>
          <w:rFonts w:eastAsia="Times New Roman"/>
        </w:rPr>
      </w:pPr>
      <w:r>
        <w:rPr>
          <w:rFonts w:eastAsia="Times New Roman"/>
        </w:rPr>
        <w:t> </w:t>
      </w:r>
    </w:p>
    <w:p w:rsidR="004C03AB" w:rsidRDefault="004C03AB" w:rsidP="007C0A1F">
      <w:pPr>
        <w:pStyle w:val="Paragrafoelenco"/>
        <w:numPr>
          <w:ilvl w:val="0"/>
          <w:numId w:val="43"/>
        </w:numPr>
        <w:spacing w:after="0" w:line="240" w:lineRule="auto"/>
        <w:ind w:hanging="720"/>
        <w:jc w:val="both"/>
        <w:rPr>
          <w:rFonts w:eastAsia="Times New Roman"/>
        </w:rPr>
      </w:pPr>
      <w:r>
        <w:rPr>
          <w:rFonts w:eastAsia="Times New Roman"/>
        </w:rPr>
        <w:t>N</w:t>
      </w:r>
      <w:r w:rsidR="008F33CB">
        <w:rPr>
          <w:rFonts w:eastAsia="Times New Roman"/>
        </w:rPr>
        <w:t>o</w:t>
      </w:r>
      <w:r>
        <w:rPr>
          <w:rFonts w:eastAsia="Times New Roman"/>
        </w:rPr>
        <w:t xml:space="preserve"> -  non sarà tenuto a corrispondere l’eventuale indennità di mora</w:t>
      </w:r>
    </w:p>
    <w:p w:rsidR="00A25207" w:rsidRDefault="00A25207" w:rsidP="00A25207">
      <w:pPr>
        <w:pStyle w:val="Paragrafoelenco"/>
        <w:spacing w:after="0" w:line="240" w:lineRule="auto"/>
        <w:jc w:val="both"/>
        <w:rPr>
          <w:rFonts w:eastAsia="Times New Roman"/>
        </w:rPr>
      </w:pPr>
    </w:p>
    <w:p w:rsidR="008F33CB" w:rsidRDefault="008F33CB" w:rsidP="007C0A1F">
      <w:pPr>
        <w:pStyle w:val="Paragrafoelenco"/>
        <w:numPr>
          <w:ilvl w:val="0"/>
          <w:numId w:val="43"/>
        </w:numPr>
        <w:spacing w:after="0" w:line="240" w:lineRule="auto"/>
        <w:ind w:hanging="720"/>
        <w:jc w:val="both"/>
        <w:rPr>
          <w:rFonts w:eastAsia="Times New Roman"/>
        </w:rPr>
      </w:pPr>
    </w:p>
    <w:p w:rsidR="004C03AB" w:rsidRDefault="004C03AB" w:rsidP="008F33CB">
      <w:pPr>
        <w:numPr>
          <w:ilvl w:val="0"/>
          <w:numId w:val="37"/>
        </w:numPr>
        <w:spacing w:after="0" w:line="240" w:lineRule="auto"/>
        <w:jc w:val="both"/>
        <w:rPr>
          <w:rFonts w:eastAsia="Times New Roman"/>
        </w:rPr>
      </w:pPr>
      <w:bookmarkStart w:id="3" w:name="_Hlk517264738"/>
      <w:r>
        <w:rPr>
          <w:rFonts w:eastAsia="Times New Roman"/>
          <w:sz w:val="24"/>
          <w:szCs w:val="24"/>
        </w:rPr>
        <w:t>S</w:t>
      </w:r>
      <w:bookmarkEnd w:id="3"/>
      <w:r w:rsidR="008F33CB">
        <w:rPr>
          <w:rFonts w:eastAsia="Times New Roman"/>
          <w:sz w:val="24"/>
          <w:szCs w:val="24"/>
        </w:rPr>
        <w:t>i</w:t>
      </w:r>
    </w:p>
    <w:p w:rsidR="004C03AB" w:rsidRDefault="004C03AB" w:rsidP="008F33CB">
      <w:pPr>
        <w:numPr>
          <w:ilvl w:val="0"/>
          <w:numId w:val="37"/>
        </w:numPr>
        <w:spacing w:after="0" w:line="240" w:lineRule="auto"/>
        <w:jc w:val="both"/>
        <w:rPr>
          <w:rFonts w:eastAsia="Times New Roman"/>
        </w:rPr>
      </w:pPr>
      <w:bookmarkStart w:id="4" w:name="_Hlk517264768"/>
      <w:r>
        <w:rPr>
          <w:rFonts w:eastAsia="Times New Roman"/>
          <w:sz w:val="24"/>
          <w:szCs w:val="24"/>
        </w:rPr>
        <w:t>S</w:t>
      </w:r>
      <w:bookmarkEnd w:id="4"/>
      <w:r w:rsidR="008F33CB">
        <w:rPr>
          <w:rFonts w:eastAsia="Times New Roman"/>
          <w:sz w:val="24"/>
          <w:szCs w:val="24"/>
        </w:rPr>
        <w:t>i</w:t>
      </w:r>
    </w:p>
    <w:p w:rsidR="004C03AB" w:rsidRDefault="004C03AB" w:rsidP="008F33CB">
      <w:pPr>
        <w:numPr>
          <w:ilvl w:val="0"/>
          <w:numId w:val="37"/>
        </w:numPr>
        <w:spacing w:after="0" w:line="240" w:lineRule="auto"/>
        <w:jc w:val="both"/>
        <w:rPr>
          <w:rFonts w:eastAsia="Times New Roman"/>
        </w:rPr>
      </w:pPr>
      <w:r>
        <w:rPr>
          <w:rFonts w:eastAsia="Times New Roman"/>
          <w:sz w:val="24"/>
          <w:szCs w:val="24"/>
        </w:rPr>
        <w:t>S</w:t>
      </w:r>
      <w:r w:rsidR="008F33CB">
        <w:rPr>
          <w:rFonts w:eastAsia="Times New Roman"/>
          <w:sz w:val="24"/>
          <w:szCs w:val="24"/>
        </w:rPr>
        <w:t>i</w:t>
      </w:r>
    </w:p>
    <w:p w:rsidR="004C03AB" w:rsidRDefault="004C03AB" w:rsidP="008F33CB">
      <w:pPr>
        <w:numPr>
          <w:ilvl w:val="0"/>
          <w:numId w:val="37"/>
        </w:numPr>
        <w:spacing w:after="0" w:line="240" w:lineRule="auto"/>
        <w:jc w:val="both"/>
        <w:rPr>
          <w:rFonts w:eastAsia="Times New Roman"/>
        </w:rPr>
      </w:pPr>
      <w:r>
        <w:rPr>
          <w:rFonts w:eastAsia="Times New Roman"/>
          <w:sz w:val="24"/>
          <w:szCs w:val="24"/>
        </w:rPr>
        <w:t>S</w:t>
      </w:r>
      <w:r w:rsidR="008F33CB">
        <w:rPr>
          <w:rFonts w:eastAsia="Times New Roman"/>
          <w:sz w:val="24"/>
          <w:szCs w:val="24"/>
        </w:rPr>
        <w:t>i</w:t>
      </w:r>
    </w:p>
    <w:p w:rsidR="004C03AB" w:rsidRPr="008F33CB" w:rsidRDefault="004C03AB" w:rsidP="008F33CB">
      <w:pPr>
        <w:numPr>
          <w:ilvl w:val="0"/>
          <w:numId w:val="37"/>
        </w:numPr>
        <w:spacing w:after="0" w:line="240" w:lineRule="auto"/>
        <w:jc w:val="both"/>
        <w:rPr>
          <w:rFonts w:eastAsia="Times New Roman"/>
        </w:rPr>
      </w:pPr>
      <w:r w:rsidRPr="008F33CB">
        <w:rPr>
          <w:rFonts w:eastAsia="Times New Roman"/>
        </w:rPr>
        <w:t>N</w:t>
      </w:r>
      <w:r w:rsidR="008F33CB">
        <w:rPr>
          <w:rFonts w:eastAsia="Times New Roman"/>
        </w:rPr>
        <w:t>o</w:t>
      </w:r>
    </w:p>
    <w:p w:rsidR="004C03AB" w:rsidRDefault="004C03AB" w:rsidP="004C03AB">
      <w:pPr>
        <w:jc w:val="both"/>
        <w:rPr>
          <w:rFonts w:eastAsia="Times New Roman"/>
        </w:rPr>
      </w:pPr>
      <w:r>
        <w:rPr>
          <w:rFonts w:eastAsia="Times New Roman"/>
        </w:rPr>
        <w:lastRenderedPageBreak/>
        <w:t> </w:t>
      </w:r>
    </w:p>
    <w:p w:rsidR="004C03AB" w:rsidRDefault="004C03AB" w:rsidP="007C0A1F">
      <w:pPr>
        <w:pStyle w:val="Paragrafoelenco"/>
        <w:numPr>
          <w:ilvl w:val="0"/>
          <w:numId w:val="43"/>
        </w:numPr>
        <w:spacing w:after="0" w:line="240" w:lineRule="auto"/>
        <w:ind w:hanging="720"/>
        <w:jc w:val="both"/>
        <w:rPr>
          <w:rFonts w:eastAsia="Times New Roman"/>
        </w:rPr>
      </w:pPr>
    </w:p>
    <w:p w:rsidR="004C03AB" w:rsidRPr="00CE1A12" w:rsidRDefault="004C03AB" w:rsidP="00CE1A12">
      <w:pPr>
        <w:numPr>
          <w:ilvl w:val="0"/>
          <w:numId w:val="38"/>
        </w:numPr>
        <w:spacing w:after="0" w:line="240" w:lineRule="auto"/>
        <w:jc w:val="both"/>
        <w:rPr>
          <w:rFonts w:eastAsia="Times New Roman"/>
          <w:sz w:val="24"/>
          <w:szCs w:val="24"/>
        </w:rPr>
      </w:pPr>
      <w:r>
        <w:rPr>
          <w:rFonts w:eastAsia="Times New Roman"/>
          <w:sz w:val="24"/>
          <w:szCs w:val="24"/>
        </w:rPr>
        <w:t>S</w:t>
      </w:r>
      <w:r w:rsidR="00CE1A12">
        <w:rPr>
          <w:rFonts w:eastAsia="Times New Roman"/>
          <w:sz w:val="24"/>
          <w:szCs w:val="24"/>
        </w:rPr>
        <w:t>i</w:t>
      </w:r>
    </w:p>
    <w:p w:rsidR="004C03AB" w:rsidRPr="00CE1A12" w:rsidRDefault="004C03AB" w:rsidP="00CE1A12">
      <w:pPr>
        <w:numPr>
          <w:ilvl w:val="0"/>
          <w:numId w:val="38"/>
        </w:numPr>
        <w:spacing w:after="0" w:line="240" w:lineRule="auto"/>
        <w:jc w:val="both"/>
        <w:rPr>
          <w:rFonts w:eastAsia="Times New Roman"/>
          <w:sz w:val="24"/>
          <w:szCs w:val="24"/>
        </w:rPr>
      </w:pPr>
      <w:r>
        <w:rPr>
          <w:rFonts w:eastAsia="Times New Roman"/>
          <w:sz w:val="24"/>
          <w:szCs w:val="24"/>
        </w:rPr>
        <w:t>S</w:t>
      </w:r>
      <w:r w:rsidR="00CE1A12">
        <w:rPr>
          <w:rFonts w:eastAsia="Times New Roman"/>
          <w:sz w:val="24"/>
          <w:szCs w:val="24"/>
        </w:rPr>
        <w:t>i</w:t>
      </w:r>
    </w:p>
    <w:p w:rsidR="004C03AB" w:rsidRPr="00CE1A12" w:rsidRDefault="004C03AB" w:rsidP="00CE1A12">
      <w:pPr>
        <w:numPr>
          <w:ilvl w:val="0"/>
          <w:numId w:val="38"/>
        </w:numPr>
        <w:spacing w:after="0" w:line="240" w:lineRule="auto"/>
        <w:jc w:val="both"/>
        <w:rPr>
          <w:rFonts w:eastAsia="Times New Roman"/>
          <w:sz w:val="24"/>
          <w:szCs w:val="24"/>
        </w:rPr>
      </w:pPr>
      <w:r>
        <w:rPr>
          <w:rFonts w:eastAsia="Times New Roman"/>
          <w:sz w:val="24"/>
          <w:szCs w:val="24"/>
        </w:rPr>
        <w:t>S</w:t>
      </w:r>
      <w:r w:rsidR="00CE1A12">
        <w:rPr>
          <w:rFonts w:eastAsia="Times New Roman"/>
          <w:sz w:val="24"/>
          <w:szCs w:val="24"/>
        </w:rPr>
        <w:t>i</w:t>
      </w:r>
    </w:p>
    <w:p w:rsidR="004C03AB" w:rsidRDefault="004C03AB" w:rsidP="00CE1A12">
      <w:pPr>
        <w:numPr>
          <w:ilvl w:val="0"/>
          <w:numId w:val="38"/>
        </w:numPr>
        <w:spacing w:after="0" w:line="240" w:lineRule="auto"/>
        <w:jc w:val="both"/>
        <w:rPr>
          <w:rFonts w:eastAsia="Times New Roman"/>
        </w:rPr>
      </w:pPr>
      <w:bookmarkStart w:id="5" w:name="_Hlk517264992"/>
      <w:r>
        <w:rPr>
          <w:rFonts w:eastAsia="Times New Roman"/>
          <w:sz w:val="24"/>
          <w:szCs w:val="24"/>
        </w:rPr>
        <w:t>S</w:t>
      </w:r>
      <w:bookmarkEnd w:id="5"/>
      <w:r w:rsidR="00CE1A12">
        <w:rPr>
          <w:rFonts w:eastAsia="Times New Roman"/>
          <w:sz w:val="24"/>
          <w:szCs w:val="24"/>
        </w:rPr>
        <w:t>i</w:t>
      </w:r>
    </w:p>
    <w:p w:rsidR="004C03AB" w:rsidRDefault="004C03AB" w:rsidP="004C03AB">
      <w:pPr>
        <w:pStyle w:val="Paragrafoelenco"/>
        <w:spacing w:after="0" w:line="240" w:lineRule="auto"/>
        <w:jc w:val="both"/>
        <w:rPr>
          <w:rFonts w:eastAsia="Times New Roman"/>
        </w:rPr>
      </w:pPr>
    </w:p>
    <w:p w:rsidR="004C03AB" w:rsidRDefault="004C03AB" w:rsidP="007C0A1F">
      <w:pPr>
        <w:pStyle w:val="Paragrafoelenco"/>
        <w:numPr>
          <w:ilvl w:val="0"/>
          <w:numId w:val="43"/>
        </w:numPr>
        <w:spacing w:after="0" w:line="240" w:lineRule="auto"/>
        <w:ind w:hanging="720"/>
        <w:jc w:val="both"/>
        <w:rPr>
          <w:rFonts w:eastAsia="Times New Roman"/>
        </w:rPr>
      </w:pPr>
    </w:p>
    <w:p w:rsidR="004C03AB" w:rsidRDefault="00C526D2" w:rsidP="004C03AB">
      <w:pPr>
        <w:jc w:val="both"/>
        <w:rPr>
          <w:rFonts w:eastAsia="Times New Roman"/>
        </w:rPr>
      </w:pPr>
      <w:r>
        <w:rPr>
          <w:rFonts w:eastAsia="Times New Roman"/>
        </w:rPr>
        <w:t>Si conferma quanto contenuto nella documentazione di gara</w:t>
      </w:r>
      <w:bookmarkStart w:id="6" w:name="_GoBack"/>
      <w:bookmarkEnd w:id="6"/>
      <w:r w:rsidR="004C03AB">
        <w:rPr>
          <w:rFonts w:eastAsia="Times New Roman"/>
        </w:rPr>
        <w:t>.</w:t>
      </w:r>
    </w:p>
    <w:p w:rsidR="004C03AB" w:rsidRDefault="004C03AB" w:rsidP="004C03AB">
      <w:pPr>
        <w:pStyle w:val="NormaleWeb"/>
        <w:spacing w:before="0" w:beforeAutospacing="0" w:after="0" w:afterAutospacing="0"/>
        <w:jc w:val="both"/>
        <w:rPr>
          <w:rFonts w:ascii="Calibri" w:eastAsia="Times New Roman" w:hAnsi="Calibri" w:cs="Calibri"/>
          <w:sz w:val="22"/>
          <w:szCs w:val="22"/>
          <w:lang w:eastAsia="en-US"/>
        </w:rPr>
      </w:pPr>
    </w:p>
    <w:p w:rsidR="004C03AB" w:rsidRPr="00FA0F10" w:rsidRDefault="004C03AB" w:rsidP="00FA0F10">
      <w:pPr>
        <w:jc w:val="both"/>
        <w:rPr>
          <w:rFonts w:ascii="Calibri" w:hAnsi="Calibri" w:cs="Calibri"/>
          <w:b/>
        </w:rPr>
      </w:pPr>
    </w:p>
    <w:p w:rsidR="00A33A34" w:rsidRPr="00FA0F10" w:rsidRDefault="00A33A34" w:rsidP="00FA0F10">
      <w:pPr>
        <w:jc w:val="both"/>
        <w:rPr>
          <w:rFonts w:ascii="Calibri" w:hAnsi="Calibri" w:cs="Calibri"/>
          <w:b/>
        </w:rPr>
      </w:pPr>
    </w:p>
    <w:p w:rsidR="00B00E02" w:rsidRPr="00FA0F10" w:rsidRDefault="00B00E02" w:rsidP="00FA0F10">
      <w:pPr>
        <w:pStyle w:val="NormaleWeb"/>
        <w:spacing w:before="0" w:beforeAutospacing="0" w:after="0" w:afterAutospacing="0"/>
        <w:jc w:val="both"/>
        <w:rPr>
          <w:rFonts w:ascii="Calibri" w:hAnsi="Calibri" w:cs="Calibri"/>
          <w:sz w:val="22"/>
          <w:szCs w:val="22"/>
        </w:rPr>
      </w:pPr>
      <w:r w:rsidRPr="00FA0F10">
        <w:rPr>
          <w:rFonts w:ascii="Calibri" w:hAnsi="Calibri" w:cs="Calibri"/>
          <w:sz w:val="22"/>
          <w:szCs w:val="22"/>
        </w:rPr>
        <w:t> </w:t>
      </w:r>
    </w:p>
    <w:sectPr w:rsidR="00B00E02" w:rsidRPr="00FA0F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F79"/>
    <w:multiLevelType w:val="hybridMultilevel"/>
    <w:tmpl w:val="6C3EE13E"/>
    <w:lvl w:ilvl="0" w:tplc="5C0A68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A6155"/>
    <w:multiLevelType w:val="hybridMultilevel"/>
    <w:tmpl w:val="8152BF7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AF635F8"/>
    <w:multiLevelType w:val="multilevel"/>
    <w:tmpl w:val="77CA1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D2875D0"/>
    <w:multiLevelType w:val="hybridMultilevel"/>
    <w:tmpl w:val="F6EC7A42"/>
    <w:lvl w:ilvl="0" w:tplc="A14443C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4815CB"/>
    <w:multiLevelType w:val="hybridMultilevel"/>
    <w:tmpl w:val="8730C174"/>
    <w:lvl w:ilvl="0" w:tplc="0410000F">
      <w:start w:val="5"/>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3CF1B32"/>
    <w:multiLevelType w:val="multilevel"/>
    <w:tmpl w:val="7D4400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A500A"/>
    <w:multiLevelType w:val="multilevel"/>
    <w:tmpl w:val="CDD61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80789"/>
    <w:multiLevelType w:val="multilevel"/>
    <w:tmpl w:val="6B40F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94EC9"/>
    <w:multiLevelType w:val="hybridMultilevel"/>
    <w:tmpl w:val="8D14A19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8F1CE9"/>
    <w:multiLevelType w:val="multilevel"/>
    <w:tmpl w:val="9820B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93648E"/>
    <w:multiLevelType w:val="multilevel"/>
    <w:tmpl w:val="DF7AEC6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1122F"/>
    <w:multiLevelType w:val="multilevel"/>
    <w:tmpl w:val="9DFE9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E03599"/>
    <w:multiLevelType w:val="multilevel"/>
    <w:tmpl w:val="1376E73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E2A47"/>
    <w:multiLevelType w:val="hybridMultilevel"/>
    <w:tmpl w:val="9A44BC82"/>
    <w:lvl w:ilvl="0" w:tplc="43626DCC">
      <w:start w:val="8"/>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2CE505BC"/>
    <w:multiLevelType w:val="hybridMultilevel"/>
    <w:tmpl w:val="AF60A5B4"/>
    <w:lvl w:ilvl="0" w:tplc="2DD0CC9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970795"/>
    <w:multiLevelType w:val="multilevel"/>
    <w:tmpl w:val="38E4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02657"/>
    <w:multiLevelType w:val="hybridMultilevel"/>
    <w:tmpl w:val="0AE42EF6"/>
    <w:lvl w:ilvl="0" w:tplc="0C0201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C72EB9"/>
    <w:multiLevelType w:val="hybridMultilevel"/>
    <w:tmpl w:val="73CCBEF0"/>
    <w:lvl w:ilvl="0" w:tplc="47EA298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F70F3E"/>
    <w:multiLevelType w:val="hybridMultilevel"/>
    <w:tmpl w:val="2D4E8B46"/>
    <w:lvl w:ilvl="0" w:tplc="0E48390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D16330E"/>
    <w:multiLevelType w:val="multilevel"/>
    <w:tmpl w:val="A07426F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639DC"/>
    <w:multiLevelType w:val="multilevel"/>
    <w:tmpl w:val="2F0AFE2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D53D5"/>
    <w:multiLevelType w:val="multilevel"/>
    <w:tmpl w:val="C7BC27B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76C0D"/>
    <w:multiLevelType w:val="hybridMultilevel"/>
    <w:tmpl w:val="206A0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DF0FE3"/>
    <w:multiLevelType w:val="hybridMultilevel"/>
    <w:tmpl w:val="320681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376470A"/>
    <w:multiLevelType w:val="multilevel"/>
    <w:tmpl w:val="269A4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C25C8"/>
    <w:multiLevelType w:val="multilevel"/>
    <w:tmpl w:val="F84049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07BE4"/>
    <w:multiLevelType w:val="multilevel"/>
    <w:tmpl w:val="8A961B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440087"/>
    <w:multiLevelType w:val="hybridMultilevel"/>
    <w:tmpl w:val="EEAE37B4"/>
    <w:lvl w:ilvl="0" w:tplc="7E343272">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3D2212"/>
    <w:multiLevelType w:val="hybridMultilevel"/>
    <w:tmpl w:val="68C241E4"/>
    <w:lvl w:ilvl="0" w:tplc="001EDF0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F07CB2"/>
    <w:multiLevelType w:val="multilevel"/>
    <w:tmpl w:val="FDA43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1833D5"/>
    <w:multiLevelType w:val="multilevel"/>
    <w:tmpl w:val="73DE716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13F6A"/>
    <w:multiLevelType w:val="hybridMultilevel"/>
    <w:tmpl w:val="16F8A56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6B001EAC"/>
    <w:multiLevelType w:val="hybridMultilevel"/>
    <w:tmpl w:val="C3AAE4BE"/>
    <w:lvl w:ilvl="0" w:tplc="43626DCC">
      <w:start w:val="8"/>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985D1B"/>
    <w:multiLevelType w:val="multilevel"/>
    <w:tmpl w:val="544C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EA18E9"/>
    <w:multiLevelType w:val="multilevel"/>
    <w:tmpl w:val="C6928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A5E46"/>
    <w:multiLevelType w:val="hybridMultilevel"/>
    <w:tmpl w:val="CCBE305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6"/>
  </w:num>
  <w:num w:numId="5">
    <w:abstractNumId w:val="12"/>
  </w:num>
  <w:num w:numId="6">
    <w:abstractNumId w:val="35"/>
  </w:num>
  <w:num w:numId="7">
    <w:abstractNumId w:val="27"/>
  </w:num>
  <w:num w:numId="8">
    <w:abstractNumId w:val="10"/>
  </w:num>
  <w:num w:numId="9">
    <w:abstractNumId w:val="7"/>
  </w:num>
  <w:num w:numId="10">
    <w:abstractNumId w:val="15"/>
  </w:num>
  <w:num w:numId="11">
    <w:abstractNumId w:val="11"/>
  </w:num>
  <w:num w:numId="12">
    <w:abstractNumId w:val="26"/>
  </w:num>
  <w:num w:numId="13">
    <w:abstractNumId w:val="19"/>
  </w:num>
  <w:num w:numId="14">
    <w:abstractNumId w:val="30"/>
  </w:num>
  <w:num w:numId="15">
    <w:abstractNumId w:val="2"/>
  </w:num>
  <w:num w:numId="16">
    <w:abstractNumId w:val="25"/>
  </w:num>
  <w:num w:numId="17">
    <w:abstractNumId w:val="24"/>
  </w:num>
  <w:num w:numId="18">
    <w:abstractNumId w:val="37"/>
  </w:num>
  <w:num w:numId="19">
    <w:abstractNumId w:val="32"/>
  </w:num>
  <w:num w:numId="20">
    <w:abstractNumId w:val="36"/>
  </w:num>
  <w:num w:numId="21">
    <w:abstractNumId w:val="8"/>
  </w:num>
  <w:num w:numId="22">
    <w:abstractNumId w:val="16"/>
  </w:num>
  <w:num w:numId="23">
    <w:abstractNumId w:val="23"/>
  </w:num>
  <w:num w:numId="2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6"/>
  </w:num>
  <w:num w:numId="29">
    <w:abstractNumId w:val="22"/>
  </w:num>
  <w:num w:numId="30">
    <w:abstractNumId w:val="31"/>
  </w:num>
  <w:num w:numId="31">
    <w:abstractNumId w:val="18"/>
  </w:num>
  <w:num w:numId="32">
    <w:abstractNumId w:val="14"/>
  </w:num>
  <w:num w:numId="33">
    <w:abstractNumId w:val="34"/>
  </w:num>
  <w:num w:numId="34">
    <w:abstractNumId w:val="13"/>
  </w:num>
  <w:num w:numId="35">
    <w:abstractNumId w:val="1"/>
  </w:num>
  <w:num w:numId="36">
    <w:abstractNumId w:val="20"/>
  </w:num>
  <w:num w:numId="37">
    <w:abstractNumId w:val="9"/>
  </w:num>
  <w:num w:numId="38">
    <w:abstractNumId w:val="28"/>
  </w:num>
  <w:num w:numId="39">
    <w:abstractNumId w:val="0"/>
  </w:num>
  <w:num w:numId="40">
    <w:abstractNumId w:val="29"/>
  </w:num>
  <w:num w:numId="41">
    <w:abstractNumId w:val="21"/>
  </w:num>
  <w:num w:numId="42">
    <w:abstractNumId w:val="4"/>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A39BD"/>
    <w:rsid w:val="001A1964"/>
    <w:rsid w:val="00231501"/>
    <w:rsid w:val="002A4E25"/>
    <w:rsid w:val="00375AE4"/>
    <w:rsid w:val="003B521E"/>
    <w:rsid w:val="004C03AB"/>
    <w:rsid w:val="00576C98"/>
    <w:rsid w:val="005843A9"/>
    <w:rsid w:val="005A7FFB"/>
    <w:rsid w:val="006155D6"/>
    <w:rsid w:val="00715554"/>
    <w:rsid w:val="0073574C"/>
    <w:rsid w:val="007C0A1F"/>
    <w:rsid w:val="00857A4F"/>
    <w:rsid w:val="00861C61"/>
    <w:rsid w:val="008C7A8A"/>
    <w:rsid w:val="008F33CB"/>
    <w:rsid w:val="00A25207"/>
    <w:rsid w:val="00A259ED"/>
    <w:rsid w:val="00A33A34"/>
    <w:rsid w:val="00A4350F"/>
    <w:rsid w:val="00A4509E"/>
    <w:rsid w:val="00AC0643"/>
    <w:rsid w:val="00B00E02"/>
    <w:rsid w:val="00B84F7C"/>
    <w:rsid w:val="00B8557E"/>
    <w:rsid w:val="00BF65C3"/>
    <w:rsid w:val="00C526D2"/>
    <w:rsid w:val="00C71BE2"/>
    <w:rsid w:val="00C83FB2"/>
    <w:rsid w:val="00CE1A12"/>
    <w:rsid w:val="00DB3DEB"/>
    <w:rsid w:val="00DC3028"/>
    <w:rsid w:val="00E702AF"/>
    <w:rsid w:val="00F2211D"/>
    <w:rsid w:val="00FA0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BCB6"/>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unhideWhenUsed/>
    <w:rsid w:val="00DB3DEB"/>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C03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03AB"/>
    <w:rPr>
      <w:rFonts w:ascii="Segoe UI" w:hAnsi="Segoe UI" w:cs="Segoe UI"/>
      <w:sz w:val="18"/>
      <w:szCs w:val="18"/>
    </w:rPr>
  </w:style>
  <w:style w:type="paragraph" w:customStyle="1" w:styleId="ox-dd3415b3a3-msonormal">
    <w:name w:val="ox-dd3415b3a3-msonormal"/>
    <w:basedOn w:val="Normale"/>
    <w:rsid w:val="00576C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75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4541">
      <w:bodyDiv w:val="1"/>
      <w:marLeft w:val="0"/>
      <w:marRight w:val="0"/>
      <w:marTop w:val="0"/>
      <w:marBottom w:val="0"/>
      <w:divBdr>
        <w:top w:val="none" w:sz="0" w:space="0" w:color="auto"/>
        <w:left w:val="none" w:sz="0" w:space="0" w:color="auto"/>
        <w:bottom w:val="none" w:sz="0" w:space="0" w:color="auto"/>
        <w:right w:val="none" w:sz="0" w:space="0" w:color="auto"/>
      </w:divBdr>
    </w:div>
    <w:div w:id="728773447">
      <w:bodyDiv w:val="1"/>
      <w:marLeft w:val="0"/>
      <w:marRight w:val="0"/>
      <w:marTop w:val="0"/>
      <w:marBottom w:val="0"/>
      <w:divBdr>
        <w:top w:val="none" w:sz="0" w:space="0" w:color="auto"/>
        <w:left w:val="none" w:sz="0" w:space="0" w:color="auto"/>
        <w:bottom w:val="none" w:sz="0" w:space="0" w:color="auto"/>
        <w:right w:val="none" w:sz="0" w:space="0" w:color="auto"/>
      </w:divBdr>
    </w:div>
    <w:div w:id="762342071">
      <w:bodyDiv w:val="1"/>
      <w:marLeft w:val="0"/>
      <w:marRight w:val="0"/>
      <w:marTop w:val="0"/>
      <w:marBottom w:val="0"/>
      <w:divBdr>
        <w:top w:val="none" w:sz="0" w:space="0" w:color="auto"/>
        <w:left w:val="none" w:sz="0" w:space="0" w:color="auto"/>
        <w:bottom w:val="none" w:sz="0" w:space="0" w:color="auto"/>
        <w:right w:val="none" w:sz="0" w:space="0" w:color="auto"/>
      </w:divBdr>
    </w:div>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37311644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670907585">
      <w:bodyDiv w:val="1"/>
      <w:marLeft w:val="0"/>
      <w:marRight w:val="0"/>
      <w:marTop w:val="0"/>
      <w:marBottom w:val="0"/>
      <w:divBdr>
        <w:top w:val="none" w:sz="0" w:space="0" w:color="auto"/>
        <w:left w:val="none" w:sz="0" w:space="0" w:color="auto"/>
        <w:bottom w:val="none" w:sz="0" w:space="0" w:color="auto"/>
        <w:right w:val="none" w:sz="0" w:space="0" w:color="auto"/>
      </w:divBdr>
    </w:div>
    <w:div w:id="1796943974">
      <w:bodyDiv w:val="1"/>
      <w:marLeft w:val="0"/>
      <w:marRight w:val="0"/>
      <w:marTop w:val="0"/>
      <w:marBottom w:val="0"/>
      <w:divBdr>
        <w:top w:val="none" w:sz="0" w:space="0" w:color="auto"/>
        <w:left w:val="none" w:sz="0" w:space="0" w:color="auto"/>
        <w:bottom w:val="none" w:sz="0" w:space="0" w:color="auto"/>
        <w:right w:val="none" w:sz="0" w:space="0" w:color="auto"/>
      </w:divBdr>
      <w:divsChild>
        <w:div w:id="1304891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2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388222">
      <w:bodyDiv w:val="1"/>
      <w:marLeft w:val="0"/>
      <w:marRight w:val="0"/>
      <w:marTop w:val="0"/>
      <w:marBottom w:val="0"/>
      <w:divBdr>
        <w:top w:val="none" w:sz="0" w:space="0" w:color="auto"/>
        <w:left w:val="none" w:sz="0" w:space="0" w:color="auto"/>
        <w:bottom w:val="none" w:sz="0" w:space="0" w:color="auto"/>
        <w:right w:val="none" w:sz="0" w:space="0" w:color="auto"/>
      </w:divBdr>
    </w:div>
    <w:div w:id="21242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settiegatti.eu/info/norme/statali/2000_0445.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1479</Words>
  <Characters>8436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12</cp:revision>
  <cp:lastPrinted>2018-06-21T07:46:00Z</cp:lastPrinted>
  <dcterms:created xsi:type="dcterms:W3CDTF">2018-06-18T09:27:00Z</dcterms:created>
  <dcterms:modified xsi:type="dcterms:W3CDTF">2018-06-22T07:52:00Z</dcterms:modified>
</cp:coreProperties>
</file>