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211E9" w14:textId="774CEB39" w:rsidR="00352429" w:rsidRPr="005A00DB" w:rsidRDefault="009251BC" w:rsidP="00401D82">
      <w:pPr>
        <w:spacing w:after="160"/>
        <w:sectPr w:rsidR="00352429" w:rsidRPr="005A00DB" w:rsidSect="00262795">
          <w:headerReference w:type="default" r:id="rId8"/>
          <w:footerReference w:type="default" r:id="rId9"/>
          <w:footerReference w:type="first" r:id="rId10"/>
          <w:pgSz w:w="11906" w:h="16838"/>
          <w:pgMar w:top="720" w:right="720" w:bottom="720" w:left="720" w:header="708" w:footer="708" w:gutter="0"/>
          <w:pgNumType w:start="0"/>
          <w:cols w:space="708"/>
          <w:titlePg/>
          <w:docGrid w:linePitch="360"/>
        </w:sectPr>
      </w:pPr>
      <w:r w:rsidRPr="00092C22">
        <w:rPr>
          <w:rFonts w:cs="Arial"/>
          <w:noProof/>
          <w:lang w:eastAsia="it-IT"/>
        </w:rPr>
        <mc:AlternateContent>
          <mc:Choice Requires="wps">
            <w:drawing>
              <wp:anchor distT="0" distB="0" distL="114300" distR="114300" simplePos="0" relativeHeight="251688960" behindDoc="0" locked="0" layoutInCell="1" allowOverlap="1" wp14:anchorId="753B759F" wp14:editId="57F693FD">
                <wp:simplePos x="0" y="0"/>
                <wp:positionH relativeFrom="column">
                  <wp:posOffset>1038225</wp:posOffset>
                </wp:positionH>
                <wp:positionV relativeFrom="paragraph">
                  <wp:posOffset>8724900</wp:posOffset>
                </wp:positionV>
                <wp:extent cx="5467350" cy="751840"/>
                <wp:effectExtent l="0" t="0" r="0" b="0"/>
                <wp:wrapNone/>
                <wp:docPr id="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751840"/>
                        </a:xfrm>
                        <a:prstGeom prst="rect">
                          <a:avLst/>
                        </a:prstGeom>
                        <a:noFill/>
                        <a:ln w="9525">
                          <a:noFill/>
                          <a:miter lim="800000"/>
                          <a:headEnd/>
                          <a:tailEnd/>
                        </a:ln>
                      </wps:spPr>
                      <wps:txbx>
                        <w:txbxContent>
                          <w:p w14:paraId="63FF2219" w14:textId="77777777" w:rsidR="007531A9" w:rsidRPr="00552DB9" w:rsidRDefault="007531A9" w:rsidP="007F61EE">
                            <w:pPr>
                              <w:spacing w:after="0"/>
                              <w:jc w:val="right"/>
                              <w:rPr>
                                <w:rFonts w:eastAsia="Times New Roman"/>
                                <w:b/>
                                <w:color w:val="595959" w:themeColor="text1" w:themeTint="A6"/>
                                <w:sz w:val="24"/>
                              </w:rPr>
                            </w:pPr>
                            <w:r w:rsidRPr="00552DB9">
                              <w:rPr>
                                <w:rFonts w:eastAsia="Times New Roman"/>
                                <w:b/>
                                <w:color w:val="595959" w:themeColor="text1" w:themeTint="A6"/>
                                <w:sz w:val="24"/>
                              </w:rPr>
                              <w:t>APPROFONDIMENTO TEMATICO:</w:t>
                            </w:r>
                          </w:p>
                          <w:p w14:paraId="55921FA0" w14:textId="0134FF07" w:rsidR="007531A9" w:rsidRPr="00552DB9" w:rsidRDefault="007531A9" w:rsidP="007F61EE">
                            <w:pPr>
                              <w:spacing w:after="0"/>
                              <w:jc w:val="right"/>
                              <w:rPr>
                                <w:rFonts w:eastAsia="Times New Roman"/>
                                <w:b/>
                                <w:color w:val="595959" w:themeColor="text1" w:themeTint="A6"/>
                                <w:sz w:val="24"/>
                              </w:rPr>
                            </w:pPr>
                            <w:r>
                              <w:rPr>
                                <w:rFonts w:eastAsia="Times New Roman"/>
                                <w:b/>
                                <w:color w:val="595959" w:themeColor="text1" w:themeTint="A6"/>
                                <w:sz w:val="24"/>
                              </w:rPr>
                              <w:t>PARI OPPORTUNIT</w:t>
                            </w:r>
                            <w:r>
                              <w:rPr>
                                <w:rFonts w:eastAsia="Times New Roman" w:cs="Times New Roman"/>
                                <w:b/>
                                <w:color w:val="595959" w:themeColor="text1" w:themeTint="A6"/>
                                <w:sz w:val="24"/>
                              </w:rPr>
                              <w:t>À</w:t>
                            </w:r>
                            <w:r>
                              <w:rPr>
                                <w:rFonts w:eastAsia="Times New Roman"/>
                                <w:b/>
                                <w:color w:val="595959" w:themeColor="text1" w:themeTint="A6"/>
                                <w:sz w:val="24"/>
                              </w:rPr>
                              <w:t xml:space="preserve"> E </w:t>
                            </w:r>
                            <w:r w:rsidRPr="00552DB9">
                              <w:rPr>
                                <w:rFonts w:eastAsia="Times New Roman"/>
                                <w:b/>
                                <w:color w:val="595959" w:themeColor="text1" w:themeTint="A6"/>
                                <w:sz w:val="24"/>
                              </w:rPr>
                              <w:t>IMPRENDITORIA AGRICOLA FEMMINILE NEL PSR UMBRIA 2014/2020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B759F" id="_x0000_t202" coordsize="21600,21600" o:spt="202" path="m,l,21600r21600,l21600,xe">
                <v:stroke joinstyle="miter"/>
                <v:path gradientshapeok="t" o:connecttype="rect"/>
              </v:shapetype>
              <v:shape id="Casella di testo 2" o:spid="_x0000_s1026" type="#_x0000_t202" style="position:absolute;left:0;text-align:left;margin-left:81.75pt;margin-top:687pt;width:430.5pt;height:5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6tNEAIAAPsDAAAOAAAAZHJzL2Uyb0RvYy54bWysU9uO2jAQfa/Uf7D8XgIUFogIqy3brSpt&#10;L9K2HzA4DrFqe1zbkNCv79hhWdS+Vc2DZWdmjuecOV7f9kazo/RBoa34ZDTmTFqBtbL7in//9vBm&#10;yVmIYGvQaGXFTzLw283rV+vOlXKKLepaekYgNpSdq3gboyuLIohWGggjdNJSsEFvINLR74vaQ0fo&#10;RhfT8fim6NDXzqOQIdDf+yHINxm/aaSIX5omyMh0xam3mFef111ai80ayr0H1ypxbgP+oQsDytKl&#10;F6h7iMAOXv0FZZTwGLCJI4GmwKZRQmYOxGYy/oPNUwtOZi4kTnAXmcL/gxWfj189UzXNbsWZBUMz&#10;2kKQWgOrFYsyRGTTJFPnQknZT47yY/8OeyrJlIN7RPEjMIvbFuxe3nmPXSuhpjYnqbK4Kh1wQgLZ&#10;dZ+wpuvgEDED9Y03SUNShRE6jet0GZHsIxP0cz67WbydU0hQbDGfLGd5hgWUz9XOh/hBomFpU3FP&#10;FsjocHwMMXUD5XNKuszig9I620Bb1lV8NZ/Oc8FVxKhILtXKVHw5Tt/gm0Tyva1zcQSlhz1doO2Z&#10;dSI6UI79rqfEJMUO6xPx9zi4kV4PbVr0vzjryIkVDz8P4CVn+qMlDVeTGZFkMR9m88WUDv46sruO&#10;gBUEVfHI2bDdxmz3gesdad2oLMNLJ+deyWFZnfNrSBa+Pueslze7+Q0AAP//AwBQSwMEFAAGAAgA&#10;AAAhANyaFCneAAAADgEAAA8AAABkcnMvZG93bnJldi54bWxMT0FOwzAQvCPxB2uRuFGb1G1piFMh&#10;EFcQhSJxc+NtEhGvo9htwu/ZnuA2szOanSk2k+/ECYfYBjJwO1MgkKrgWqoNfLw/39yBiMmSs10g&#10;NPCDETbl5UVhcxdGesPTNtWCQyjm1kCTUp9LGasGvY2z0COxdgiDt4npUEs32JHDfSczpZbS25b4&#10;Q2N7fGyw+t4evYHdy+HrU6vX+skv+jFMSpJfS2Our6aHexAJp/RnhnN9rg4ld9qHI7koOubL+YKt&#10;DOYrzavOFpVpvu0Z6XWmQZaF/D+j/AUAAP//AwBQSwECLQAUAAYACAAAACEAtoM4kv4AAADhAQAA&#10;EwAAAAAAAAAAAAAAAAAAAAAAW0NvbnRlbnRfVHlwZXNdLnhtbFBLAQItABQABgAIAAAAIQA4/SH/&#10;1gAAAJQBAAALAAAAAAAAAAAAAAAAAC8BAABfcmVscy8ucmVsc1BLAQItABQABgAIAAAAIQCGD6tN&#10;EAIAAPsDAAAOAAAAAAAAAAAAAAAAAC4CAABkcnMvZTJvRG9jLnhtbFBLAQItABQABgAIAAAAIQDc&#10;mhQp3gAAAA4BAAAPAAAAAAAAAAAAAAAAAGoEAABkcnMvZG93bnJldi54bWxQSwUGAAAAAAQABADz&#10;AAAAdQUAAAAA&#10;" filled="f" stroked="f">
                <v:textbox>
                  <w:txbxContent>
                    <w:p w14:paraId="63FF2219" w14:textId="77777777" w:rsidR="007531A9" w:rsidRPr="00552DB9" w:rsidRDefault="007531A9" w:rsidP="007F61EE">
                      <w:pPr>
                        <w:spacing w:after="0"/>
                        <w:jc w:val="right"/>
                        <w:rPr>
                          <w:rFonts w:eastAsia="Times New Roman"/>
                          <w:b/>
                          <w:color w:val="595959" w:themeColor="text1" w:themeTint="A6"/>
                          <w:sz w:val="24"/>
                        </w:rPr>
                      </w:pPr>
                      <w:r w:rsidRPr="00552DB9">
                        <w:rPr>
                          <w:rFonts w:eastAsia="Times New Roman"/>
                          <w:b/>
                          <w:color w:val="595959" w:themeColor="text1" w:themeTint="A6"/>
                          <w:sz w:val="24"/>
                        </w:rPr>
                        <w:t>APPROFONDIMENTO TEMATICO:</w:t>
                      </w:r>
                    </w:p>
                    <w:p w14:paraId="55921FA0" w14:textId="0134FF07" w:rsidR="007531A9" w:rsidRPr="00552DB9" w:rsidRDefault="007531A9" w:rsidP="007F61EE">
                      <w:pPr>
                        <w:spacing w:after="0"/>
                        <w:jc w:val="right"/>
                        <w:rPr>
                          <w:rFonts w:eastAsia="Times New Roman"/>
                          <w:b/>
                          <w:color w:val="595959" w:themeColor="text1" w:themeTint="A6"/>
                          <w:sz w:val="24"/>
                        </w:rPr>
                      </w:pPr>
                      <w:r>
                        <w:rPr>
                          <w:rFonts w:eastAsia="Times New Roman"/>
                          <w:b/>
                          <w:color w:val="595959" w:themeColor="text1" w:themeTint="A6"/>
                          <w:sz w:val="24"/>
                        </w:rPr>
                        <w:t>PARI OPPORTUNIT</w:t>
                      </w:r>
                      <w:r>
                        <w:rPr>
                          <w:rFonts w:eastAsia="Times New Roman" w:cs="Times New Roman"/>
                          <w:b/>
                          <w:color w:val="595959" w:themeColor="text1" w:themeTint="A6"/>
                          <w:sz w:val="24"/>
                        </w:rPr>
                        <w:t>À</w:t>
                      </w:r>
                      <w:r>
                        <w:rPr>
                          <w:rFonts w:eastAsia="Times New Roman"/>
                          <w:b/>
                          <w:color w:val="595959" w:themeColor="text1" w:themeTint="A6"/>
                          <w:sz w:val="24"/>
                        </w:rPr>
                        <w:t xml:space="preserve"> E </w:t>
                      </w:r>
                      <w:r w:rsidRPr="00552DB9">
                        <w:rPr>
                          <w:rFonts w:eastAsia="Times New Roman"/>
                          <w:b/>
                          <w:color w:val="595959" w:themeColor="text1" w:themeTint="A6"/>
                          <w:sz w:val="24"/>
                        </w:rPr>
                        <w:t>IMPRENDITORIA AGRICOLA FEMMINILE NEL PSR UMBRIA 2014/2020</w:t>
                      </w:r>
                    </w:p>
                  </w:txbxContent>
                </v:textbox>
              </v:shape>
            </w:pict>
          </mc:Fallback>
        </mc:AlternateContent>
      </w:r>
      <w:r w:rsidR="00901B65" w:rsidRPr="005A00DB">
        <w:rPr>
          <w:rFonts w:cs="Arial"/>
          <w:noProof/>
          <w:szCs w:val="20"/>
          <w:lang w:eastAsia="it-IT"/>
        </w:rPr>
        <mc:AlternateContent>
          <mc:Choice Requires="wps">
            <w:drawing>
              <wp:anchor distT="0" distB="0" distL="114300" distR="114300" simplePos="0" relativeHeight="251691008" behindDoc="0" locked="0" layoutInCell="1" allowOverlap="1" wp14:anchorId="3F2B0346" wp14:editId="451B28DB">
                <wp:simplePos x="0" y="0"/>
                <wp:positionH relativeFrom="column">
                  <wp:posOffset>171450</wp:posOffset>
                </wp:positionH>
                <wp:positionV relativeFrom="paragraph">
                  <wp:posOffset>6847840</wp:posOffset>
                </wp:positionV>
                <wp:extent cx="1838325" cy="565265"/>
                <wp:effectExtent l="0" t="0" r="9525" b="6350"/>
                <wp:wrapNone/>
                <wp:docPr id="2" name="Text Box 2"/>
                <wp:cNvGraphicFramePr/>
                <a:graphic xmlns:a="http://schemas.openxmlformats.org/drawingml/2006/main">
                  <a:graphicData uri="http://schemas.microsoft.com/office/word/2010/wordprocessingShape">
                    <wps:wsp>
                      <wps:cNvSpPr txBox="1"/>
                      <wps:spPr>
                        <a:xfrm>
                          <a:off x="0" y="0"/>
                          <a:ext cx="1838325" cy="565265"/>
                        </a:xfrm>
                        <a:prstGeom prst="rect">
                          <a:avLst/>
                        </a:prstGeom>
                        <a:solidFill>
                          <a:schemeClr val="lt1"/>
                        </a:solidFill>
                        <a:ln w="6350">
                          <a:noFill/>
                        </a:ln>
                      </wps:spPr>
                      <wps:txbx>
                        <w:txbxContent>
                          <w:p w14:paraId="42C3B4BB" w14:textId="6D5FDF33" w:rsidR="007531A9" w:rsidRPr="007F61EE" w:rsidRDefault="007531A9" w:rsidP="00901B65">
                            <w:pPr>
                              <w:rPr>
                                <w:sz w:val="28"/>
                                <w:szCs w:val="28"/>
                              </w:rPr>
                            </w:pPr>
                            <w:r w:rsidRPr="007F61EE">
                              <w:rPr>
                                <w:rFonts w:cs="Arial"/>
                                <w:sz w:val="28"/>
                                <w:szCs w:val="28"/>
                              </w:rPr>
                              <w:t xml:space="preserve">Roma, </w:t>
                            </w:r>
                            <w:r>
                              <w:rPr>
                                <w:rFonts w:cs="Arial"/>
                                <w:sz w:val="28"/>
                                <w:szCs w:val="28"/>
                              </w:rPr>
                              <w:t>dicembre</w:t>
                            </w:r>
                            <w:r w:rsidRPr="007F61EE">
                              <w:rPr>
                                <w:rFonts w:cs="Arial"/>
                                <w:sz w:val="28"/>
                                <w:szCs w:val="28"/>
                              </w:rPr>
                              <w:t xml:space="preserve">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B0346" id="Text Box 2" o:spid="_x0000_s1027" type="#_x0000_t202" style="position:absolute;left:0;text-align:left;margin-left:13.5pt;margin-top:539.2pt;width:144.75pt;height: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51RQIAAIIEAAAOAAAAZHJzL2Uyb0RvYy54bWysVMGO2jAQvVfqP1i+l0AglI0IK8qKqtJq&#10;dyWo9mwcm0RyPK5tSOjXd+wAS7c9Vb04Hs/4eea9mczvu0aRo7CuBl3Q0WBIidAcylrvC/p9u/40&#10;o8R5pkumQIuCnoSj94uPH+atyUUKFahSWIIg2uWtKWjlvcmTxPFKNMwNwAiNTgm2YR5Nu09Ky1pE&#10;b1SSDofTpAVbGgtcOIenD72TLiK+lIL7Zymd8EQVFHPzcbVx3YU1WcxZvrfMVDU/p8H+IYuG1Rof&#10;vUI9MM/IwdZ/QDU1t+BA+gGHJgEpay5iDVjNaPiumk3FjIi1IDnOXGly/w+WPx1fLKnLgqaUaNag&#10;RFvRefIFOpIGdlrjcgzaGAzzHR6jypdzh4eh6E7aJnyxHIJ+5Pl05TaA8XBpNp6N04wSjr5smqXT&#10;LMAkb7eNdf6rgIaETUEtahcpZcdH5/vQS0h4zIGqy3WtVDRCv4iVsuTIUGnlY44I/luU0qQt6HSc&#10;DSOwhnC9R1Yacwm19jWFne92XWTmWu8OyhPSYKFvI2f4usZcH5nzL8xi32DlOAv+GRepAN+C846S&#10;CuzPv52HeJQTvZS02IcFdT8OzApK1DeNQt+NJpPQuNGYZJ9TNOytZ3fr0YdmBUjACKfO8LgN8V5d&#10;ttJC84ojswyvootpjm8XlHt7MVa+nw8cOi6WyxiGzWqYf9QbwwN4oDxose1emTVnwTxK/QSXnmX5&#10;O9362HBTw/LgQdZR1MB0z+tZAGz02BbnoQyTdGvHqLdfx+IXAAAA//8DAFBLAwQUAAYACAAAACEA&#10;WlP8t98AAAAMAQAADwAAAGRycy9kb3ducmV2LnhtbEyPwW6DMBBE75X6D9ZW6iVqDGkCEcFEaaR+&#10;QEg+wGAXE/AaYRPo33d7ao87O5p5kx8X27OHHn3rUEC8joBprJ1qsRFwu36+7YH5IFHJ3qEW8K09&#10;HIvnp1xmys140Y8yNIxC0GdSgAlhyDj3tdFW+rUbNNLvy41WBjrHhqtRzhRue76JooRb2SI1GDno&#10;s9F1V05WQHmpTqumnO7XlfnA83zr4rjphHh9WU4HYEEv4c8Mv/iEDgUxVW5C5VkvYJPSlEB6lO63&#10;wMjxHic7YBVJcZJugRc5/z+i+AEAAP//AwBQSwECLQAUAAYACAAAACEAtoM4kv4AAADhAQAAEwAA&#10;AAAAAAAAAAAAAAAAAAAAW0NvbnRlbnRfVHlwZXNdLnhtbFBLAQItABQABgAIAAAAIQA4/SH/1gAA&#10;AJQBAAALAAAAAAAAAAAAAAAAAC8BAABfcmVscy8ucmVsc1BLAQItABQABgAIAAAAIQCRaE51RQIA&#10;AIIEAAAOAAAAAAAAAAAAAAAAAC4CAABkcnMvZTJvRG9jLnhtbFBLAQItABQABgAIAAAAIQBaU/y3&#10;3wAAAAwBAAAPAAAAAAAAAAAAAAAAAJ8EAABkcnMvZG93bnJldi54bWxQSwUGAAAAAAQABADzAAAA&#10;qwUAAAAA&#10;" fillcolor="white [3201]" stroked="f" strokeweight=".5pt">
                <v:textbox>
                  <w:txbxContent>
                    <w:p w14:paraId="42C3B4BB" w14:textId="6D5FDF33" w:rsidR="007531A9" w:rsidRPr="007F61EE" w:rsidRDefault="007531A9" w:rsidP="00901B65">
                      <w:pPr>
                        <w:rPr>
                          <w:sz w:val="28"/>
                          <w:szCs w:val="28"/>
                        </w:rPr>
                      </w:pPr>
                      <w:r w:rsidRPr="007F61EE">
                        <w:rPr>
                          <w:rFonts w:cs="Arial"/>
                          <w:sz w:val="28"/>
                          <w:szCs w:val="28"/>
                        </w:rPr>
                        <w:t xml:space="preserve">Roma, </w:t>
                      </w:r>
                      <w:r>
                        <w:rPr>
                          <w:rFonts w:cs="Arial"/>
                          <w:sz w:val="28"/>
                          <w:szCs w:val="28"/>
                        </w:rPr>
                        <w:t>dicembre</w:t>
                      </w:r>
                      <w:r w:rsidRPr="007F61EE">
                        <w:rPr>
                          <w:rFonts w:cs="Arial"/>
                          <w:sz w:val="28"/>
                          <w:szCs w:val="28"/>
                        </w:rPr>
                        <w:t xml:space="preserve"> 2018</w:t>
                      </w:r>
                    </w:p>
                  </w:txbxContent>
                </v:textbox>
              </v:shape>
            </w:pict>
          </mc:Fallback>
        </mc:AlternateContent>
      </w:r>
      <w:r w:rsidR="00901B65" w:rsidRPr="005A00DB">
        <w:rPr>
          <w:rFonts w:cs="Arial"/>
          <w:noProof/>
          <w:szCs w:val="20"/>
          <w:lang w:eastAsia="it-IT"/>
        </w:rPr>
        <mc:AlternateContent>
          <mc:Choice Requires="wps">
            <w:drawing>
              <wp:anchor distT="0" distB="0" distL="114300" distR="114300" simplePos="0" relativeHeight="251693056" behindDoc="0" locked="0" layoutInCell="1" allowOverlap="1" wp14:anchorId="451F3A4B" wp14:editId="49B9F576">
                <wp:simplePos x="0" y="0"/>
                <wp:positionH relativeFrom="column">
                  <wp:posOffset>4076701</wp:posOffset>
                </wp:positionH>
                <wp:positionV relativeFrom="paragraph">
                  <wp:posOffset>6781165</wp:posOffset>
                </wp:positionV>
                <wp:extent cx="2247900" cy="565265"/>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2247900" cy="565265"/>
                        </a:xfrm>
                        <a:prstGeom prst="rect">
                          <a:avLst/>
                        </a:prstGeom>
                        <a:noFill/>
                        <a:ln w="6350">
                          <a:noFill/>
                        </a:ln>
                      </wps:spPr>
                      <wps:txbx>
                        <w:txbxContent>
                          <w:p w14:paraId="6287E2CE" w14:textId="76C5BC55" w:rsidR="007531A9" w:rsidRPr="00901B65" w:rsidRDefault="007531A9" w:rsidP="00901B65">
                            <w:pPr>
                              <w:jc w:val="right"/>
                              <w:rPr>
                                <w:b/>
                                <w:color w:val="FFFFFF" w:themeColor="background1"/>
                                <w:sz w:val="32"/>
                              </w:rPr>
                            </w:pPr>
                            <w:r w:rsidRPr="00901B65">
                              <w:rPr>
                                <w:rFonts w:cs="Arial"/>
                                <w:b/>
                                <w:color w:val="FFFFFF" w:themeColor="background1"/>
                                <w:sz w:val="32"/>
                                <w:szCs w:val="20"/>
                              </w:rPr>
                              <w:t>REGIONE UMBRIA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F3A4B" id="Text Box 26" o:spid="_x0000_s1028" type="#_x0000_t202" style="position:absolute;left:0;text-align:left;margin-left:321pt;margin-top:533.95pt;width:177pt;height: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gQMAIAAFwEAAAOAAAAZHJzL2Uyb0RvYy54bWysVFtv2jAUfp+0/2D5fSRkQFdEqFgrpklV&#10;WwmmPhvHJpFsH882JOzX79ghFHV7mvZizi3n9n2HxV2nFTkK5xswJR2PckqE4VA1Zl/SH9v1py+U&#10;+MBMxRQYUdKT8PRu+fHDorVzUUANqhKOYBLj560taR2CnWeZ57XQzI/ACoNOCU6zgKrbZ5VjLWbX&#10;KivyfJa14CrrgAvv0frQO+ky5ZdS8PAspReBqJJibyG9Lr27+GbLBZvvHbN1w89tsH/oQrPGYNFL&#10;qgcWGDm45o9UuuEOPMgw4qAzkLLhIs2A04zzd9NsamZFmgWX4+1lTf7/peVPxxdHmqqkxYwSwzRi&#10;tBVdIF+hI2jC/bTWzzFsYzEwdGhHnAe7R2Mcu5NOx18ciKAfN326bDdm42gsisnNbY4ujr7pbFrM&#10;pjFN9va1dT58E6BJFErqEL20VHZ89KEPHUJiMQPrRqmEoDKkLens8zRPH1w8mFwZrBFn6HuNUuh2&#10;XT/zMMcOqhOO56AniLd83WAPj8yHF+aQEdg2sjw84yMVYC04S5TU4H79zR7jESj0UtIiw0rqfx6Y&#10;E5So7wYhvB1PJpGSSZlMbwpU3LVnd+0xB30PSOIx3pPlSYzxQQ2idKBf8RhWsSq6mOFYu6Q8uEG5&#10;Dz3z8Zy4WK1SGNLQsvBoNpbH5HGvccfb7pU5ewYiIIRPMLCRzd/h0cf2iKwOAWSTwIqb7vd6BgAp&#10;nOA+n1u8kWs9Rb39KSx/AwAA//8DAFBLAwQUAAYACAAAACEAcgaUUuMAAAANAQAADwAAAGRycy9k&#10;b3ducmV2LnhtbEyPwU7DMBBE70j8g7VIXBB1WhWXhDgVqoSUQy4tCImbG5s4arwOtpuGv2c5wXFn&#10;RrNvyu3sBjaZEHuPEpaLDJjB1useOwlvry/3j8BiUqjV4NFI+DYRttX1VakK7S+4N9MhdYxKMBZK&#10;gk1pLDiPrTVOxYUfDZL36YNTic7QcR3UhcrdwFdZJrhTPdIHq0azs6Y9Hc5OwvRer/V+sinc7Zo6&#10;q0/N1+ajkfL2Zn5+ApbMnP7C8ItP6FAR09GfUUc2SBDrFW1JZGRikwOjSJ4Lko4kLR9EDrwq+f8V&#10;1Q8AAAD//wMAUEsBAi0AFAAGAAgAAAAhALaDOJL+AAAA4QEAABMAAAAAAAAAAAAAAAAAAAAAAFtD&#10;b250ZW50X1R5cGVzXS54bWxQSwECLQAUAAYACAAAACEAOP0h/9YAAACUAQAACwAAAAAAAAAAAAAA&#10;AAAvAQAAX3JlbHMvLnJlbHNQSwECLQAUAAYACAAAACEAr1JYEDACAABcBAAADgAAAAAAAAAAAAAA&#10;AAAuAgAAZHJzL2Uyb0RvYy54bWxQSwECLQAUAAYACAAAACEAcgaUUuMAAAANAQAADwAAAAAAAAAA&#10;AAAAAACKBAAAZHJzL2Rvd25yZXYueG1sUEsFBgAAAAAEAAQA8wAAAJoFAAAAAA==&#10;" filled="f" stroked="f" strokeweight=".5pt">
                <v:textbox>
                  <w:txbxContent>
                    <w:p w14:paraId="6287E2CE" w14:textId="76C5BC55" w:rsidR="007531A9" w:rsidRPr="00901B65" w:rsidRDefault="007531A9" w:rsidP="00901B65">
                      <w:pPr>
                        <w:jc w:val="right"/>
                        <w:rPr>
                          <w:b/>
                          <w:color w:val="FFFFFF" w:themeColor="background1"/>
                          <w:sz w:val="32"/>
                        </w:rPr>
                      </w:pPr>
                      <w:r w:rsidRPr="00901B65">
                        <w:rPr>
                          <w:rFonts w:cs="Arial"/>
                          <w:b/>
                          <w:color w:val="FFFFFF" w:themeColor="background1"/>
                          <w:sz w:val="32"/>
                          <w:szCs w:val="20"/>
                        </w:rPr>
                        <w:t>REGIONE UMBRIA</w:t>
                      </w:r>
                    </w:p>
                  </w:txbxContent>
                </v:textbox>
              </v:shape>
            </w:pict>
          </mc:Fallback>
        </mc:AlternateContent>
      </w:r>
      <w:r w:rsidR="00AD3177" w:rsidRPr="00092C22">
        <w:rPr>
          <w:rFonts w:cs="Arial"/>
          <w:noProof/>
          <w:lang w:eastAsia="it-IT"/>
        </w:rPr>
        <mc:AlternateContent>
          <mc:Choice Requires="wps">
            <w:drawing>
              <wp:anchor distT="0" distB="0" distL="114300" distR="114300" simplePos="0" relativeHeight="251686912" behindDoc="0" locked="0" layoutInCell="1" allowOverlap="1" wp14:anchorId="293B138D" wp14:editId="3A85CEEF">
                <wp:simplePos x="0" y="0"/>
                <wp:positionH relativeFrom="column">
                  <wp:posOffset>676275</wp:posOffset>
                </wp:positionH>
                <wp:positionV relativeFrom="paragraph">
                  <wp:posOffset>7628890</wp:posOffset>
                </wp:positionV>
                <wp:extent cx="5762625" cy="960120"/>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60120"/>
                        </a:xfrm>
                        <a:prstGeom prst="rect">
                          <a:avLst/>
                        </a:prstGeom>
                        <a:noFill/>
                        <a:ln w="9525">
                          <a:noFill/>
                          <a:miter lim="800000"/>
                          <a:headEnd/>
                          <a:tailEnd/>
                        </a:ln>
                      </wps:spPr>
                      <wps:txbx>
                        <w:txbxContent>
                          <w:p w14:paraId="47EEAEA7" w14:textId="6C5CE9B1" w:rsidR="007531A9" w:rsidRDefault="007531A9" w:rsidP="00AD3177">
                            <w:pPr>
                              <w:rPr>
                                <w:rFonts w:eastAsia="Times New Roman"/>
                                <w:b/>
                                <w:sz w:val="24"/>
                              </w:rPr>
                            </w:pPr>
                            <w:r w:rsidRPr="00092C22">
                              <w:rPr>
                                <w:rFonts w:eastAsia="Times New Roman"/>
                                <w:b/>
                                <w:sz w:val="24"/>
                              </w:rPr>
                              <w:t>SERVIZIO DI VALUTAZIONE DEL</w:t>
                            </w:r>
                            <w:r>
                              <w:rPr>
                                <w:rFonts w:eastAsia="Times New Roman"/>
                                <w:b/>
                                <w:sz w:val="24"/>
                              </w:rPr>
                              <w:t xml:space="preserve"> </w:t>
                            </w:r>
                            <w:r w:rsidRPr="00092C22">
                              <w:rPr>
                                <w:rFonts w:eastAsia="Times New Roman"/>
                                <w:b/>
                                <w:sz w:val="24"/>
                              </w:rPr>
                              <w:t>PROGRAMMA DI SVILU</w:t>
                            </w:r>
                            <w:r>
                              <w:rPr>
                                <w:rFonts w:eastAsia="Times New Roman"/>
                                <w:b/>
                                <w:sz w:val="24"/>
                              </w:rPr>
                              <w:t xml:space="preserve">PPO RURALE DELLA REGIONE UMBRIA </w:t>
                            </w:r>
                            <w:r w:rsidRPr="00092C22">
                              <w:rPr>
                                <w:rFonts w:eastAsia="Times New Roman"/>
                                <w:b/>
                                <w:sz w:val="24"/>
                              </w:rPr>
                              <w:t>PER IL PERIODO 2014-2020</w:t>
                            </w:r>
                          </w:p>
                          <w:p w14:paraId="2AAF0F3E" w14:textId="77777777" w:rsidR="007531A9" w:rsidRPr="00BF2DFA" w:rsidRDefault="007531A9" w:rsidP="00AD3177">
                            <w:pPr>
                              <w:rPr>
                                <w:rFonts w:eastAsia="Times New Roman"/>
                                <w:b/>
                                <w:sz w:val="24"/>
                              </w:rPr>
                            </w:pPr>
                            <w:r w:rsidRPr="00092C22">
                              <w:rPr>
                                <w:rFonts w:eastAsia="Times New Roman"/>
                                <w:b/>
                                <w:sz w:val="24"/>
                              </w:rPr>
                              <w:t>CIG 68087641CD - CUP I91H16000050006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3B138D" id="_x0000_s1029" type="#_x0000_t202" style="position:absolute;left:0;text-align:left;margin-left:53.25pt;margin-top:600.7pt;width:453.75pt;height:7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3W4FAIAAAQEAAAOAAAAZHJzL2Uyb0RvYy54bWysU8tu2zAQvBfoPxC815IV20kEy0HqNEWB&#10;9AGk/YA1RVlEKS5L0pbcr8+Ssl0jvRXVgeBqucOd2eHybug020vnFZqKTyc5Z9IIrJXZVvzH98d3&#10;N5z5AKYGjUZW/CA9v1u9fbPsbSkLbFHX0jECMb7sbcXbEGyZZV60sgM/QSsNJRt0HQQK3TarHfSE&#10;3umsyPNF1qOrrUMhvae/D2OSrxJ+00gRvjaNl4HpilNvIa0urZu4ZqsllFsHtlXi2Ab8QxcdKEOX&#10;nqEeIADbOfUXVKeEQ49NmAjsMmwaJWTiQGym+Ss2zy1YmbiQON6eZfL/D1Z82X9zTNU0uyvODHQ0&#10;ozV4qTWwWrEgfUBWRJl660s6/WzpfBje40AlibK3Tyh+emZw3YLZynvnsG8l1NTmNFZmF6Ujjo8g&#10;m/4z1nQd7AImoKFxXdSQVGGETuM6nEckh8AE/ZxfL4pFMedMUO52kU+LNMMMylO1dT58lNixuKm4&#10;IwskdNg/+RC7gfJ0JF5m8FFpnWygDesJdE7wrzKdCuRSrbqK3+TxG30TSX4wdSoOoPS4pwu0ObKO&#10;REfKYdgMSeerk5gbrA8kg8PRlPSIaNOi+81ZT4asuP+1Ayc5058MSXk7nc2ig1Mwm18TceYuM5vL&#10;DBhBUBUXwXE2BuuQfD9SuyfRG5X0iNMZezk2TVZLMh2fRfTyZZxO/Xm8qxcAAAD//wMAUEsDBBQA&#10;BgAIAAAAIQCLlpfO4AAAAA4BAAAPAAAAZHJzL2Rvd25yZXYueG1sTI/BTsMwEETvSPyDtUhcELUb&#10;aEAhToWQKqGKHih8wCZ246jxOordNPw92xPcZrSj2Tfleva9mOwYu0AalgsFwlITTEethu+vzf0z&#10;iJiQDPaBrIYfG2FdXV+VWJhwpk877VMruIRigRpcSkMhZWyc9RgXYbDEt0MYPSa2YyvNiGcu973M&#10;lMqlx474g8PBvjnbHPcnr+HODWr3cXivNyZv3HEb8clPW61vb+bXFxDJzukvDBd8RoeKmepwIhNF&#10;z17lK46yyNTyEcQlwoL31aweVlkOsirl/xnVLwAAAP//AwBQSwECLQAUAAYACAAAACEAtoM4kv4A&#10;AADhAQAAEwAAAAAAAAAAAAAAAAAAAAAAW0NvbnRlbnRfVHlwZXNdLnhtbFBLAQItABQABgAIAAAA&#10;IQA4/SH/1gAAAJQBAAALAAAAAAAAAAAAAAAAAC8BAABfcmVscy8ucmVsc1BLAQItABQABgAIAAAA&#10;IQAR53W4FAIAAAQEAAAOAAAAAAAAAAAAAAAAAC4CAABkcnMvZTJvRG9jLnhtbFBLAQItABQABgAI&#10;AAAAIQCLlpfO4AAAAA4BAAAPAAAAAAAAAAAAAAAAAG4EAABkcnMvZG93bnJldi54bWxQSwUGAAAA&#10;AAQABADzAAAAewUAAAAA&#10;" filled="f" stroked="f">
                <v:textbox>
                  <w:txbxContent>
                    <w:p w14:paraId="47EEAEA7" w14:textId="6C5CE9B1" w:rsidR="007531A9" w:rsidRDefault="007531A9" w:rsidP="00AD3177">
                      <w:pPr>
                        <w:rPr>
                          <w:rFonts w:eastAsia="Times New Roman"/>
                          <w:b/>
                          <w:sz w:val="24"/>
                        </w:rPr>
                      </w:pPr>
                      <w:r w:rsidRPr="00092C22">
                        <w:rPr>
                          <w:rFonts w:eastAsia="Times New Roman"/>
                          <w:b/>
                          <w:sz w:val="24"/>
                        </w:rPr>
                        <w:t>SERVIZIO DI VALUTAZIONE DEL</w:t>
                      </w:r>
                      <w:r>
                        <w:rPr>
                          <w:rFonts w:eastAsia="Times New Roman"/>
                          <w:b/>
                          <w:sz w:val="24"/>
                        </w:rPr>
                        <w:t xml:space="preserve"> </w:t>
                      </w:r>
                      <w:r w:rsidRPr="00092C22">
                        <w:rPr>
                          <w:rFonts w:eastAsia="Times New Roman"/>
                          <w:b/>
                          <w:sz w:val="24"/>
                        </w:rPr>
                        <w:t>PROGRAMMA DI SVILU</w:t>
                      </w:r>
                      <w:r>
                        <w:rPr>
                          <w:rFonts w:eastAsia="Times New Roman"/>
                          <w:b/>
                          <w:sz w:val="24"/>
                        </w:rPr>
                        <w:t xml:space="preserve">PPO RURALE DELLA REGIONE UMBRIA </w:t>
                      </w:r>
                      <w:r w:rsidRPr="00092C22">
                        <w:rPr>
                          <w:rFonts w:eastAsia="Times New Roman"/>
                          <w:b/>
                          <w:sz w:val="24"/>
                        </w:rPr>
                        <w:t>PER IL PERIODO 2014-2020</w:t>
                      </w:r>
                    </w:p>
                    <w:p w14:paraId="2AAF0F3E" w14:textId="77777777" w:rsidR="007531A9" w:rsidRPr="00BF2DFA" w:rsidRDefault="007531A9" w:rsidP="00AD3177">
                      <w:pPr>
                        <w:rPr>
                          <w:rFonts w:eastAsia="Times New Roman"/>
                          <w:b/>
                          <w:sz w:val="24"/>
                        </w:rPr>
                      </w:pPr>
                      <w:r w:rsidRPr="00092C22">
                        <w:rPr>
                          <w:rFonts w:eastAsia="Times New Roman"/>
                          <w:b/>
                          <w:sz w:val="24"/>
                        </w:rPr>
                        <w:t>CIG 68087641CD - CUP I91H16000050006</w:t>
                      </w:r>
                    </w:p>
                  </w:txbxContent>
                </v:textbox>
              </v:shape>
            </w:pict>
          </mc:Fallback>
        </mc:AlternateContent>
      </w:r>
      <w:r w:rsidR="0047755C" w:rsidRPr="0047755C">
        <w:rPr>
          <w:noProof/>
          <w:lang w:eastAsia="it-IT"/>
        </w:rPr>
        <w:drawing>
          <wp:anchor distT="0" distB="0" distL="114300" distR="114300" simplePos="0" relativeHeight="251685887" behindDoc="1" locked="0" layoutInCell="1" allowOverlap="1" wp14:anchorId="51C23579" wp14:editId="19594E0E">
            <wp:simplePos x="0" y="0"/>
            <wp:positionH relativeFrom="column">
              <wp:posOffset>0</wp:posOffset>
            </wp:positionH>
            <wp:positionV relativeFrom="paragraph">
              <wp:posOffset>0</wp:posOffset>
            </wp:positionV>
            <wp:extent cx="6645910" cy="9398000"/>
            <wp:effectExtent l="0" t="0" r="2540" b="0"/>
            <wp:wrapTight wrapText="bothSides">
              <wp:wrapPolygon edited="0">
                <wp:start x="0" y="0"/>
                <wp:lineTo x="0" y="21542"/>
                <wp:lineTo x="21546" y="21542"/>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45910" cy="9398000"/>
                    </a:xfrm>
                    <a:prstGeom prst="rect">
                      <a:avLst/>
                    </a:prstGeom>
                  </pic:spPr>
                </pic:pic>
              </a:graphicData>
            </a:graphic>
          </wp:anchor>
        </w:drawing>
      </w:r>
    </w:p>
    <w:p w14:paraId="0630DE12" w14:textId="77777777" w:rsidR="00401D82" w:rsidRPr="005A00DB" w:rsidRDefault="00401D82" w:rsidP="00401D82">
      <w:pPr>
        <w:pStyle w:val="TitoloPrincipale"/>
        <w:rPr>
          <w:rStyle w:val="Enfasidelicata"/>
        </w:rPr>
      </w:pPr>
      <w:r w:rsidRPr="005A00DB">
        <w:rPr>
          <w:rStyle w:val="Enfasidelicata"/>
        </w:rPr>
        <w:lastRenderedPageBreak/>
        <w:t>Indice</w:t>
      </w:r>
    </w:p>
    <w:sdt>
      <w:sdtPr>
        <w:rPr>
          <w:rFonts w:ascii="Times New Roman" w:eastAsiaTheme="minorHAnsi" w:hAnsi="Times New Roman" w:cs="Times New Roman"/>
          <w:color w:val="auto"/>
          <w:sz w:val="22"/>
          <w:szCs w:val="22"/>
          <w:lang w:eastAsia="en-US"/>
        </w:rPr>
        <w:id w:val="-2009514036"/>
        <w:docPartObj>
          <w:docPartGallery w:val="Table of Contents"/>
          <w:docPartUnique/>
        </w:docPartObj>
      </w:sdtPr>
      <w:sdtEndPr>
        <w:rPr>
          <w:rFonts w:cstheme="minorBidi"/>
          <w:b/>
          <w:bCs/>
        </w:rPr>
      </w:sdtEndPr>
      <w:sdtContent>
        <w:p w14:paraId="1BC410BD" w14:textId="77777777" w:rsidR="00401D82" w:rsidRPr="00695C90" w:rsidRDefault="00401D82" w:rsidP="00401D82">
          <w:pPr>
            <w:pStyle w:val="Titolosommario"/>
            <w:rPr>
              <w:rFonts w:ascii="Times New Roman" w:hAnsi="Times New Roman" w:cs="Times New Roman"/>
              <w:color w:val="auto"/>
              <w:sz w:val="22"/>
              <w:szCs w:val="22"/>
            </w:rPr>
          </w:pPr>
        </w:p>
        <w:p w14:paraId="0A673D8C" w14:textId="2CEC757E" w:rsidR="00354A10" w:rsidRDefault="00401D82">
          <w:pPr>
            <w:pStyle w:val="Sommario1"/>
            <w:rPr>
              <w:rFonts w:asciiTheme="minorHAnsi" w:eastAsiaTheme="minorEastAsia" w:hAnsiTheme="minorHAnsi"/>
              <w:b w:val="0"/>
              <w:noProof/>
              <w:color w:val="auto"/>
              <w:lang w:eastAsia="it-IT"/>
            </w:rPr>
          </w:pPr>
          <w:r w:rsidRPr="003B44A6">
            <w:fldChar w:fldCharType="begin"/>
          </w:r>
          <w:r w:rsidRPr="003B44A6">
            <w:instrText xml:space="preserve"> TOC \o "1-3" \h \z \t "ParagrafoLivello3;4;ParagrafoLivello4;5" </w:instrText>
          </w:r>
          <w:r w:rsidRPr="003B44A6">
            <w:fldChar w:fldCharType="separate"/>
          </w:r>
          <w:hyperlink w:anchor="_Toc534027305" w:history="1">
            <w:r w:rsidR="00354A10" w:rsidRPr="00BE54ED">
              <w:rPr>
                <w:rStyle w:val="Collegamentoipertestuale"/>
                <w:noProof/>
              </w:rPr>
              <w:t>Premessa</w:t>
            </w:r>
            <w:r w:rsidR="00295319">
              <w:rPr>
                <w:rStyle w:val="Collegamentoipertestuale"/>
                <w:noProof/>
              </w:rPr>
              <w:tab/>
            </w:r>
            <w:r w:rsidR="00354A10">
              <w:rPr>
                <w:noProof/>
                <w:webHidden/>
              </w:rPr>
              <w:tab/>
            </w:r>
            <w:r w:rsidR="00354A10">
              <w:rPr>
                <w:noProof/>
                <w:webHidden/>
              </w:rPr>
              <w:fldChar w:fldCharType="begin"/>
            </w:r>
            <w:r w:rsidR="00354A10">
              <w:rPr>
                <w:noProof/>
                <w:webHidden/>
              </w:rPr>
              <w:instrText xml:space="preserve"> PAGEREF _Toc534027305 \h </w:instrText>
            </w:r>
            <w:r w:rsidR="00354A10">
              <w:rPr>
                <w:noProof/>
                <w:webHidden/>
              </w:rPr>
            </w:r>
            <w:r w:rsidR="00354A10">
              <w:rPr>
                <w:noProof/>
                <w:webHidden/>
              </w:rPr>
              <w:fldChar w:fldCharType="separate"/>
            </w:r>
            <w:r w:rsidR="00295319">
              <w:rPr>
                <w:noProof/>
                <w:webHidden/>
              </w:rPr>
              <w:t>2</w:t>
            </w:r>
            <w:r w:rsidR="00354A10">
              <w:rPr>
                <w:noProof/>
                <w:webHidden/>
              </w:rPr>
              <w:fldChar w:fldCharType="end"/>
            </w:r>
          </w:hyperlink>
        </w:p>
        <w:p w14:paraId="35B0D995" w14:textId="3BC3FC5A" w:rsidR="00354A10" w:rsidRDefault="007531A9">
          <w:pPr>
            <w:pStyle w:val="Sommario1"/>
            <w:rPr>
              <w:rFonts w:asciiTheme="minorHAnsi" w:eastAsiaTheme="minorEastAsia" w:hAnsiTheme="minorHAnsi"/>
              <w:b w:val="0"/>
              <w:noProof/>
              <w:color w:val="auto"/>
              <w:lang w:eastAsia="it-IT"/>
            </w:rPr>
          </w:pPr>
          <w:hyperlink w:anchor="_Toc534027306" w:history="1">
            <w:r w:rsidR="00354A10" w:rsidRPr="00BE54ED">
              <w:rPr>
                <w:rStyle w:val="Collegamentoipertestuale"/>
                <w:noProof/>
              </w:rPr>
              <w:t>1.</w:t>
            </w:r>
            <w:r w:rsidR="00354A10">
              <w:rPr>
                <w:rFonts w:asciiTheme="minorHAnsi" w:eastAsiaTheme="minorEastAsia" w:hAnsiTheme="minorHAnsi"/>
                <w:b w:val="0"/>
                <w:noProof/>
                <w:color w:val="auto"/>
                <w:lang w:eastAsia="it-IT"/>
              </w:rPr>
              <w:tab/>
            </w:r>
            <w:r w:rsidR="00354A10" w:rsidRPr="00BE54ED">
              <w:rPr>
                <w:rStyle w:val="Collegamentoipertestuale"/>
                <w:noProof/>
              </w:rPr>
              <w:t>Finalità dell’approfondimento e approccio metodologico</w:t>
            </w:r>
            <w:r w:rsidR="00354A10">
              <w:rPr>
                <w:noProof/>
                <w:webHidden/>
              </w:rPr>
              <w:tab/>
            </w:r>
            <w:r w:rsidR="00354A10">
              <w:rPr>
                <w:noProof/>
                <w:webHidden/>
              </w:rPr>
              <w:fldChar w:fldCharType="begin"/>
            </w:r>
            <w:r w:rsidR="00354A10">
              <w:rPr>
                <w:noProof/>
                <w:webHidden/>
              </w:rPr>
              <w:instrText xml:space="preserve"> PAGEREF _Toc534027306 \h </w:instrText>
            </w:r>
            <w:r w:rsidR="00354A10">
              <w:rPr>
                <w:noProof/>
                <w:webHidden/>
              </w:rPr>
            </w:r>
            <w:r w:rsidR="00354A10">
              <w:rPr>
                <w:noProof/>
                <w:webHidden/>
              </w:rPr>
              <w:fldChar w:fldCharType="separate"/>
            </w:r>
            <w:r w:rsidR="00295319">
              <w:rPr>
                <w:noProof/>
                <w:webHidden/>
              </w:rPr>
              <w:t>3</w:t>
            </w:r>
            <w:r w:rsidR="00354A10">
              <w:rPr>
                <w:noProof/>
                <w:webHidden/>
              </w:rPr>
              <w:fldChar w:fldCharType="end"/>
            </w:r>
          </w:hyperlink>
        </w:p>
        <w:p w14:paraId="5C980C08" w14:textId="7B6C9595" w:rsidR="00354A10" w:rsidRDefault="007531A9">
          <w:pPr>
            <w:pStyle w:val="Sommario1"/>
            <w:rPr>
              <w:rFonts w:asciiTheme="minorHAnsi" w:eastAsiaTheme="minorEastAsia" w:hAnsiTheme="minorHAnsi"/>
              <w:b w:val="0"/>
              <w:noProof/>
              <w:color w:val="auto"/>
              <w:lang w:eastAsia="it-IT"/>
            </w:rPr>
          </w:pPr>
          <w:hyperlink w:anchor="_Toc534027307" w:history="1">
            <w:r w:rsidR="00354A10" w:rsidRPr="00BE54ED">
              <w:rPr>
                <w:rStyle w:val="Collegamentoipertestuale"/>
                <w:noProof/>
              </w:rPr>
              <w:t>2.</w:t>
            </w:r>
            <w:r w:rsidR="00354A10">
              <w:rPr>
                <w:rFonts w:asciiTheme="minorHAnsi" w:eastAsiaTheme="minorEastAsia" w:hAnsiTheme="minorHAnsi"/>
                <w:b w:val="0"/>
                <w:noProof/>
                <w:color w:val="auto"/>
                <w:lang w:eastAsia="it-IT"/>
              </w:rPr>
              <w:tab/>
            </w:r>
            <w:r w:rsidR="00354A10" w:rsidRPr="00BE54ED">
              <w:rPr>
                <w:rStyle w:val="Collegamentoipertestuale"/>
                <w:noProof/>
              </w:rPr>
              <w:t>Il contesto normativo, programmatico e socio economico di riferimento</w:t>
            </w:r>
            <w:r w:rsidR="00354A10">
              <w:rPr>
                <w:noProof/>
                <w:webHidden/>
              </w:rPr>
              <w:tab/>
            </w:r>
            <w:r w:rsidR="00354A10">
              <w:rPr>
                <w:noProof/>
                <w:webHidden/>
              </w:rPr>
              <w:fldChar w:fldCharType="begin"/>
            </w:r>
            <w:r w:rsidR="00354A10">
              <w:rPr>
                <w:noProof/>
                <w:webHidden/>
              </w:rPr>
              <w:instrText xml:space="preserve"> PAGEREF _Toc534027307 \h </w:instrText>
            </w:r>
            <w:r w:rsidR="00354A10">
              <w:rPr>
                <w:noProof/>
                <w:webHidden/>
              </w:rPr>
            </w:r>
            <w:r w:rsidR="00354A10">
              <w:rPr>
                <w:noProof/>
                <w:webHidden/>
              </w:rPr>
              <w:fldChar w:fldCharType="separate"/>
            </w:r>
            <w:r w:rsidR="00295319">
              <w:rPr>
                <w:noProof/>
                <w:webHidden/>
              </w:rPr>
              <w:t>4</w:t>
            </w:r>
            <w:r w:rsidR="00354A10">
              <w:rPr>
                <w:noProof/>
                <w:webHidden/>
              </w:rPr>
              <w:fldChar w:fldCharType="end"/>
            </w:r>
          </w:hyperlink>
        </w:p>
        <w:p w14:paraId="5012861E" w14:textId="6EE8FAD1" w:rsidR="00354A10" w:rsidRDefault="007531A9" w:rsidP="00295319">
          <w:pPr>
            <w:pStyle w:val="Sommario2"/>
            <w:rPr>
              <w:noProof/>
            </w:rPr>
          </w:pPr>
          <w:hyperlink w:anchor="_Toc534027308" w:history="1">
            <w:r w:rsidR="00354A10" w:rsidRPr="00BE54ED">
              <w:rPr>
                <w:rStyle w:val="Collegamentoipertestuale"/>
                <w:noProof/>
              </w:rPr>
              <w:t>2.1</w:t>
            </w:r>
            <w:r w:rsidR="00354A10">
              <w:rPr>
                <w:noProof/>
              </w:rPr>
              <w:tab/>
            </w:r>
            <w:r w:rsidR="00354A10" w:rsidRPr="00BE54ED">
              <w:rPr>
                <w:rStyle w:val="Collegamentoipertestuale"/>
                <w:noProof/>
              </w:rPr>
              <w:t>Le pari opportunità in Europa: accenni normativi</w:t>
            </w:r>
            <w:r w:rsidR="00354A10">
              <w:rPr>
                <w:noProof/>
                <w:webHidden/>
              </w:rPr>
              <w:tab/>
            </w:r>
            <w:r w:rsidR="00354A10">
              <w:rPr>
                <w:noProof/>
                <w:webHidden/>
              </w:rPr>
              <w:fldChar w:fldCharType="begin"/>
            </w:r>
            <w:r w:rsidR="00354A10">
              <w:rPr>
                <w:noProof/>
                <w:webHidden/>
              </w:rPr>
              <w:instrText xml:space="preserve"> PAGEREF _Toc534027308 \h </w:instrText>
            </w:r>
            <w:r w:rsidR="00354A10">
              <w:rPr>
                <w:noProof/>
                <w:webHidden/>
              </w:rPr>
            </w:r>
            <w:r w:rsidR="00354A10">
              <w:rPr>
                <w:noProof/>
                <w:webHidden/>
              </w:rPr>
              <w:fldChar w:fldCharType="separate"/>
            </w:r>
            <w:r w:rsidR="00295319">
              <w:rPr>
                <w:noProof/>
                <w:webHidden/>
              </w:rPr>
              <w:t>4</w:t>
            </w:r>
            <w:r w:rsidR="00354A10">
              <w:rPr>
                <w:noProof/>
                <w:webHidden/>
              </w:rPr>
              <w:fldChar w:fldCharType="end"/>
            </w:r>
          </w:hyperlink>
        </w:p>
        <w:p w14:paraId="71B0065C" w14:textId="2A1DB46E" w:rsidR="00354A10" w:rsidRDefault="007531A9" w:rsidP="00295319">
          <w:pPr>
            <w:pStyle w:val="Sommario2"/>
            <w:rPr>
              <w:noProof/>
            </w:rPr>
          </w:pPr>
          <w:hyperlink w:anchor="_Toc534027309" w:history="1">
            <w:r w:rsidR="00354A10" w:rsidRPr="00BE54ED">
              <w:rPr>
                <w:rStyle w:val="Collegamentoipertestuale"/>
                <w:noProof/>
              </w:rPr>
              <w:t>2.2</w:t>
            </w:r>
            <w:r w:rsidR="00354A10">
              <w:rPr>
                <w:noProof/>
              </w:rPr>
              <w:tab/>
            </w:r>
            <w:r w:rsidR="00354A10" w:rsidRPr="00BE54ED">
              <w:rPr>
                <w:rStyle w:val="Collegamentoipertestuale"/>
                <w:noProof/>
              </w:rPr>
              <w:t>L’Imprenditoria femminile in Europa</w:t>
            </w:r>
            <w:r w:rsidR="00354A10">
              <w:rPr>
                <w:noProof/>
                <w:webHidden/>
              </w:rPr>
              <w:tab/>
            </w:r>
            <w:r w:rsidR="00354A10">
              <w:rPr>
                <w:noProof/>
                <w:webHidden/>
              </w:rPr>
              <w:fldChar w:fldCharType="begin"/>
            </w:r>
            <w:r w:rsidR="00354A10">
              <w:rPr>
                <w:noProof/>
                <w:webHidden/>
              </w:rPr>
              <w:instrText xml:space="preserve"> PAGEREF _Toc534027309 \h </w:instrText>
            </w:r>
            <w:r w:rsidR="00354A10">
              <w:rPr>
                <w:noProof/>
                <w:webHidden/>
              </w:rPr>
            </w:r>
            <w:r w:rsidR="00354A10">
              <w:rPr>
                <w:noProof/>
                <w:webHidden/>
              </w:rPr>
              <w:fldChar w:fldCharType="separate"/>
            </w:r>
            <w:r w:rsidR="00295319">
              <w:rPr>
                <w:noProof/>
                <w:webHidden/>
              </w:rPr>
              <w:t>8</w:t>
            </w:r>
            <w:r w:rsidR="00354A10">
              <w:rPr>
                <w:noProof/>
                <w:webHidden/>
              </w:rPr>
              <w:fldChar w:fldCharType="end"/>
            </w:r>
          </w:hyperlink>
        </w:p>
        <w:p w14:paraId="08F0F2FB" w14:textId="16A86D30" w:rsidR="00354A10" w:rsidRDefault="007531A9" w:rsidP="00295319">
          <w:pPr>
            <w:pStyle w:val="Sommario2"/>
            <w:rPr>
              <w:noProof/>
            </w:rPr>
          </w:pPr>
          <w:hyperlink w:anchor="_Toc534027310" w:history="1">
            <w:r w:rsidR="00354A10" w:rsidRPr="00BE54ED">
              <w:rPr>
                <w:rStyle w:val="Collegamentoipertestuale"/>
                <w:noProof/>
              </w:rPr>
              <w:t>2.3</w:t>
            </w:r>
            <w:r w:rsidR="00354A10">
              <w:rPr>
                <w:noProof/>
              </w:rPr>
              <w:tab/>
            </w:r>
            <w:r w:rsidR="00354A10" w:rsidRPr="00BE54ED">
              <w:rPr>
                <w:rStyle w:val="Collegamentoipertestuale"/>
                <w:noProof/>
              </w:rPr>
              <w:t>La PAC e l'imprenditoria femminile</w:t>
            </w:r>
            <w:r w:rsidR="00354A10">
              <w:rPr>
                <w:noProof/>
                <w:webHidden/>
              </w:rPr>
              <w:tab/>
            </w:r>
            <w:r w:rsidR="00354A10">
              <w:rPr>
                <w:noProof/>
                <w:webHidden/>
              </w:rPr>
              <w:fldChar w:fldCharType="begin"/>
            </w:r>
            <w:r w:rsidR="00354A10">
              <w:rPr>
                <w:noProof/>
                <w:webHidden/>
              </w:rPr>
              <w:instrText xml:space="preserve"> PAGEREF _Toc534027310 \h </w:instrText>
            </w:r>
            <w:r w:rsidR="00354A10">
              <w:rPr>
                <w:noProof/>
                <w:webHidden/>
              </w:rPr>
            </w:r>
            <w:r w:rsidR="00354A10">
              <w:rPr>
                <w:noProof/>
                <w:webHidden/>
              </w:rPr>
              <w:fldChar w:fldCharType="separate"/>
            </w:r>
            <w:r w:rsidR="00295319">
              <w:rPr>
                <w:noProof/>
                <w:webHidden/>
              </w:rPr>
              <w:t>10</w:t>
            </w:r>
            <w:r w:rsidR="00354A10">
              <w:rPr>
                <w:noProof/>
                <w:webHidden/>
              </w:rPr>
              <w:fldChar w:fldCharType="end"/>
            </w:r>
          </w:hyperlink>
        </w:p>
        <w:p w14:paraId="1EA64EE4" w14:textId="5C4B7C6B" w:rsidR="00354A10" w:rsidRDefault="007531A9" w:rsidP="00295319">
          <w:pPr>
            <w:pStyle w:val="Sommario2"/>
            <w:rPr>
              <w:noProof/>
            </w:rPr>
          </w:pPr>
          <w:hyperlink w:anchor="_Toc534027311" w:history="1">
            <w:r w:rsidR="00354A10" w:rsidRPr="00BE54ED">
              <w:rPr>
                <w:rStyle w:val="Collegamentoipertestuale"/>
                <w:rFonts w:cs="Times New Roman"/>
                <w:noProof/>
              </w:rPr>
              <w:t>2.4</w:t>
            </w:r>
            <w:r w:rsidR="00354A10">
              <w:rPr>
                <w:noProof/>
              </w:rPr>
              <w:tab/>
            </w:r>
            <w:r w:rsidR="00354A10" w:rsidRPr="00BE54ED">
              <w:rPr>
                <w:rStyle w:val="Collegamentoipertestuale"/>
                <w:rFonts w:cs="Times New Roman"/>
                <w:noProof/>
              </w:rPr>
              <w:t>L’imprenditoria femminile in genere e agricola in Italia</w:t>
            </w:r>
            <w:r w:rsidR="00354A10">
              <w:rPr>
                <w:noProof/>
                <w:webHidden/>
              </w:rPr>
              <w:tab/>
            </w:r>
            <w:r w:rsidR="00354A10">
              <w:rPr>
                <w:noProof/>
                <w:webHidden/>
              </w:rPr>
              <w:fldChar w:fldCharType="begin"/>
            </w:r>
            <w:r w:rsidR="00354A10">
              <w:rPr>
                <w:noProof/>
                <w:webHidden/>
              </w:rPr>
              <w:instrText xml:space="preserve"> PAGEREF _Toc534027311 \h </w:instrText>
            </w:r>
            <w:r w:rsidR="00354A10">
              <w:rPr>
                <w:noProof/>
                <w:webHidden/>
              </w:rPr>
            </w:r>
            <w:r w:rsidR="00354A10">
              <w:rPr>
                <w:noProof/>
                <w:webHidden/>
              </w:rPr>
              <w:fldChar w:fldCharType="separate"/>
            </w:r>
            <w:r w:rsidR="00295319">
              <w:rPr>
                <w:noProof/>
                <w:webHidden/>
              </w:rPr>
              <w:t>12</w:t>
            </w:r>
            <w:r w:rsidR="00354A10">
              <w:rPr>
                <w:noProof/>
                <w:webHidden/>
              </w:rPr>
              <w:fldChar w:fldCharType="end"/>
            </w:r>
          </w:hyperlink>
        </w:p>
        <w:p w14:paraId="6D2D5425" w14:textId="75CE7918" w:rsidR="00354A10" w:rsidRDefault="007531A9">
          <w:pPr>
            <w:pStyle w:val="Sommario1"/>
            <w:rPr>
              <w:rFonts w:asciiTheme="minorHAnsi" w:eastAsiaTheme="minorEastAsia" w:hAnsiTheme="minorHAnsi"/>
              <w:b w:val="0"/>
              <w:noProof/>
              <w:color w:val="auto"/>
              <w:lang w:eastAsia="it-IT"/>
            </w:rPr>
          </w:pPr>
          <w:hyperlink w:anchor="_Toc534027312" w:history="1">
            <w:r w:rsidR="00354A10" w:rsidRPr="00BE54ED">
              <w:rPr>
                <w:rStyle w:val="Collegamentoipertestuale"/>
                <w:noProof/>
              </w:rPr>
              <w:t>3.</w:t>
            </w:r>
            <w:r w:rsidR="00354A10">
              <w:rPr>
                <w:rFonts w:asciiTheme="minorHAnsi" w:eastAsiaTheme="minorEastAsia" w:hAnsiTheme="minorHAnsi"/>
                <w:b w:val="0"/>
                <w:noProof/>
                <w:color w:val="auto"/>
                <w:lang w:eastAsia="it-IT"/>
              </w:rPr>
              <w:tab/>
            </w:r>
            <w:r w:rsidR="00354A10" w:rsidRPr="00BE54ED">
              <w:rPr>
                <w:rStyle w:val="Collegamentoipertestuale"/>
                <w:noProof/>
              </w:rPr>
              <w:t>La strategia del PSR della Regione Umbria sulle politiche di genere e, in particolare, a favore dell’imprenditoria femminile in agricoltura</w:t>
            </w:r>
            <w:r w:rsidR="00354A10">
              <w:rPr>
                <w:noProof/>
                <w:webHidden/>
              </w:rPr>
              <w:tab/>
            </w:r>
            <w:r w:rsidR="00354A10">
              <w:rPr>
                <w:noProof/>
                <w:webHidden/>
              </w:rPr>
              <w:fldChar w:fldCharType="begin"/>
            </w:r>
            <w:r w:rsidR="00354A10">
              <w:rPr>
                <w:noProof/>
                <w:webHidden/>
              </w:rPr>
              <w:instrText xml:space="preserve"> PAGEREF _Toc534027312 \h </w:instrText>
            </w:r>
            <w:r w:rsidR="00354A10">
              <w:rPr>
                <w:noProof/>
                <w:webHidden/>
              </w:rPr>
            </w:r>
            <w:r w:rsidR="00354A10">
              <w:rPr>
                <w:noProof/>
                <w:webHidden/>
              </w:rPr>
              <w:fldChar w:fldCharType="separate"/>
            </w:r>
            <w:r w:rsidR="00295319">
              <w:rPr>
                <w:noProof/>
                <w:webHidden/>
              </w:rPr>
              <w:t>15</w:t>
            </w:r>
            <w:r w:rsidR="00354A10">
              <w:rPr>
                <w:noProof/>
                <w:webHidden/>
              </w:rPr>
              <w:fldChar w:fldCharType="end"/>
            </w:r>
          </w:hyperlink>
        </w:p>
        <w:p w14:paraId="7F020F0A" w14:textId="1B1435AD" w:rsidR="00354A10" w:rsidRDefault="007531A9" w:rsidP="00295319">
          <w:pPr>
            <w:pStyle w:val="Sommario2"/>
            <w:ind w:left="567" w:hanging="347"/>
            <w:rPr>
              <w:noProof/>
            </w:rPr>
          </w:pPr>
          <w:hyperlink w:anchor="_Toc534027313" w:history="1">
            <w:r w:rsidR="00354A10" w:rsidRPr="00BE54ED">
              <w:rPr>
                <w:rStyle w:val="Collegamentoipertestuale"/>
                <w:noProof/>
              </w:rPr>
              <w:t>3.1</w:t>
            </w:r>
            <w:r w:rsidR="00354A10">
              <w:rPr>
                <w:noProof/>
              </w:rPr>
              <w:tab/>
            </w:r>
            <w:r w:rsidR="00354A10" w:rsidRPr="00BE54ED">
              <w:rPr>
                <w:rStyle w:val="Collegamentoipertestuale"/>
                <w:noProof/>
              </w:rPr>
              <w:t>L’evoluzione del contesto regionale in merito all'imprenditoria agricola femminile tra la precedente e l’attuale programmazione</w:t>
            </w:r>
            <w:r w:rsidR="00354A10">
              <w:rPr>
                <w:noProof/>
                <w:webHidden/>
              </w:rPr>
              <w:tab/>
            </w:r>
            <w:r w:rsidR="00354A10">
              <w:rPr>
                <w:noProof/>
                <w:webHidden/>
              </w:rPr>
              <w:fldChar w:fldCharType="begin"/>
            </w:r>
            <w:r w:rsidR="00354A10">
              <w:rPr>
                <w:noProof/>
                <w:webHidden/>
              </w:rPr>
              <w:instrText xml:space="preserve"> PAGEREF _Toc534027313 \h </w:instrText>
            </w:r>
            <w:r w:rsidR="00354A10">
              <w:rPr>
                <w:noProof/>
                <w:webHidden/>
              </w:rPr>
            </w:r>
            <w:r w:rsidR="00354A10">
              <w:rPr>
                <w:noProof/>
                <w:webHidden/>
              </w:rPr>
              <w:fldChar w:fldCharType="separate"/>
            </w:r>
            <w:r w:rsidR="00295319">
              <w:rPr>
                <w:noProof/>
                <w:webHidden/>
              </w:rPr>
              <w:t>15</w:t>
            </w:r>
            <w:r w:rsidR="00354A10">
              <w:rPr>
                <w:noProof/>
                <w:webHidden/>
              </w:rPr>
              <w:fldChar w:fldCharType="end"/>
            </w:r>
          </w:hyperlink>
        </w:p>
        <w:p w14:paraId="0D07FFBA" w14:textId="6D9AD66A" w:rsidR="00354A10" w:rsidRDefault="007531A9" w:rsidP="00295319">
          <w:pPr>
            <w:pStyle w:val="Sommario2"/>
            <w:ind w:left="567" w:hanging="347"/>
            <w:rPr>
              <w:noProof/>
            </w:rPr>
          </w:pPr>
          <w:hyperlink w:anchor="_Toc534027314" w:history="1">
            <w:r w:rsidR="00354A10" w:rsidRPr="00BE54ED">
              <w:rPr>
                <w:rStyle w:val="Collegamentoipertestuale"/>
                <w:noProof/>
              </w:rPr>
              <w:t>3.2</w:t>
            </w:r>
            <w:r w:rsidR="00354A10">
              <w:rPr>
                <w:noProof/>
              </w:rPr>
              <w:tab/>
            </w:r>
            <w:r w:rsidR="00354A10" w:rsidRPr="00BE54ED">
              <w:rPr>
                <w:rStyle w:val="Collegamentoipertestuale"/>
                <w:noProof/>
              </w:rPr>
              <w:t>La strategia del PSR Umbria in merito al tema della parità di genere (giovani e donne) e al sostegno all’imprenditoria femminile agricola, differenze tra vecchia e nuova programmazione</w:t>
            </w:r>
            <w:r w:rsidR="00354A10">
              <w:rPr>
                <w:noProof/>
                <w:webHidden/>
              </w:rPr>
              <w:tab/>
            </w:r>
            <w:r w:rsidR="00354A10">
              <w:rPr>
                <w:noProof/>
                <w:webHidden/>
              </w:rPr>
              <w:fldChar w:fldCharType="begin"/>
            </w:r>
            <w:r w:rsidR="00354A10">
              <w:rPr>
                <w:noProof/>
                <w:webHidden/>
              </w:rPr>
              <w:instrText xml:space="preserve"> PAGEREF _Toc534027314 \h </w:instrText>
            </w:r>
            <w:r w:rsidR="00354A10">
              <w:rPr>
                <w:noProof/>
                <w:webHidden/>
              </w:rPr>
            </w:r>
            <w:r w:rsidR="00354A10">
              <w:rPr>
                <w:noProof/>
                <w:webHidden/>
              </w:rPr>
              <w:fldChar w:fldCharType="separate"/>
            </w:r>
            <w:r w:rsidR="00295319">
              <w:rPr>
                <w:noProof/>
                <w:webHidden/>
              </w:rPr>
              <w:t>21</w:t>
            </w:r>
            <w:r w:rsidR="00354A10">
              <w:rPr>
                <w:noProof/>
                <w:webHidden/>
              </w:rPr>
              <w:fldChar w:fldCharType="end"/>
            </w:r>
          </w:hyperlink>
        </w:p>
        <w:p w14:paraId="06EA3740" w14:textId="46CDB759" w:rsidR="00354A10" w:rsidRDefault="007531A9" w:rsidP="00295319">
          <w:pPr>
            <w:pStyle w:val="Sommario2"/>
            <w:rPr>
              <w:noProof/>
            </w:rPr>
          </w:pPr>
          <w:hyperlink w:anchor="_Toc534027315" w:history="1">
            <w:r w:rsidR="00354A10" w:rsidRPr="00BE54ED">
              <w:rPr>
                <w:rStyle w:val="Collegamentoipertestuale"/>
                <w:noProof/>
              </w:rPr>
              <w:t>3.3</w:t>
            </w:r>
            <w:r w:rsidR="00354A10">
              <w:rPr>
                <w:noProof/>
              </w:rPr>
              <w:tab/>
            </w:r>
            <w:r w:rsidR="00354A10" w:rsidRPr="00BE54ED">
              <w:rPr>
                <w:rStyle w:val="Collegamentoipertestuale"/>
                <w:noProof/>
              </w:rPr>
              <w:t>Esiti delle indagini dirette condotte sulle aziende agricole femminili in Umbria</w:t>
            </w:r>
            <w:r w:rsidR="00354A10">
              <w:rPr>
                <w:noProof/>
                <w:webHidden/>
              </w:rPr>
              <w:tab/>
            </w:r>
            <w:r w:rsidR="00354A10">
              <w:rPr>
                <w:noProof/>
                <w:webHidden/>
              </w:rPr>
              <w:fldChar w:fldCharType="begin"/>
            </w:r>
            <w:r w:rsidR="00354A10">
              <w:rPr>
                <w:noProof/>
                <w:webHidden/>
              </w:rPr>
              <w:instrText xml:space="preserve"> PAGEREF _Toc534027315 \h </w:instrText>
            </w:r>
            <w:r w:rsidR="00354A10">
              <w:rPr>
                <w:noProof/>
                <w:webHidden/>
              </w:rPr>
            </w:r>
            <w:r w:rsidR="00354A10">
              <w:rPr>
                <w:noProof/>
                <w:webHidden/>
              </w:rPr>
              <w:fldChar w:fldCharType="separate"/>
            </w:r>
            <w:r w:rsidR="00295319">
              <w:rPr>
                <w:noProof/>
                <w:webHidden/>
              </w:rPr>
              <w:t>26</w:t>
            </w:r>
            <w:r w:rsidR="00354A10">
              <w:rPr>
                <w:noProof/>
                <w:webHidden/>
              </w:rPr>
              <w:fldChar w:fldCharType="end"/>
            </w:r>
          </w:hyperlink>
        </w:p>
        <w:p w14:paraId="625639F6" w14:textId="55D839DB" w:rsidR="00354A10" w:rsidRDefault="007531A9">
          <w:pPr>
            <w:pStyle w:val="Sommario1"/>
            <w:rPr>
              <w:rFonts w:asciiTheme="minorHAnsi" w:eastAsiaTheme="minorEastAsia" w:hAnsiTheme="minorHAnsi"/>
              <w:b w:val="0"/>
              <w:noProof/>
              <w:color w:val="auto"/>
              <w:lang w:eastAsia="it-IT"/>
            </w:rPr>
          </w:pPr>
          <w:hyperlink w:anchor="_Toc534027316" w:history="1">
            <w:r w:rsidR="00354A10" w:rsidRPr="00BE54ED">
              <w:rPr>
                <w:rStyle w:val="Collegamentoipertestuale"/>
                <w:noProof/>
              </w:rPr>
              <w:t>4.</w:t>
            </w:r>
            <w:r w:rsidR="00354A10">
              <w:rPr>
                <w:rFonts w:asciiTheme="minorHAnsi" w:eastAsiaTheme="minorEastAsia" w:hAnsiTheme="minorHAnsi"/>
                <w:b w:val="0"/>
                <w:noProof/>
                <w:color w:val="auto"/>
                <w:lang w:eastAsia="it-IT"/>
              </w:rPr>
              <w:tab/>
            </w:r>
            <w:r w:rsidR="00354A10" w:rsidRPr="00BE54ED">
              <w:rPr>
                <w:rStyle w:val="Collegamentoipertestuale"/>
                <w:noProof/>
              </w:rPr>
              <w:t>Conclusioni e raccomandazioni</w:t>
            </w:r>
            <w:r w:rsidR="00354A10">
              <w:rPr>
                <w:noProof/>
                <w:webHidden/>
              </w:rPr>
              <w:tab/>
            </w:r>
            <w:r w:rsidR="00354A10">
              <w:rPr>
                <w:noProof/>
                <w:webHidden/>
              </w:rPr>
              <w:fldChar w:fldCharType="begin"/>
            </w:r>
            <w:r w:rsidR="00354A10">
              <w:rPr>
                <w:noProof/>
                <w:webHidden/>
              </w:rPr>
              <w:instrText xml:space="preserve"> PAGEREF _Toc534027316 \h </w:instrText>
            </w:r>
            <w:r w:rsidR="00354A10">
              <w:rPr>
                <w:noProof/>
                <w:webHidden/>
              </w:rPr>
            </w:r>
            <w:r w:rsidR="00354A10">
              <w:rPr>
                <w:noProof/>
                <w:webHidden/>
              </w:rPr>
              <w:fldChar w:fldCharType="separate"/>
            </w:r>
            <w:r w:rsidR="00295319">
              <w:rPr>
                <w:noProof/>
                <w:webHidden/>
              </w:rPr>
              <w:t>29</w:t>
            </w:r>
            <w:r w:rsidR="00354A10">
              <w:rPr>
                <w:noProof/>
                <w:webHidden/>
              </w:rPr>
              <w:fldChar w:fldCharType="end"/>
            </w:r>
          </w:hyperlink>
        </w:p>
        <w:p w14:paraId="20FA768C" w14:textId="5384487E" w:rsidR="00354A10" w:rsidRDefault="007531A9">
          <w:pPr>
            <w:pStyle w:val="Sommario1"/>
            <w:rPr>
              <w:rFonts w:asciiTheme="minorHAnsi" w:eastAsiaTheme="minorEastAsia" w:hAnsiTheme="minorHAnsi"/>
              <w:b w:val="0"/>
              <w:noProof/>
              <w:color w:val="auto"/>
              <w:lang w:eastAsia="it-IT"/>
            </w:rPr>
          </w:pPr>
          <w:hyperlink w:anchor="_Toc534027317" w:history="1">
            <w:r w:rsidR="00354A10" w:rsidRPr="00BE54ED">
              <w:rPr>
                <w:rStyle w:val="Collegamentoipertestuale"/>
                <w:noProof/>
              </w:rPr>
              <w:t>Allegato – Interviste a testimoni privilegiati</w:t>
            </w:r>
            <w:r w:rsidR="00354A10">
              <w:rPr>
                <w:noProof/>
                <w:webHidden/>
              </w:rPr>
              <w:tab/>
            </w:r>
            <w:r w:rsidR="00354A10">
              <w:rPr>
                <w:noProof/>
                <w:webHidden/>
              </w:rPr>
              <w:fldChar w:fldCharType="begin"/>
            </w:r>
            <w:r w:rsidR="00354A10">
              <w:rPr>
                <w:noProof/>
                <w:webHidden/>
              </w:rPr>
              <w:instrText xml:space="preserve"> PAGEREF _Toc534027317 \h </w:instrText>
            </w:r>
            <w:r w:rsidR="00354A10">
              <w:rPr>
                <w:noProof/>
                <w:webHidden/>
              </w:rPr>
            </w:r>
            <w:r w:rsidR="00354A10">
              <w:rPr>
                <w:noProof/>
                <w:webHidden/>
              </w:rPr>
              <w:fldChar w:fldCharType="separate"/>
            </w:r>
            <w:r w:rsidR="00295319">
              <w:rPr>
                <w:noProof/>
                <w:webHidden/>
              </w:rPr>
              <w:t>30</w:t>
            </w:r>
            <w:r w:rsidR="00354A10">
              <w:rPr>
                <w:noProof/>
                <w:webHidden/>
              </w:rPr>
              <w:fldChar w:fldCharType="end"/>
            </w:r>
          </w:hyperlink>
        </w:p>
        <w:p w14:paraId="5090ED3F" w14:textId="2E8DA106" w:rsidR="00401D82" w:rsidRPr="005A00DB" w:rsidRDefault="00401D82" w:rsidP="00695C90">
          <w:pPr>
            <w:tabs>
              <w:tab w:val="left" w:pos="993"/>
            </w:tabs>
            <w:ind w:hanging="567"/>
          </w:pPr>
          <w:r w:rsidRPr="003B44A6">
            <w:rPr>
              <w:rFonts w:cs="Times New Roman"/>
              <w:b/>
              <w:color w:val="1F4E79" w:themeColor="accent1" w:themeShade="80"/>
            </w:rPr>
            <w:fldChar w:fldCharType="end"/>
          </w:r>
        </w:p>
      </w:sdtContent>
    </w:sdt>
    <w:p w14:paraId="62EA62AD" w14:textId="77777777" w:rsidR="00401D82" w:rsidRPr="005A00DB" w:rsidRDefault="00401D82" w:rsidP="00401D82">
      <w:pPr>
        <w:spacing w:after="160" w:line="259" w:lineRule="auto"/>
        <w:sectPr w:rsidR="00401D82" w:rsidRPr="005A00DB" w:rsidSect="00262795">
          <w:headerReference w:type="first" r:id="rId12"/>
          <w:footerReference w:type="first" r:id="rId13"/>
          <w:pgSz w:w="11906" w:h="16838"/>
          <w:pgMar w:top="720" w:right="720" w:bottom="720" w:left="720" w:header="708" w:footer="708" w:gutter="0"/>
          <w:pgNumType w:start="1"/>
          <w:cols w:space="708"/>
          <w:titlePg/>
          <w:docGrid w:linePitch="360"/>
        </w:sectPr>
      </w:pPr>
    </w:p>
    <w:p w14:paraId="54D86A0D" w14:textId="77777777" w:rsidR="00401D82" w:rsidRPr="005A00DB" w:rsidRDefault="00CB7FE0" w:rsidP="003C354A">
      <w:pPr>
        <w:pStyle w:val="CapitoloTitolo"/>
        <w:numPr>
          <w:ilvl w:val="0"/>
          <w:numId w:val="0"/>
        </w:numPr>
        <w:ind w:left="360" w:hanging="360"/>
      </w:pPr>
      <w:bookmarkStart w:id="0" w:name="_Toc534027305"/>
      <w:r w:rsidRPr="005A00DB">
        <w:lastRenderedPageBreak/>
        <w:t>Premessa</w:t>
      </w:r>
      <w:bookmarkEnd w:id="0"/>
    </w:p>
    <w:p w14:paraId="6820705F" w14:textId="235F3E8A" w:rsidR="007E1B4B" w:rsidRDefault="007E1B4B" w:rsidP="009F3415">
      <w:r>
        <w:t>Il presente Rapporto costituisce il primo degli approfondimenti tematici</w:t>
      </w:r>
      <w:r w:rsidRPr="00973D25">
        <w:t xml:space="preserve"> </w:t>
      </w:r>
      <w:r w:rsidR="00A31BDF">
        <w:t>realizzato dal</w:t>
      </w:r>
      <w:r>
        <w:t xml:space="preserve"> Valutatore indipendente del PSR Umbria 2014/2020 durante il corso del servizio. In accordo con l’Autorità di Gestione </w:t>
      </w:r>
      <w:r w:rsidRPr="007E1B4B">
        <w:t>l’approfondimento verte su</w:t>
      </w:r>
      <w:r w:rsidRPr="00C142B2">
        <w:rPr>
          <w:rStyle w:val="Enfasigrassetto"/>
        </w:rPr>
        <w:t xml:space="preserve"> “Pari opportunità e imprenditoria agricola femminile nel PSR Umbria 2014/2020”</w:t>
      </w:r>
      <w:r>
        <w:t xml:space="preserve">, tema definito a partire dall’interesse manifestato, tra gli altri, dalla Consigliera per le pari opportunità nel corso del Comitato di Sorveglianza del 21 giugno u.s. e con una successiva </w:t>
      </w:r>
      <w:r w:rsidR="000B13A1">
        <w:t>N</w:t>
      </w:r>
      <w:r>
        <w:t>ota dei primi di ottobre.</w:t>
      </w:r>
    </w:p>
    <w:p w14:paraId="655CB351" w14:textId="0F3CF4F9" w:rsidR="007E1B4B" w:rsidRDefault="007E1B4B" w:rsidP="009F3415">
      <w:r>
        <w:t xml:space="preserve">Nella citata Nota si chiede in particolare, ove possibile, un aggiornamento dei dati di contesto con riferimento in particolare </w:t>
      </w:r>
      <w:r w:rsidR="000B13A1">
        <w:t>a</w:t>
      </w:r>
      <w:r w:rsidR="000B13A1" w:rsidRPr="000B13A1">
        <w:t xml:space="preserve">lle aziende agricole condotte da </w:t>
      </w:r>
      <w:r w:rsidR="000B13A1" w:rsidRPr="00A31BDF">
        <w:t>giovani</w:t>
      </w:r>
      <w:r w:rsidR="000B13A1" w:rsidRPr="000B13A1">
        <w:t xml:space="preserve"> e da donne</w:t>
      </w:r>
      <w:r w:rsidR="000B13A1">
        <w:t xml:space="preserve">, nonché di verificare </w:t>
      </w:r>
      <w:r w:rsidR="000B13A1">
        <w:rPr>
          <w:rFonts w:cs="Times New Roman"/>
        </w:rPr>
        <w:t>«</w:t>
      </w:r>
      <w:r w:rsidR="000B13A1" w:rsidRPr="000B13A1">
        <w:rPr>
          <w:i/>
        </w:rPr>
        <w:t>l’efficacia</w:t>
      </w:r>
      <w:r w:rsidRPr="000B13A1">
        <w:rPr>
          <w:i/>
        </w:rPr>
        <w:t xml:space="preserve"> del duplice meccanismo predisposto dall’Autorità di gestione del PSR (passivo, dove la tipologia d’intervento implicita è volta ad impedire una qualsiasi discriminazione di genere o sociale e uno attivo, che prevede interventi di pari opportunità esplicite) </w:t>
      </w:r>
      <w:r w:rsidR="000B13A1" w:rsidRPr="000B13A1">
        <w:rPr>
          <w:i/>
        </w:rPr>
        <w:t xml:space="preserve">attraverso </w:t>
      </w:r>
      <w:r w:rsidRPr="000B13A1">
        <w:rPr>
          <w:i/>
        </w:rPr>
        <w:t xml:space="preserve">un’analisi </w:t>
      </w:r>
      <w:r w:rsidR="000B13A1" w:rsidRPr="000B13A1">
        <w:rPr>
          <w:i/>
        </w:rPr>
        <w:t>che restituisca</w:t>
      </w:r>
      <w:r w:rsidRPr="000B13A1">
        <w:rPr>
          <w:i/>
        </w:rPr>
        <w:t xml:space="preserve"> una prospettiva d</w:t>
      </w:r>
      <w:r w:rsidR="000B13A1" w:rsidRPr="000B13A1">
        <w:rPr>
          <w:i/>
        </w:rPr>
        <w:t>elle politiche per le pari opportunità</w:t>
      </w:r>
      <w:r w:rsidRPr="000B13A1">
        <w:rPr>
          <w:i/>
        </w:rPr>
        <w:t xml:space="preserve"> che verifichi se le azioni trasversali senza premialità esplicite stiano centrando gli obiettivi e anche i risultati intermedi delle aziende là dove la premialità è esplicita</w:t>
      </w:r>
      <w:r w:rsidR="000B13A1">
        <w:rPr>
          <w:rFonts w:cs="Times New Roman"/>
          <w:i/>
        </w:rPr>
        <w:t>»</w:t>
      </w:r>
      <w:r w:rsidRPr="007E1B4B">
        <w:t xml:space="preserve">. </w:t>
      </w:r>
    </w:p>
    <w:p w14:paraId="60DE3576" w14:textId="2AC61F36" w:rsidR="000B13A1" w:rsidRPr="00A31BDF" w:rsidRDefault="000B13A1" w:rsidP="00A31BDF">
      <w:pPr>
        <w:rPr>
          <w:rStyle w:val="Enfasigrassetto"/>
          <w:b w:val="0"/>
          <w:color w:val="auto"/>
        </w:rPr>
      </w:pPr>
      <w:r>
        <w:t xml:space="preserve">Al fine di rispondere alle questioni sollevate, l’analisi si è </w:t>
      </w:r>
      <w:r w:rsidRPr="00A31BDF">
        <w:t>soffermata su</w:t>
      </w:r>
      <w:r w:rsidR="00A31BDF">
        <w:t>i seguenti aspetti</w:t>
      </w:r>
      <w:r w:rsidRPr="00A31BDF">
        <w:rPr>
          <w:rStyle w:val="Enfasigrassetto"/>
          <w:b w:val="0"/>
          <w:color w:val="auto"/>
        </w:rPr>
        <w:t>:</w:t>
      </w:r>
    </w:p>
    <w:p w14:paraId="713B9F6A" w14:textId="77777777" w:rsidR="00922DAF" w:rsidRPr="00A31BDF" w:rsidRDefault="00922DAF" w:rsidP="00A31BDF">
      <w:pPr>
        <w:rPr>
          <w:rStyle w:val="Enfasigrassetto"/>
          <w:b w:val="0"/>
          <w:color w:val="auto"/>
        </w:rPr>
      </w:pPr>
    </w:p>
    <w:p w14:paraId="20EF693C" w14:textId="752C80DF" w:rsidR="000B13A1" w:rsidRDefault="000B13A1" w:rsidP="000B13A1">
      <w:pPr>
        <w:pStyle w:val="Paragrafoelenco"/>
        <w:numPr>
          <w:ilvl w:val="0"/>
          <w:numId w:val="9"/>
        </w:numPr>
      </w:pPr>
      <w:r>
        <w:t xml:space="preserve">il </w:t>
      </w:r>
      <w:r w:rsidRPr="00550D41">
        <w:t>contesto normativo, programmatico e socio economico di riferimento</w:t>
      </w:r>
      <w:r>
        <w:t xml:space="preserve"> </w:t>
      </w:r>
      <w:r w:rsidR="00500B87">
        <w:t>a livello europeo</w:t>
      </w:r>
      <w:r w:rsidR="00922DAF">
        <w:t xml:space="preserve"> e</w:t>
      </w:r>
      <w:r w:rsidR="00500B87">
        <w:t xml:space="preserve"> nazionale </w:t>
      </w:r>
      <w:r>
        <w:t>per le politiche atte a promuovere le pari opportunità e l’imprenditoria femminile [</w:t>
      </w:r>
      <w:r w:rsidRPr="000B13A1">
        <w:rPr>
          <w:rStyle w:val="Enfasigrassetto"/>
        </w:rPr>
        <w:t xml:space="preserve">Capitolo </w:t>
      </w:r>
      <w:r>
        <w:rPr>
          <w:rStyle w:val="Enfasigrassetto"/>
        </w:rPr>
        <w:t>2</w:t>
      </w:r>
      <w:r>
        <w:t xml:space="preserve">]; </w:t>
      </w:r>
    </w:p>
    <w:p w14:paraId="31DE45B9" w14:textId="39AF25CC" w:rsidR="00500B87" w:rsidRDefault="00922DAF" w:rsidP="00500B87">
      <w:pPr>
        <w:pStyle w:val="Paragrafoelenco"/>
        <w:numPr>
          <w:ilvl w:val="0"/>
          <w:numId w:val="9"/>
        </w:numPr>
      </w:pPr>
      <w:r>
        <w:t>la situazione specifica della regione Umbria, con riferimento all’evoluzione delle variabili d</w:t>
      </w:r>
      <w:r w:rsidR="007531A9" w:rsidRPr="007531A9">
        <w:rPr>
          <w:color w:val="FF0000"/>
        </w:rPr>
        <w:t>i</w:t>
      </w:r>
      <w:r>
        <w:t xml:space="preserve"> contesto, del</w:t>
      </w:r>
      <w:r w:rsidR="000B13A1">
        <w:t xml:space="preserve">la strategia del </w:t>
      </w:r>
      <w:r w:rsidR="000B13A1" w:rsidRPr="008118DE">
        <w:t xml:space="preserve">PSR Umbria </w:t>
      </w:r>
      <w:r w:rsidR="000B13A1">
        <w:t>in merito al tema della parità di genere e al sostegno all’</w:t>
      </w:r>
      <w:r w:rsidR="000B13A1" w:rsidRPr="008118DE">
        <w:t>i</w:t>
      </w:r>
      <w:r w:rsidR="000B13A1">
        <w:t>mprenditoria femminile agricola,</w:t>
      </w:r>
      <w:r w:rsidR="000B13A1" w:rsidRPr="008118DE">
        <w:t xml:space="preserve"> </w:t>
      </w:r>
      <w:r w:rsidR="000B13A1">
        <w:t xml:space="preserve">con attenzione alle </w:t>
      </w:r>
      <w:r w:rsidR="000B13A1" w:rsidRPr="008118DE">
        <w:t>differenze tra</w:t>
      </w:r>
      <w:r w:rsidR="000B13A1">
        <w:t xml:space="preserve"> vecchia e nuova programmazione</w:t>
      </w:r>
      <w:r w:rsidR="00500B87">
        <w:t>,</w:t>
      </w:r>
      <w:r>
        <w:t xml:space="preserve"> e</w:t>
      </w:r>
      <w:r w:rsidR="00500B87">
        <w:t xml:space="preserve"> alle prospettive future, anche in considerazione del recente avvio delle procedure negoziali per la definizione del nuovo ciclo di programmazione 2021-2027; tale analisi è stata arricchita con il contributo e le conoscenze di alcuni soggetti a vario titolo coinvolti nel processo di programmazione e attuazione del PSR (responsabili di misura, rappresentanti di associazioni di categoria) [</w:t>
      </w:r>
      <w:r w:rsidR="00500B87" w:rsidRPr="000B13A1">
        <w:rPr>
          <w:rStyle w:val="Enfasigrassetto"/>
        </w:rPr>
        <w:t xml:space="preserve">Capitolo </w:t>
      </w:r>
      <w:r w:rsidR="00500B87">
        <w:rPr>
          <w:rStyle w:val="Enfasigrassetto"/>
        </w:rPr>
        <w:t>3</w:t>
      </w:r>
      <w:r w:rsidR="00500B87">
        <w:t>];</w:t>
      </w:r>
    </w:p>
    <w:p w14:paraId="173C3FDB" w14:textId="476F8417" w:rsidR="000B13A1" w:rsidRDefault="00500B87" w:rsidP="00500B87">
      <w:pPr>
        <w:pStyle w:val="Paragrafoelenco"/>
        <w:numPr>
          <w:ilvl w:val="0"/>
          <w:numId w:val="9"/>
        </w:numPr>
      </w:pPr>
      <w:r>
        <w:t xml:space="preserve">ove l’avanzamento del Programma lo ha consentito, sono stati poi </w:t>
      </w:r>
      <w:r w:rsidR="00A31BDF">
        <w:t>analizzati</w:t>
      </w:r>
      <w:r>
        <w:t xml:space="preserve"> i primi</w:t>
      </w:r>
      <w:r w:rsidRPr="00550D41">
        <w:t xml:space="preserve"> dati attuativi delle Misure del PSR Umbria con effetti diretti e indiretti sugli obiettivi di pari opportunità e sull’imprenditoria femminile agricola</w:t>
      </w:r>
      <w:r>
        <w:t xml:space="preserve"> [</w:t>
      </w:r>
      <w:r w:rsidRPr="000B13A1">
        <w:rPr>
          <w:rStyle w:val="Enfasigrassetto"/>
        </w:rPr>
        <w:t xml:space="preserve">Capitolo </w:t>
      </w:r>
      <w:r>
        <w:rPr>
          <w:rStyle w:val="Enfasigrassetto"/>
        </w:rPr>
        <w:t>3</w:t>
      </w:r>
      <w:r>
        <w:t>];</w:t>
      </w:r>
    </w:p>
    <w:p w14:paraId="693DAF8B" w14:textId="77777777" w:rsidR="00922DAF" w:rsidRDefault="00922DAF" w:rsidP="00500B87"/>
    <w:p w14:paraId="03101FBB" w14:textId="39E38A4E" w:rsidR="000B13A1" w:rsidRDefault="00500B87" w:rsidP="00500B87">
      <w:r>
        <w:t xml:space="preserve">Infine al </w:t>
      </w:r>
      <w:r w:rsidR="000B13A1" w:rsidRPr="000B13A1">
        <w:rPr>
          <w:rStyle w:val="Enfasigrassetto"/>
        </w:rPr>
        <w:t xml:space="preserve">Capitolo </w:t>
      </w:r>
      <w:r>
        <w:rPr>
          <w:rStyle w:val="Enfasigrassetto"/>
        </w:rPr>
        <w:t>4</w:t>
      </w:r>
      <w:r>
        <w:t xml:space="preserve"> si riportano le principali conclusioni e raccomandazioni sui diversi aspetti affrontati sul tema in oggetto</w:t>
      </w:r>
      <w:r w:rsidR="000B13A1">
        <w:t>.</w:t>
      </w:r>
    </w:p>
    <w:p w14:paraId="308EA264" w14:textId="77777777" w:rsidR="000B13A1" w:rsidRPr="005A00DB" w:rsidRDefault="000B13A1" w:rsidP="007E1B4B"/>
    <w:p w14:paraId="1ECC1B66" w14:textId="724EACAE" w:rsidR="00401D82" w:rsidRPr="005A00DB" w:rsidRDefault="00401D82" w:rsidP="00957965">
      <w:pPr>
        <w:spacing w:after="160" w:line="259" w:lineRule="auto"/>
        <w:jc w:val="left"/>
      </w:pPr>
      <w:r w:rsidRPr="005A00DB">
        <w:br w:type="page"/>
      </w:r>
    </w:p>
    <w:p w14:paraId="25D7A8B2" w14:textId="218DC4FA" w:rsidR="003B44A6" w:rsidRDefault="003B44A6" w:rsidP="00552DB9">
      <w:pPr>
        <w:pStyle w:val="CapitoloTitolo"/>
      </w:pPr>
      <w:bookmarkStart w:id="1" w:name="_Toc534027306"/>
      <w:r>
        <w:lastRenderedPageBreak/>
        <w:t>Finalità dell’approfondimento e approccio metodologico</w:t>
      </w:r>
      <w:bookmarkEnd w:id="1"/>
    </w:p>
    <w:p w14:paraId="545CD147" w14:textId="235DC7E8" w:rsidR="00E951AA" w:rsidRDefault="00E951AA" w:rsidP="003B44A6">
      <w:r>
        <w:t>Il</w:t>
      </w:r>
      <w:r w:rsidR="003B44A6">
        <w:t xml:space="preserve"> fabbisogno conoscitivo </w:t>
      </w:r>
      <w:r>
        <w:t xml:space="preserve">espresso richiede la raccolta e la messa a sistema di elementi di conoscenza abbastanza ampi e diversificati, che mette insieme l’aggiornamento del contesto di riferimento, l’approfondimento dei cambiamenti intervenuti nella strategia regionale </w:t>
      </w:r>
      <w:r w:rsidR="001A19A0">
        <w:t>e l</w:t>
      </w:r>
      <w:r>
        <w:t>’analisi di efficacia degli interventi.</w:t>
      </w:r>
    </w:p>
    <w:p w14:paraId="1F83F8D0" w14:textId="1EED5993" w:rsidR="003B44A6" w:rsidRDefault="00E951AA" w:rsidP="003B44A6">
      <w:r>
        <w:t>Va sottolineato inoltre che n</w:t>
      </w:r>
      <w:r w:rsidR="003B44A6">
        <w:t>ell’ambito della parità di genere, l’interesse della Regione Um</w:t>
      </w:r>
      <w:r>
        <w:t>bria attiene principalmente alla partecipazione delle donne al settore agricolo, agro-alimentare e forestale e, in generale</w:t>
      </w:r>
      <w:r w:rsidR="001A19A0">
        <w:t>,</w:t>
      </w:r>
      <w:r>
        <w:t xml:space="preserve"> all’</w:t>
      </w:r>
      <w:r w:rsidR="003B44A6">
        <w:t>imprenditoria femminile.</w:t>
      </w:r>
    </w:p>
    <w:p w14:paraId="48F23F39" w14:textId="49D9ACF1" w:rsidR="001A19A0" w:rsidRDefault="001A19A0" w:rsidP="003B44A6">
      <w:r>
        <w:t xml:space="preserve">Dalle analisi valutative oggetto del presente approfondimento si intendono identificare primi elementi utili a </w:t>
      </w:r>
      <w:r w:rsidRPr="001A19A0">
        <w:rPr>
          <w:rStyle w:val="Enfasigrassetto"/>
        </w:rPr>
        <w:t>comprendere l’attualità e l’efficacia delle scelte</w:t>
      </w:r>
      <w:r>
        <w:t xml:space="preserve"> operate del </w:t>
      </w:r>
      <w:r w:rsidRPr="001A19A0">
        <w:rPr>
          <w:i/>
        </w:rPr>
        <w:t>policy maker</w:t>
      </w:r>
      <w:r>
        <w:t xml:space="preserve"> regionale per il PSR 2014-2020, anche allo scopo di </w:t>
      </w:r>
      <w:r w:rsidRPr="001A19A0">
        <w:rPr>
          <w:rStyle w:val="Enfasigrassetto"/>
        </w:rPr>
        <w:t>orientare il processo decisionale per il nuovo ciclo di programmazione 2021-2027</w:t>
      </w:r>
      <w:r>
        <w:t>.</w:t>
      </w:r>
    </w:p>
    <w:p w14:paraId="0B543436" w14:textId="77777777" w:rsidR="001A19A0" w:rsidRDefault="001A19A0" w:rsidP="00D65095"/>
    <w:p w14:paraId="07A3653C" w14:textId="0D7786A3" w:rsidR="008018E5" w:rsidRDefault="001A19A0" w:rsidP="00D65095">
      <w:r>
        <w:t>Dal punto di vista metodologico, i</w:t>
      </w:r>
      <w:r w:rsidR="008018E5">
        <w:t xml:space="preserve">l valutatore ha fatto ricorso ad </w:t>
      </w:r>
      <w:r w:rsidR="008018E5" w:rsidRPr="001A19A0">
        <w:rPr>
          <w:rStyle w:val="Enfasigrassetto"/>
        </w:rPr>
        <w:t>analisi di dati da fonti secondarie</w:t>
      </w:r>
      <w:r w:rsidR="008018E5">
        <w:t xml:space="preserve"> per rappresentare </w:t>
      </w:r>
      <w:r w:rsidR="00DA1748">
        <w:t xml:space="preserve">ed esaminare </w:t>
      </w:r>
      <w:r w:rsidR="008018E5">
        <w:t xml:space="preserve">l’evolversi del contesto di riferimento </w:t>
      </w:r>
      <w:r w:rsidR="00DA1748">
        <w:t xml:space="preserve">a livello nazionale e regionale </w:t>
      </w:r>
      <w:r w:rsidR="008018E5">
        <w:t xml:space="preserve">con attenzione ai dati disponibili inerenti </w:t>
      </w:r>
      <w:r w:rsidR="00DA1748">
        <w:t>al</w:t>
      </w:r>
      <w:r w:rsidR="008018E5">
        <w:t>le principali variabili socioeconomiche</w:t>
      </w:r>
      <w:r>
        <w:t>,</w:t>
      </w:r>
      <w:r w:rsidR="008018E5">
        <w:t xml:space="preserve"> ricorrendo alle principali fonti statistiche (es. ISTAT, Unioncamere</w:t>
      </w:r>
      <w:r w:rsidR="00DA1748">
        <w:t>) e alla letteratura di settore</w:t>
      </w:r>
      <w:r w:rsidR="008018E5">
        <w:t>.</w:t>
      </w:r>
    </w:p>
    <w:p w14:paraId="7F6D25D5" w14:textId="0033D6DE" w:rsidR="00DA1748" w:rsidRDefault="00DA1748" w:rsidP="00D65095">
      <w:r>
        <w:t xml:space="preserve">Per l’analisi delle strategie regionali e delle politiche per lo sviluppo rurale rispetto ai temi della parità di genere, </w:t>
      </w:r>
      <w:r w:rsidR="009A3ECD">
        <w:t xml:space="preserve">con particolare attenzione alle donne, </w:t>
      </w:r>
      <w:r>
        <w:t xml:space="preserve">si sono esaminanti: la normativa di settore, i principali documenti di programmazione (in primis il PSR) e attuazione (Relazioni Annuali di Attuazione </w:t>
      </w:r>
      <w:r w:rsidR="001A19A0">
        <w:t>-</w:t>
      </w:r>
      <w:r>
        <w:t xml:space="preserve"> RAA, bandi). L’approfondimento di tali documenti ha consentito di verificare nel dettaglio le modalità approntate dalla Regione </w:t>
      </w:r>
      <w:r w:rsidR="009A3ECD">
        <w:t xml:space="preserve">Umbria nell’ambito del PSR </w:t>
      </w:r>
      <w:r>
        <w:t xml:space="preserve">per evitare discriminazioni nella fase di selezione degli interventi </w:t>
      </w:r>
      <w:r w:rsidR="009A3ECD">
        <w:t xml:space="preserve">(meccanismo passivo) o per favorire in modo diretto l’obiettivo in oggetto attraverso il ricorso a criteri di selezione - premiando la partecipazione di giovani o donne </w:t>
      </w:r>
      <w:r w:rsidR="008668C3">
        <w:t>–</w:t>
      </w:r>
      <w:r w:rsidR="009A3ECD">
        <w:t xml:space="preserve"> e</w:t>
      </w:r>
      <w:r w:rsidR="008668C3">
        <w:t>, in qualche caso, anche</w:t>
      </w:r>
      <w:r w:rsidR="009A3ECD">
        <w:t xml:space="preserve"> la previsione di una percentuale più elevata di contributo pubblico (meccanismo attivo).</w:t>
      </w:r>
    </w:p>
    <w:p w14:paraId="0A9F17B6" w14:textId="630EE4D6" w:rsidR="00EB62BA" w:rsidRPr="00D65095" w:rsidRDefault="009C0C88" w:rsidP="00D65095">
      <w:r>
        <w:t>Con riferimento ai ‘meccanismi attivi’, si fa notare che i</w:t>
      </w:r>
      <w:r w:rsidR="00D65095">
        <w:t xml:space="preserve">l PSR umbro ha </w:t>
      </w:r>
      <w:r w:rsidR="008018E5">
        <w:t xml:space="preserve">favorito l’imprenditoria giovanile sia </w:t>
      </w:r>
      <w:r>
        <w:t xml:space="preserve">con criteri premiali </w:t>
      </w:r>
      <w:r w:rsidR="008018E5">
        <w:t>nell’ambito delle misure dirette a sostenere le imprese agricole</w:t>
      </w:r>
      <w:r>
        <w:t xml:space="preserve"> (es. M. 4.1) che attraverso una misura dedicata all’avvio di imprese condotte da giovani agricoltori (M. 6.</w:t>
      </w:r>
      <w:r w:rsidR="00E10A47">
        <w:t>1). Nel caso delle donne, sono state programmate</w:t>
      </w:r>
      <w:r w:rsidR="00D65095">
        <w:t xml:space="preserve"> alcune misure ritenute maggiormente vocate a favorire il coinvolgimento delle donne nelle attività aziendali, attraverso la promozione e il sostegno di quelle</w:t>
      </w:r>
      <w:r w:rsidR="00D65095" w:rsidRPr="00D65095">
        <w:t xml:space="preserve"> multifunzionali, </w:t>
      </w:r>
      <w:r w:rsidR="00D65095">
        <w:t>sia di tipo</w:t>
      </w:r>
      <w:r w:rsidR="00E10A47">
        <w:t xml:space="preserve"> più</w:t>
      </w:r>
      <w:r w:rsidR="00D65095">
        <w:t xml:space="preserve"> tradizionale (</w:t>
      </w:r>
      <w:r w:rsidR="00E10A47">
        <w:t xml:space="preserve">es. </w:t>
      </w:r>
      <w:r w:rsidR="00D65095">
        <w:t xml:space="preserve">agriturismo) che </w:t>
      </w:r>
      <w:r w:rsidR="008668C3">
        <w:t xml:space="preserve">di </w:t>
      </w:r>
      <w:r w:rsidR="00D65095">
        <w:t xml:space="preserve">quelle più innovative inerenti alla salvaguardia ambientale e all’offerta di servizi sociali (es. fattorie didattiche). </w:t>
      </w:r>
      <w:r w:rsidR="00E10A47">
        <w:t>Va aggiunto che l</w:t>
      </w:r>
      <w:r w:rsidR="00D65095" w:rsidRPr="00D65095">
        <w:t>a multifunzionalità in agricoltura rappresenta un'opportunità di reddito per l'impresa e per l'occupazione dei membri della famiglia agricola</w:t>
      </w:r>
      <w:r w:rsidR="00D65095">
        <w:t>, in particola</w:t>
      </w:r>
      <w:r w:rsidR="008668C3">
        <w:t>r</w:t>
      </w:r>
      <w:r w:rsidR="00D65095">
        <w:t xml:space="preserve"> modo della componente femminile</w:t>
      </w:r>
      <w:r w:rsidR="00D65095" w:rsidRPr="00D65095">
        <w:t xml:space="preserve">, ma ha anche effetti positivi sui territori in termini di </w:t>
      </w:r>
      <w:r w:rsidR="008018E5">
        <w:t xml:space="preserve">offerta di </w:t>
      </w:r>
      <w:r w:rsidR="00D65095" w:rsidRPr="00D65095">
        <w:t xml:space="preserve">servizi, di attività ricreative e culturali </w:t>
      </w:r>
      <w:r w:rsidR="008018E5">
        <w:t>che vanno a incidere positivamente sul</w:t>
      </w:r>
      <w:r w:rsidR="00D65095">
        <w:t>lo sviluppo delle aree rurali</w:t>
      </w:r>
      <w:r w:rsidR="00D65095" w:rsidRPr="00D65095">
        <w:t>.</w:t>
      </w:r>
    </w:p>
    <w:p w14:paraId="09D84425" w14:textId="699277D5" w:rsidR="00E10A47" w:rsidRDefault="00E10A47" w:rsidP="003B44A6">
      <w:r>
        <w:t>Le i</w:t>
      </w:r>
      <w:r w:rsidR="003B44A6">
        <w:t xml:space="preserve">ndagini </w:t>
      </w:r>
      <w:r>
        <w:t xml:space="preserve">condotte a partire dai </w:t>
      </w:r>
      <w:r w:rsidRPr="008668C3">
        <w:rPr>
          <w:rStyle w:val="Enfasigrassetto"/>
        </w:rPr>
        <w:t>dati di monitoraggio</w:t>
      </w:r>
      <w:r>
        <w:t xml:space="preserve"> in questa fase hanno potuto restituire solo alcune prime informazioni sull’attuazione di queste misure; in particolare quelle da cui ci si attendono effetti positivi per la componente femminile</w:t>
      </w:r>
      <w:r w:rsidR="003B44A6">
        <w:t xml:space="preserve"> </w:t>
      </w:r>
      <w:r>
        <w:t>non sono state attuate</w:t>
      </w:r>
      <w:r w:rsidR="008668C3">
        <w:t>, in quanto</w:t>
      </w:r>
      <w:r>
        <w:t xml:space="preserve"> i bandi non sono stati </w:t>
      </w:r>
      <w:r w:rsidR="008668C3">
        <w:t xml:space="preserve">ancora </w:t>
      </w:r>
      <w:r>
        <w:t>pubblicati.</w:t>
      </w:r>
    </w:p>
    <w:p w14:paraId="56CA69C2" w14:textId="78CEE9F7" w:rsidR="003B44A6" w:rsidRDefault="001A19A0" w:rsidP="003077E6">
      <w:pPr>
        <w:spacing w:line="240" w:lineRule="auto"/>
      </w:pPr>
      <w:r>
        <w:t xml:space="preserve">La verifica degli esiti </w:t>
      </w:r>
      <w:r w:rsidR="008668C3">
        <w:t>di queste</w:t>
      </w:r>
      <w:r>
        <w:t xml:space="preserve"> misure </w:t>
      </w:r>
      <w:r w:rsidR="008668C3">
        <w:t>sa</w:t>
      </w:r>
      <w:r>
        <w:t>ranno oggetto di valutazione in una fase successiva del processo valutativo. Intanto, a</w:t>
      </w:r>
      <w:r w:rsidR="00E10A47">
        <w:t xml:space="preserve">l fine di </w:t>
      </w:r>
      <w:r>
        <w:t xml:space="preserve">colmare in parte i gap informativi attuali e arricchire la riflessione sull’efficacia della strategia adottata per il 2014-2020 e </w:t>
      </w:r>
      <w:r w:rsidR="008668C3">
        <w:t>fornire degli spunti utili al nuovo periodo di</w:t>
      </w:r>
      <w:r>
        <w:t xml:space="preserve"> programmazione, si è fatto ricorso ad</w:t>
      </w:r>
      <w:r w:rsidR="003B44A6">
        <w:t xml:space="preserve"> </w:t>
      </w:r>
      <w:r w:rsidR="003B44A6" w:rsidRPr="008668C3">
        <w:rPr>
          <w:rStyle w:val="Enfasigrassetto"/>
        </w:rPr>
        <w:t>indagini dirette</w:t>
      </w:r>
      <w:r>
        <w:t xml:space="preserve"> rivolte sia ad alcuni referenti regionali di misura che ai rappresentanti di alcune associazioni di categoria.</w:t>
      </w:r>
    </w:p>
    <w:p w14:paraId="5C60D279" w14:textId="50D54783" w:rsidR="00ED60D5" w:rsidRDefault="00ED60D5">
      <w:pPr>
        <w:spacing w:before="0" w:after="160" w:line="259" w:lineRule="auto"/>
        <w:jc w:val="left"/>
      </w:pPr>
      <w:r>
        <w:br w:type="page"/>
      </w:r>
    </w:p>
    <w:p w14:paraId="4BEF72B0" w14:textId="3F61CBE3" w:rsidR="00C247F8" w:rsidRDefault="00C247F8" w:rsidP="00552DB9">
      <w:pPr>
        <w:pStyle w:val="CapitoloTitolo"/>
      </w:pPr>
      <w:bookmarkStart w:id="2" w:name="_Toc534027307"/>
      <w:r>
        <w:lastRenderedPageBreak/>
        <w:t xml:space="preserve">Il contesto normativo, programmatico e socio economico </w:t>
      </w:r>
      <w:r w:rsidR="00D32A79">
        <w:t>di riferimento</w:t>
      </w:r>
      <w:bookmarkEnd w:id="2"/>
    </w:p>
    <w:p w14:paraId="6145D31D" w14:textId="77777777" w:rsidR="00C247F8" w:rsidRDefault="00C247F8" w:rsidP="00C247F8"/>
    <w:p w14:paraId="4BD5F856" w14:textId="77777777" w:rsidR="00570BC7" w:rsidRPr="00C247F8" w:rsidRDefault="00570BC7" w:rsidP="00570BC7">
      <w:pPr>
        <w:pStyle w:val="Titolo2"/>
      </w:pPr>
      <w:bookmarkStart w:id="3" w:name="_Toc534027308"/>
      <w:r>
        <w:t>2.1</w:t>
      </w:r>
      <w:r>
        <w:tab/>
      </w:r>
      <w:r w:rsidRPr="00C247F8">
        <w:t>Le pari opportunità in Europa: accenni normativi</w:t>
      </w:r>
      <w:bookmarkEnd w:id="3"/>
    </w:p>
    <w:p w14:paraId="6AA4D59A" w14:textId="7AB9F7E1" w:rsidR="00570BC7" w:rsidRPr="003D6DA9" w:rsidRDefault="00570BC7" w:rsidP="00570BC7">
      <w:pPr>
        <w:suppressAutoHyphens/>
      </w:pPr>
      <w:r>
        <w:t>Tra gli obiettivi dell’Unione Europea l</w:t>
      </w:r>
      <w:r w:rsidRPr="003D6DA9">
        <w:t>'uguaglianza tra uomini e donne</w:t>
      </w:r>
      <w:r>
        <w:t xml:space="preserve"> occupa una posizione di particolare rilievo. Negli anni </w:t>
      </w:r>
      <w:r w:rsidRPr="003D6DA9">
        <w:t xml:space="preserve">la legislazione, la giurisprudenza e le modifiche dei trattati </w:t>
      </w:r>
      <w:r>
        <w:t xml:space="preserve">hanno costituito elementi decisivi nell’azione di rafforzo del </w:t>
      </w:r>
      <w:r w:rsidRPr="003D6DA9">
        <w:t xml:space="preserve">principio e </w:t>
      </w:r>
      <w:r>
        <w:t>del</w:t>
      </w:r>
      <w:r w:rsidRPr="003D6DA9">
        <w:t>la sua ap</w:t>
      </w:r>
      <w:r>
        <w:t>plicazione all'interno dell'UE.</w:t>
      </w:r>
    </w:p>
    <w:p w14:paraId="50A37765" w14:textId="77777777" w:rsidR="00570BC7" w:rsidRPr="003D6DA9" w:rsidRDefault="00570BC7" w:rsidP="00570BC7">
      <w:pPr>
        <w:suppressAutoHyphens/>
      </w:pPr>
      <w:r w:rsidRPr="003D6DA9">
        <w:t xml:space="preserve">L'Unione europea </w:t>
      </w:r>
      <w:r>
        <w:t xml:space="preserve">si basa </w:t>
      </w:r>
      <w:r w:rsidRPr="003D6DA9">
        <w:t xml:space="preserve">su un insieme di valori, tra </w:t>
      </w:r>
      <w:r>
        <w:t xml:space="preserve">i quali vi è </w:t>
      </w:r>
      <w:r w:rsidRPr="003D6DA9">
        <w:t xml:space="preserve">l'uguaglianza, e promuove la parità tra uomini e donne (articolo 2 e articolo 3, paragrafo 3, del trattato sull'Unione europea (TUE). </w:t>
      </w:r>
      <w:r>
        <w:t>Questi scopi</w:t>
      </w:r>
      <w:r w:rsidRPr="003D6DA9">
        <w:t xml:space="preserve"> sono </w:t>
      </w:r>
      <w:r>
        <w:t>inoltre</w:t>
      </w:r>
      <w:r w:rsidRPr="003D6DA9">
        <w:t xml:space="preserve"> sanciti dall'articolo 21 della Carta dei diritti fondamentali. Inoltre,</w:t>
      </w:r>
      <w:r>
        <w:t xml:space="preserve"> nel</w:t>
      </w:r>
      <w:r w:rsidRPr="003D6DA9">
        <w:t xml:space="preserve">l'articolo 8 del TFUE </w:t>
      </w:r>
      <w:r>
        <w:t xml:space="preserve">si </w:t>
      </w:r>
      <w:r w:rsidRPr="003D6DA9">
        <w:t xml:space="preserve">attribuisce all'Unione il compito di </w:t>
      </w:r>
      <w:r>
        <w:t>cancellare</w:t>
      </w:r>
      <w:r w:rsidRPr="003D6DA9">
        <w:t xml:space="preserve"> le ineguaglianze e di promuovere la parità tra uomini e donne in tutte le sue attività («integrazione della dimensione di genere»). Nella dichiarazione n. 19, allegata all'atto finale della Conferenza intergovernativa che ha adottato il trattato di Lisbona, l'Unione e gli Stati membri si sono impegnati «a lottare contro tutte le forme di violenza domestica […], per prevenire e punire questi atti criminali e per sost</w:t>
      </w:r>
      <w:r>
        <w:t>enere e proteggere le vittime».</w:t>
      </w:r>
    </w:p>
    <w:p w14:paraId="2A284099" w14:textId="77777777" w:rsidR="00570BC7" w:rsidRPr="003D6DA9" w:rsidRDefault="00570BC7" w:rsidP="00570BC7">
      <w:pPr>
        <w:suppressAutoHyphens/>
      </w:pPr>
      <w:r w:rsidRPr="003D6DA9">
        <w:t xml:space="preserve">La legislazione dell'UE, adottata </w:t>
      </w:r>
      <w:r>
        <w:t>il più delle volte tramite</w:t>
      </w:r>
      <w:r w:rsidRPr="003D6DA9">
        <w:t xml:space="preserve"> </w:t>
      </w:r>
      <w:r>
        <w:t>procedimento legislativo ordinario</w:t>
      </w:r>
      <w:r w:rsidRPr="003D6DA9">
        <w:t xml:space="preserve">, comprende tra le altre: </w:t>
      </w:r>
    </w:p>
    <w:p w14:paraId="6542FE6D" w14:textId="77777777" w:rsidR="00570BC7" w:rsidRPr="003D6DA9" w:rsidRDefault="00570BC7" w:rsidP="00570BC7">
      <w:pPr>
        <w:widowControl w:val="0"/>
        <w:numPr>
          <w:ilvl w:val="0"/>
          <w:numId w:val="20"/>
        </w:numPr>
        <w:suppressAutoHyphens/>
        <w:spacing w:before="0" w:after="0" w:line="240" w:lineRule="auto"/>
      </w:pPr>
      <w:r w:rsidRPr="003D6DA9">
        <w:t>direttiva 2006/54/CE del Parlamento europeo e del Consiglio, del 5 luglio 2006, riguardante l'attuazione del principio delle pari opportunità e della parità di trattamento fra uomini e donne in materia di occupazione e impiego.</w:t>
      </w:r>
    </w:p>
    <w:p w14:paraId="56279B6D" w14:textId="77777777" w:rsidR="00570BC7" w:rsidRPr="003D6DA9" w:rsidRDefault="00570BC7" w:rsidP="00570BC7">
      <w:pPr>
        <w:widowControl w:val="0"/>
        <w:numPr>
          <w:ilvl w:val="0"/>
          <w:numId w:val="20"/>
        </w:numPr>
        <w:suppressAutoHyphens/>
        <w:spacing w:before="0" w:after="0" w:line="240" w:lineRule="auto"/>
      </w:pPr>
      <w:r w:rsidRPr="003D6DA9">
        <w:t xml:space="preserve">la direttiva 2010/41/UE del Parlamento europeo e del Consiglio, del 7 luglio 2010, sull’applicazione del principio della parità di trattamento fra gli uomini e le donne che esercitano un’attività autonoma e che abroga la direttiva 86/613/CEE del Consiglio; </w:t>
      </w:r>
    </w:p>
    <w:p w14:paraId="488279CA" w14:textId="77777777" w:rsidR="00570BC7" w:rsidRDefault="00570BC7" w:rsidP="00570BC7">
      <w:pPr>
        <w:widowControl w:val="0"/>
        <w:numPr>
          <w:ilvl w:val="0"/>
          <w:numId w:val="20"/>
        </w:numPr>
        <w:suppressAutoHyphens/>
        <w:spacing w:before="0" w:after="0" w:line="240" w:lineRule="auto"/>
      </w:pPr>
      <w:r w:rsidRPr="003D6DA9">
        <w:t>la direttiva 2012/29/UE del Parlamento europeo e del Consiglio, del 25 ottobre 2012, che istituisce norme minime in materia di diritti, assistenza e protezione delle vittime di reato e che sostituisce la decisione quadro 2001/220/GAI.</w:t>
      </w:r>
    </w:p>
    <w:p w14:paraId="50872860" w14:textId="77777777" w:rsidR="00570BC7" w:rsidRDefault="00570BC7" w:rsidP="00570BC7">
      <w:pPr>
        <w:widowControl w:val="0"/>
        <w:suppressAutoHyphens/>
        <w:spacing w:before="0" w:after="0"/>
      </w:pPr>
    </w:p>
    <w:p w14:paraId="6C24DD96" w14:textId="77777777" w:rsidR="00570BC7" w:rsidRPr="002A3D88" w:rsidRDefault="00570BC7" w:rsidP="00570BC7">
      <w:pPr>
        <w:suppressAutoHyphens/>
        <w:rPr>
          <w:b/>
          <w:bCs/>
          <w:i/>
          <w:iCs/>
          <w:color w:val="1F4E79" w:themeColor="accent1" w:themeShade="80"/>
        </w:rPr>
      </w:pPr>
      <w:r w:rsidRPr="002A3D88">
        <w:rPr>
          <w:b/>
          <w:bCs/>
          <w:i/>
          <w:iCs/>
          <w:color w:val="1F4E79" w:themeColor="accent1" w:themeShade="80"/>
        </w:rPr>
        <w:t xml:space="preserve">Sviluppi normativi recenti </w:t>
      </w:r>
    </w:p>
    <w:p w14:paraId="5D55C737" w14:textId="77777777" w:rsidR="00570BC7" w:rsidRDefault="00570BC7" w:rsidP="00570BC7">
      <w:pPr>
        <w:suppressAutoHyphens/>
      </w:pPr>
      <w:r w:rsidRPr="003D6DA9">
        <w:t>Tra il 2013 e il 2018 la UE ha intrapreso una serie di azioni molto importanti a favore della regolamentazione della parità di genere e pari opportunità:</w:t>
      </w:r>
    </w:p>
    <w:p w14:paraId="3EC86F68" w14:textId="33A171AE" w:rsidR="00570BC7" w:rsidRPr="003D6DA9" w:rsidRDefault="00570BC7" w:rsidP="00570BC7">
      <w:pPr>
        <w:suppressAutoHyphens/>
      </w:pPr>
      <w:r w:rsidRPr="003D6DA9">
        <w:t xml:space="preserve">Il </w:t>
      </w:r>
      <w:r w:rsidRPr="002A3D88">
        <w:rPr>
          <w:b/>
          <w:color w:val="1F4E79" w:themeColor="accent1" w:themeShade="80"/>
        </w:rPr>
        <w:t>programma «Diritti, uguaglianza e cittadinanza»</w:t>
      </w:r>
      <w:r w:rsidRPr="002A3D88">
        <w:rPr>
          <w:color w:val="1F4E79" w:themeColor="accent1" w:themeShade="80"/>
        </w:rPr>
        <w:t xml:space="preserve"> </w:t>
      </w:r>
      <w:r w:rsidRPr="003D6DA9">
        <w:t>finanzia progetti volti a raggiungere la parità di genere e porre fine alla violenza contro le donne (Regolamento (UE) n. 1381/2013 del Parlamento europeo e del Consiglio, del 17 dicembre 2013, che istituisce un programma Diritti, uguaglianza e cittadinanza per il periodo 2014-2020). Insieme al p</w:t>
      </w:r>
      <w:r w:rsidR="000A5E00">
        <w:t>rogramma Giustizia (R</w:t>
      </w:r>
      <w:r w:rsidRPr="003D6DA9">
        <w:t>egolamento (UE) n. 2013/1382) è stato dotato di 15 68</w:t>
      </w:r>
      <w:r w:rsidR="000A5E00">
        <w:t>6 milioni di euro fino al 2020 R</w:t>
      </w:r>
      <w:r w:rsidRPr="003D6DA9">
        <w:t>egolamento QFP n. 1311/2013) e consolida sei programmi del periodo di finanziamento 2007-2013, tra cui il Programma Daphne III</w:t>
      </w:r>
      <w:r>
        <w:t xml:space="preserve"> </w:t>
      </w:r>
      <w:r w:rsidR="000A5E00">
        <w:t>(D</w:t>
      </w:r>
      <w:r w:rsidRPr="003D6DA9">
        <w:t>ecisione n. 779/2007/CE) ed entrambe le sezioni «Anti-discriminazione e diversità» e «Uguaglianza di genere» del Programma per l'occupazione e la solidarietà sociale</w:t>
      </w:r>
      <w:r w:rsidR="000A5E00">
        <w:t xml:space="preserve"> </w:t>
      </w:r>
      <w:r w:rsidRPr="003D6DA9">
        <w:t>(PROGRESS) (</w:t>
      </w:r>
      <w:r w:rsidR="000A5E00">
        <w:t>D</w:t>
      </w:r>
      <w:r w:rsidRPr="003D6DA9">
        <w:t>ecisione n. 1672/2006/CE).</w:t>
      </w:r>
    </w:p>
    <w:p w14:paraId="2A66CE3C" w14:textId="3E3E5C79" w:rsidR="00570BC7" w:rsidRDefault="00570BC7" w:rsidP="00570BC7">
      <w:pPr>
        <w:suppressAutoHyphens/>
      </w:pPr>
      <w:r w:rsidRPr="003D6DA9">
        <w:t xml:space="preserve">L'allegato al </w:t>
      </w:r>
      <w:r w:rsidR="000A5E00">
        <w:t>R</w:t>
      </w:r>
      <w:r w:rsidRPr="003D6DA9">
        <w:t xml:space="preserve">egolamento (UE) n. 1381/2013 </w:t>
      </w:r>
      <w:r>
        <w:t>sottolinea</w:t>
      </w:r>
      <w:r w:rsidRPr="003D6DA9">
        <w:t xml:space="preserve"> che la </w:t>
      </w:r>
      <w:bookmarkStart w:id="4" w:name="OLE_LINK1"/>
      <w:r w:rsidRPr="003D6DA9">
        <w:t>promozione dell'uguaglianza di genere</w:t>
      </w:r>
      <w:bookmarkEnd w:id="4"/>
      <w:r w:rsidRPr="003D6DA9">
        <w:t xml:space="preserve"> sarà finanziata </w:t>
      </w:r>
      <w:r>
        <w:t>in concomitanza con</w:t>
      </w:r>
      <w:r w:rsidRPr="003D6DA9">
        <w:t xml:space="preserve"> altre misure antidiscriminatorie nell'ambito del Gruppo 1, </w:t>
      </w:r>
      <w:r>
        <w:t>cui</w:t>
      </w:r>
      <w:r w:rsidRPr="003D6DA9">
        <w:t xml:space="preserve"> viene </w:t>
      </w:r>
      <w:r>
        <w:t>conferita</w:t>
      </w:r>
      <w:r w:rsidRPr="003D6DA9">
        <w:t xml:space="preserve"> una quota del 57% dei finanziamenti. La </w:t>
      </w:r>
      <w:bookmarkStart w:id="5" w:name="OLE_LINK2"/>
      <w:r w:rsidRPr="003D6DA9">
        <w:t>lotta alla violenza contro le donne</w:t>
      </w:r>
      <w:bookmarkEnd w:id="5"/>
      <w:r w:rsidRPr="003D6DA9">
        <w:t xml:space="preserve"> è </w:t>
      </w:r>
      <w:r>
        <w:t>compresa</w:t>
      </w:r>
      <w:r w:rsidRPr="003D6DA9">
        <w:t xml:space="preserve"> nel Gruppo 2, con il 43 % della dotazione finanziaria complessiva del programma.</w:t>
      </w:r>
    </w:p>
    <w:p w14:paraId="37993DC9" w14:textId="77777777" w:rsidR="00570BC7" w:rsidRDefault="00570BC7">
      <w:pPr>
        <w:spacing w:before="0" w:after="160" w:line="259" w:lineRule="auto"/>
        <w:jc w:val="left"/>
      </w:pPr>
      <w:r>
        <w:br w:type="page"/>
      </w:r>
    </w:p>
    <w:p w14:paraId="4502AB63" w14:textId="0ADC26D7" w:rsidR="00570BC7" w:rsidRDefault="00570BC7" w:rsidP="00570BC7">
      <w:pPr>
        <w:pStyle w:val="Titolotabella"/>
        <w:ind w:left="993" w:hanging="993"/>
      </w:pPr>
      <w:r w:rsidRPr="009C1809">
        <w:rPr>
          <w:noProof/>
          <w:lang w:eastAsia="it-IT"/>
        </w:rPr>
        <w:lastRenderedPageBreak/>
        <w:drawing>
          <wp:anchor distT="0" distB="0" distL="114300" distR="114300" simplePos="0" relativeHeight="251701248" behindDoc="0" locked="0" layoutInCell="1" allowOverlap="1" wp14:anchorId="57999CDA" wp14:editId="0513579B">
            <wp:simplePos x="0" y="0"/>
            <wp:positionH relativeFrom="column">
              <wp:posOffset>594148</wp:posOffset>
            </wp:positionH>
            <wp:positionV relativeFrom="paragraph">
              <wp:posOffset>331906</wp:posOffset>
            </wp:positionV>
            <wp:extent cx="4571429" cy="2742857"/>
            <wp:effectExtent l="0" t="0" r="635"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71429" cy="2742857"/>
                    </a:xfrm>
                    <a:prstGeom prst="rect">
                      <a:avLst/>
                    </a:prstGeom>
                  </pic:spPr>
                </pic:pic>
              </a:graphicData>
            </a:graphic>
          </wp:anchor>
        </w:drawing>
      </w:r>
      <w:r>
        <w:t xml:space="preserve">Figura </w:t>
      </w:r>
      <w:r w:rsidR="00354A10">
        <w:rPr>
          <w:noProof/>
        </w:rPr>
        <w:fldChar w:fldCharType="begin"/>
      </w:r>
      <w:r w:rsidR="00354A10">
        <w:rPr>
          <w:noProof/>
        </w:rPr>
        <w:instrText xml:space="preserve"> SEQ Figura \* ARABIC </w:instrText>
      </w:r>
      <w:r w:rsidR="00354A10">
        <w:rPr>
          <w:noProof/>
        </w:rPr>
        <w:fldChar w:fldCharType="separate"/>
      </w:r>
      <w:r w:rsidR="00295319">
        <w:rPr>
          <w:noProof/>
        </w:rPr>
        <w:t>1</w:t>
      </w:r>
      <w:r w:rsidR="00354A10">
        <w:rPr>
          <w:noProof/>
        </w:rPr>
        <w:fldChar w:fldCharType="end"/>
      </w:r>
      <w:r>
        <w:t xml:space="preserve"> - Dotazione finanziaria % </w:t>
      </w:r>
      <w:r w:rsidRPr="007D6DBD">
        <w:t>del programma</w:t>
      </w:r>
      <w:r>
        <w:t xml:space="preserve"> </w:t>
      </w:r>
      <w:r w:rsidRPr="00137048">
        <w:t>«Diritti, uguaglianza e cittadinanza»</w:t>
      </w:r>
      <w:r>
        <w:t xml:space="preserve"> per obiettivo</w:t>
      </w:r>
    </w:p>
    <w:p w14:paraId="1275DBC5" w14:textId="45515C4E" w:rsidR="00570BC7" w:rsidRDefault="00570BC7" w:rsidP="00570BC7">
      <w:pPr>
        <w:suppressAutoHyphens/>
        <w:spacing w:after="0"/>
        <w:jc w:val="center"/>
      </w:pPr>
    </w:p>
    <w:p w14:paraId="4E7CD022" w14:textId="77777777" w:rsidR="00570BC7" w:rsidRDefault="00570BC7" w:rsidP="00570BC7">
      <w:pPr>
        <w:suppressAutoHyphens/>
        <w:spacing w:before="0"/>
        <w:ind w:left="708" w:firstLine="708"/>
      </w:pPr>
      <w:r w:rsidRPr="003D6DA9">
        <w:rPr>
          <w:color w:val="000000"/>
          <w:sz w:val="20"/>
          <w:szCs w:val="20"/>
        </w:rPr>
        <w:t>Fonte:</w:t>
      </w:r>
      <w:hyperlink r:id="rId15">
        <w:r w:rsidRPr="003D6DA9">
          <w:rPr>
            <w:rStyle w:val="CollegamentoInternet"/>
            <w:color w:val="000000"/>
            <w:sz w:val="20"/>
            <w:szCs w:val="20"/>
          </w:rPr>
          <w:t>http://www.europarl.europa.eu</w:t>
        </w:r>
      </w:hyperlink>
      <w:r w:rsidRPr="003D6DA9">
        <w:rPr>
          <w:color w:val="000000"/>
          <w:sz w:val="20"/>
          <w:szCs w:val="20"/>
        </w:rPr>
        <w:t xml:space="preserve"> – Note sintetiche su UE</w:t>
      </w:r>
    </w:p>
    <w:p w14:paraId="254991B4" w14:textId="77777777" w:rsidR="00570BC7" w:rsidRDefault="00570BC7" w:rsidP="00570BC7">
      <w:pPr>
        <w:suppressAutoHyphens/>
      </w:pPr>
    </w:p>
    <w:p w14:paraId="126768B5" w14:textId="77777777" w:rsidR="00570BC7" w:rsidRPr="00411DAE" w:rsidRDefault="00570BC7" w:rsidP="00570BC7">
      <w:pPr>
        <w:suppressAutoHyphens/>
        <w:rPr>
          <w:b/>
          <w:bCs/>
          <w:i/>
          <w:iCs/>
          <w:color w:val="000000"/>
        </w:rPr>
      </w:pPr>
      <w:r>
        <w:t>Per l’anno</w:t>
      </w:r>
      <w:r w:rsidRPr="003D6DA9">
        <w:t xml:space="preserve"> 2018, alla linea di bilancio 33 02 02 (Promuovere la non discriminazione e la parità) sono stati assegnati 35.831.000</w:t>
      </w:r>
      <w:r>
        <w:t xml:space="preserve"> EUR in stanziamenti d'impegno; ciò significa </w:t>
      </w:r>
      <w:r w:rsidRPr="003D6DA9">
        <w:t xml:space="preserve">un </w:t>
      </w:r>
      <w:r>
        <w:t>incremento</w:t>
      </w:r>
      <w:r w:rsidRPr="003D6DA9">
        <w:t xml:space="preserve"> nei pagamenti rispetto al 2015, 2016 o 2017 e </w:t>
      </w:r>
      <w:r>
        <w:t>che</w:t>
      </w:r>
      <w:r w:rsidRPr="003D6DA9">
        <w:t xml:space="preserve"> l'attuazione di </w:t>
      </w:r>
      <w:r>
        <w:t>tale</w:t>
      </w:r>
      <w:r w:rsidRPr="003D6DA9">
        <w:t xml:space="preserve"> programma sta </w:t>
      </w:r>
      <w:r>
        <w:t>procedendo</w:t>
      </w:r>
      <w:r w:rsidRPr="003D6DA9">
        <w:t>.</w:t>
      </w:r>
      <w:r>
        <w:t xml:space="preserve"> In aggiunta</w:t>
      </w:r>
      <w:r w:rsidRPr="003D6DA9">
        <w:t xml:space="preserve">, alla linea di bilancio 33 02 01 sono stati assegnati 26.451.000 EUR per contribuire, tra gli altri obiettivi, a contrastare </w:t>
      </w:r>
      <w:r>
        <w:t xml:space="preserve">la violenza sulle donne e a proteggerle </w:t>
      </w:r>
      <w:r w:rsidRPr="003D6DA9">
        <w:t>da ogni forma di violenza</w:t>
      </w:r>
      <w:r>
        <w:t>.</w:t>
      </w:r>
    </w:p>
    <w:p w14:paraId="242891B7" w14:textId="1BA94B63" w:rsidR="00570BC7" w:rsidRPr="003D6DA9" w:rsidRDefault="00570BC7" w:rsidP="00570BC7">
      <w:pPr>
        <w:suppressAutoHyphens/>
      </w:pPr>
      <w:r>
        <w:t>A</w:t>
      </w:r>
      <w:r w:rsidRPr="003D6DA9">
        <w:t xml:space="preserve"> marzo 2010 la Commissione ha adottato la </w:t>
      </w:r>
      <w:r w:rsidRPr="002A3D88">
        <w:rPr>
          <w:b/>
          <w:color w:val="1F4E79" w:themeColor="accent1" w:themeShade="80"/>
        </w:rPr>
        <w:t>Carta per le donne</w:t>
      </w:r>
      <w:r w:rsidR="000A5E00">
        <w:rPr>
          <w:b/>
          <w:color w:val="1F4E79" w:themeColor="accent1" w:themeShade="80"/>
        </w:rPr>
        <w:t xml:space="preserve"> </w:t>
      </w:r>
      <w:r>
        <w:t>al fine di contribuire alla promozione d</w:t>
      </w:r>
      <w:r w:rsidRPr="003D6DA9">
        <w:t>ell'uguaglianza tra donne e uomini</w:t>
      </w:r>
      <w:r>
        <w:t xml:space="preserve"> in Europa e in tutto il mondo. Successivamente, a dicembre 2015, </w:t>
      </w:r>
      <w:r w:rsidRPr="003D6DA9">
        <w:t xml:space="preserve">ha pubblicato </w:t>
      </w:r>
      <w:r w:rsidRPr="002A3D88">
        <w:rPr>
          <w:b/>
          <w:color w:val="1F4E79" w:themeColor="accent1" w:themeShade="80"/>
        </w:rPr>
        <w:t>l'impegno strategico per l'uguaglianza di genere 2016-2019</w:t>
      </w:r>
      <w:r w:rsidRPr="002A3D88">
        <w:rPr>
          <w:color w:val="1F4E79" w:themeColor="accent1" w:themeShade="80"/>
        </w:rPr>
        <w:t xml:space="preserve"> </w:t>
      </w:r>
      <w:r>
        <w:t>nell’ottica di</w:t>
      </w:r>
      <w:r w:rsidRPr="003D6DA9">
        <w:t xml:space="preserve"> monitorare e prorogare la strategia per l'uguaglianza tra uomini e donne (2010-2015). </w:t>
      </w:r>
    </w:p>
    <w:p w14:paraId="436AE888" w14:textId="77777777" w:rsidR="00570BC7" w:rsidRPr="003D6DA9" w:rsidRDefault="00570BC7" w:rsidP="00570BC7">
      <w:pPr>
        <w:suppressAutoHyphens/>
      </w:pPr>
      <w:r w:rsidRPr="003D6DA9">
        <w:t xml:space="preserve">L'impegno strategico è </w:t>
      </w:r>
      <w:r>
        <w:t>focalizzato su</w:t>
      </w:r>
      <w:r w:rsidRPr="003D6DA9">
        <w:t xml:space="preserve"> cinque settori prioritari:</w:t>
      </w:r>
    </w:p>
    <w:p w14:paraId="77677515" w14:textId="77777777" w:rsidR="00570BC7" w:rsidRPr="003D6DA9" w:rsidRDefault="00570BC7" w:rsidP="000A5E00">
      <w:pPr>
        <w:widowControl w:val="0"/>
        <w:numPr>
          <w:ilvl w:val="0"/>
          <w:numId w:val="21"/>
        </w:numPr>
        <w:suppressAutoHyphens/>
        <w:spacing w:before="0" w:after="0" w:line="240" w:lineRule="auto"/>
      </w:pPr>
      <w:r w:rsidRPr="003D6DA9">
        <w:t>aumento della partecipazione delle donne al mercato del lavoro e pari indipendenza economica;</w:t>
      </w:r>
    </w:p>
    <w:p w14:paraId="57039200" w14:textId="77777777" w:rsidR="00570BC7" w:rsidRPr="003D6DA9" w:rsidRDefault="00570BC7" w:rsidP="000A5E00">
      <w:pPr>
        <w:widowControl w:val="0"/>
        <w:numPr>
          <w:ilvl w:val="0"/>
          <w:numId w:val="21"/>
        </w:numPr>
        <w:suppressAutoHyphens/>
        <w:spacing w:before="0" w:after="0" w:line="240" w:lineRule="auto"/>
      </w:pPr>
      <w:r w:rsidRPr="003D6DA9">
        <w:t>riduzione del divario di genere in materia di retribuzioni, salari e pensioni e, di conseguenza, lotta contro la povertà tra le donne;</w:t>
      </w:r>
    </w:p>
    <w:p w14:paraId="3F04EF14" w14:textId="77777777" w:rsidR="00570BC7" w:rsidRPr="003D6DA9" w:rsidRDefault="00570BC7" w:rsidP="000A5E00">
      <w:pPr>
        <w:widowControl w:val="0"/>
        <w:numPr>
          <w:ilvl w:val="0"/>
          <w:numId w:val="21"/>
        </w:numPr>
        <w:suppressAutoHyphens/>
        <w:spacing w:before="0" w:after="0" w:line="240" w:lineRule="auto"/>
      </w:pPr>
      <w:r w:rsidRPr="003D6DA9">
        <w:t>promozione della parità tra donne e uomini nel processo decisionale;</w:t>
      </w:r>
    </w:p>
    <w:p w14:paraId="3B54AD61" w14:textId="77777777" w:rsidR="00570BC7" w:rsidRPr="003D6DA9" w:rsidRDefault="00570BC7" w:rsidP="000A5E00">
      <w:pPr>
        <w:widowControl w:val="0"/>
        <w:numPr>
          <w:ilvl w:val="0"/>
          <w:numId w:val="21"/>
        </w:numPr>
        <w:suppressAutoHyphens/>
        <w:spacing w:before="0" w:after="0" w:line="240" w:lineRule="auto"/>
      </w:pPr>
      <w:r w:rsidRPr="003D6DA9">
        <w:t>lotta contro la violenza di genere e protezione e sostegno a favore delle vittime;</w:t>
      </w:r>
    </w:p>
    <w:p w14:paraId="3A8C3748" w14:textId="77777777" w:rsidR="00570BC7" w:rsidRPr="0069301C" w:rsidRDefault="00570BC7" w:rsidP="000A5E00">
      <w:pPr>
        <w:widowControl w:val="0"/>
        <w:numPr>
          <w:ilvl w:val="0"/>
          <w:numId w:val="21"/>
        </w:numPr>
        <w:suppressAutoHyphens/>
        <w:spacing w:before="0" w:after="0" w:line="240" w:lineRule="auto"/>
      </w:pPr>
      <w:r w:rsidRPr="003D6DA9">
        <w:t>promozione della parità di genere e dei diritti delle donne in tutto il mondo.</w:t>
      </w:r>
    </w:p>
    <w:p w14:paraId="174DBD3F" w14:textId="77777777" w:rsidR="000A5E00" w:rsidRDefault="000A5E00" w:rsidP="00570BC7">
      <w:pPr>
        <w:suppressAutoHyphens/>
      </w:pPr>
    </w:p>
    <w:p w14:paraId="3031A537" w14:textId="3BB12E65" w:rsidR="00570BC7" w:rsidRDefault="00570BC7" w:rsidP="00570BC7">
      <w:pPr>
        <w:suppressAutoHyphens/>
      </w:pPr>
      <w:r w:rsidRPr="003D6DA9">
        <w:t xml:space="preserve">Il 26 ottobre 2015 il Consiglio ha adottato il </w:t>
      </w:r>
      <w:r w:rsidRPr="002A3D88">
        <w:rPr>
          <w:b/>
          <w:color w:val="1F4E79" w:themeColor="accent1" w:themeShade="80"/>
        </w:rPr>
        <w:t>«Piano d'azione sulla parità di genere 2016-2020»</w:t>
      </w:r>
      <w:r w:rsidRPr="003D6DA9">
        <w:t>, che è basato sul documento congiunto dei servizi della Commissione e del Servizio europeo per l'azione esterna (SEAE) sul tema «Parità di genere ed emancipazione femminile: trasformare la vita delle donne e delle ragazze attraverso le relazioni esterne dell'UE (2016-2020)». Il nuovo Piano d'azione sulla parità di genere sottolinea «la necessità di realizzare pienamente il godimento, pieno e paritario, di tutti i diritti umani e le libertà fondamentali da parte delle donne e delle ragazze e il conseguimento della loro emancipaz</w:t>
      </w:r>
      <w:r>
        <w:t>ione e della parità di genere».</w:t>
      </w:r>
    </w:p>
    <w:p w14:paraId="7B9C0392" w14:textId="77777777" w:rsidR="00570BC7" w:rsidRPr="003D6DA9" w:rsidRDefault="00570BC7" w:rsidP="00570BC7">
      <w:pPr>
        <w:suppressAutoHyphens/>
      </w:pPr>
    </w:p>
    <w:p w14:paraId="2B41FB04" w14:textId="77777777" w:rsidR="00570BC7" w:rsidRPr="000A5E00" w:rsidRDefault="00570BC7" w:rsidP="000A5E00">
      <w:pPr>
        <w:keepNext/>
        <w:suppressAutoHyphens/>
        <w:rPr>
          <w:b/>
          <w:bCs/>
          <w:iCs/>
          <w:color w:val="1F4E79" w:themeColor="accent1" w:themeShade="80"/>
        </w:rPr>
      </w:pPr>
      <w:r w:rsidRPr="000A5E00">
        <w:rPr>
          <w:b/>
          <w:bCs/>
          <w:iCs/>
          <w:color w:val="1F4E79" w:themeColor="accent1" w:themeShade="80"/>
        </w:rPr>
        <w:lastRenderedPageBreak/>
        <w:t>Il ruolo del Parlamento europeo (PE)</w:t>
      </w:r>
    </w:p>
    <w:p w14:paraId="1D478F6A" w14:textId="58A4B29D" w:rsidR="00570BC7" w:rsidRPr="008C4251" w:rsidRDefault="00570BC7" w:rsidP="00570BC7">
      <w:pPr>
        <w:suppressAutoHyphens/>
      </w:pPr>
      <w:r>
        <w:t>Tramite</w:t>
      </w:r>
      <w:r w:rsidRPr="003D6DA9">
        <w:t xml:space="preserve"> la </w:t>
      </w:r>
      <w:r w:rsidR="000A5E00" w:rsidRPr="001072D3">
        <w:rPr>
          <w:b/>
          <w:color w:val="1F4E79" w:themeColor="accent1" w:themeShade="80"/>
        </w:rPr>
        <w:t xml:space="preserve">Commissione </w:t>
      </w:r>
      <w:r w:rsidRPr="001072D3">
        <w:rPr>
          <w:b/>
          <w:color w:val="1F4E79" w:themeColor="accent1" w:themeShade="80"/>
        </w:rPr>
        <w:t>per i diritti della donna e l'uguaglianza di genere</w:t>
      </w:r>
      <w:r w:rsidRPr="001072D3">
        <w:rPr>
          <w:b/>
        </w:rPr>
        <w:t xml:space="preserve"> </w:t>
      </w:r>
      <w:r w:rsidRPr="001072D3">
        <w:t>(FEMM)</w:t>
      </w:r>
      <w:r>
        <w:t>, i</w:t>
      </w:r>
      <w:r w:rsidRPr="001072D3">
        <w:t xml:space="preserve">l Parlamento europeo ha svolto un </w:t>
      </w:r>
      <w:r>
        <w:t xml:space="preserve">notevole </w:t>
      </w:r>
      <w:r w:rsidRPr="001072D3">
        <w:t>ruolo nel sostenere le po</w:t>
      </w:r>
      <w:r>
        <w:t>litiche per le pari opportunità. Relativamente alla</w:t>
      </w:r>
      <w:r w:rsidRPr="003D6DA9">
        <w:t xml:space="preserve"> parità di trattamento sul mer</w:t>
      </w:r>
      <w:r>
        <w:t>cato del lavoro, il Parlamento è intervenuto</w:t>
      </w:r>
      <w:r w:rsidRPr="003D6DA9">
        <w:t xml:space="preserve"> </w:t>
      </w:r>
      <w:r>
        <w:t xml:space="preserve">sulla </w:t>
      </w:r>
      <w:r w:rsidRPr="003D6DA9">
        <w:t xml:space="preserve">revisione della </w:t>
      </w:r>
      <w:r w:rsidR="000A5E00" w:rsidRPr="003D6DA9">
        <w:t xml:space="preserve">Direttiva </w:t>
      </w:r>
      <w:r w:rsidRPr="003D6DA9">
        <w:t>92/85/CEE circa il congedo per</w:t>
      </w:r>
      <w:r>
        <w:t xml:space="preserve"> maternità.</w:t>
      </w:r>
    </w:p>
    <w:p w14:paraId="5D558982" w14:textId="082DAD8D" w:rsidR="00570BC7" w:rsidRDefault="00A9407D" w:rsidP="00570BC7">
      <w:pPr>
        <w:suppressAutoHyphens/>
      </w:pPr>
      <w:r>
        <w:rPr>
          <w:noProof/>
          <w:lang w:eastAsia="it-IT"/>
        </w:rPr>
        <w:drawing>
          <wp:anchor distT="0" distB="0" distL="0" distR="0" simplePos="0" relativeHeight="251695104" behindDoc="0" locked="0" layoutInCell="1" allowOverlap="1" wp14:anchorId="76350736" wp14:editId="34EF6D25">
            <wp:simplePos x="0" y="0"/>
            <wp:positionH relativeFrom="column">
              <wp:posOffset>-4445</wp:posOffset>
            </wp:positionH>
            <wp:positionV relativeFrom="paragraph">
              <wp:posOffset>1618855</wp:posOffset>
            </wp:positionV>
            <wp:extent cx="5777230" cy="802005"/>
            <wp:effectExtent l="0" t="0" r="0" b="0"/>
            <wp:wrapTopAndBottom/>
            <wp:docPr id="3" name="Ogget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ggetto3"/>
                    <pic:cNvPicPr>
                      <a:picLocks noChangeAspect="1" noChangeArrowheads="1"/>
                    </pic:cNvPicPr>
                  </pic:nvPicPr>
                  <pic:blipFill>
                    <a:blip r:embed="rId16"/>
                    <a:stretch>
                      <a:fillRect/>
                    </a:stretch>
                  </pic:blipFill>
                  <pic:spPr bwMode="auto">
                    <a:xfrm>
                      <a:off x="0" y="0"/>
                      <a:ext cx="5777230" cy="802005"/>
                    </a:xfrm>
                    <a:prstGeom prst="rect">
                      <a:avLst/>
                    </a:prstGeom>
                  </pic:spPr>
                </pic:pic>
              </a:graphicData>
            </a:graphic>
            <wp14:sizeRelH relativeFrom="margin">
              <wp14:pctWidth>0</wp14:pctWidth>
            </wp14:sizeRelH>
            <wp14:sizeRelV relativeFrom="margin">
              <wp14:pctHeight>0</wp14:pctHeight>
            </wp14:sizeRelV>
          </wp:anchor>
        </w:drawing>
      </w:r>
      <w:r w:rsidR="00570BC7">
        <w:t>S</w:t>
      </w:r>
      <w:r w:rsidR="00570BC7" w:rsidRPr="003D6DA9">
        <w:t xml:space="preserve">econdo un recente </w:t>
      </w:r>
      <w:r w:rsidR="00570BC7" w:rsidRPr="001072D3">
        <w:t>studio</w:t>
      </w:r>
      <w:r w:rsidR="00570BC7" w:rsidRPr="001072D3">
        <w:rPr>
          <w:rStyle w:val="Rimandonotaapidipagina"/>
          <w:vertAlign w:val="superscript"/>
        </w:rPr>
        <w:footnoteReference w:id="1"/>
      </w:r>
      <w:r w:rsidR="00570BC7">
        <w:t xml:space="preserve"> </w:t>
      </w:r>
      <w:r w:rsidR="00570BC7" w:rsidRPr="003D6DA9">
        <w:t>dell'</w:t>
      </w:r>
      <w:r w:rsidR="00570BC7">
        <w:t xml:space="preserve"> </w:t>
      </w:r>
      <w:r w:rsidR="00570BC7" w:rsidRPr="003D6DA9">
        <w:t xml:space="preserve">Istituto europeo per l'uguaglianza di genere (EIGE), i miglioramenti nell'uguaglianza di genere potrebbero creare fino a 10,5 milioni di nuovi posti di lavoro entro il 2050 nell'UE, il che comporterebbe un incremento del tasso di occupazione che raggiungerebbe quasi l'80% e un aumento del PIL pro capite nell'UE di una cifra compresa tra il 6,1 e il 9,6% </w:t>
      </w:r>
      <w:r w:rsidR="00570BC7">
        <w:t xml:space="preserve">e favorirebbe </w:t>
      </w:r>
      <w:r w:rsidR="00570BC7" w:rsidRPr="003D6DA9">
        <w:t xml:space="preserve">la crescita di una percentuale compresa tra il 15% e il 45% negli Stati membri entro il 2050; Al contrario, invece, ad oggi, secondo i dati di Eurostat, nell'Unione europea il 31,5 % delle donne lavoratrici lavora a tempo parziale rispetto all'8,2 % degli uomini lavoratori, e che solo poco più del 50 % delle donne lavora a tempo pieno, rispetto al 71,2 % degli uomini, il che determina un divario del 25,5 % nel tasso di occupazione a tempo pieno. </w:t>
      </w:r>
    </w:p>
    <w:p w14:paraId="0A6EC487" w14:textId="7322E959" w:rsidR="00A9407D" w:rsidRDefault="00A9407D" w:rsidP="00A9407D">
      <w:pPr>
        <w:suppressAutoHyphens/>
        <w:rPr>
          <w:b/>
          <w:bCs/>
          <w:i/>
          <w:iCs/>
          <w:sz w:val="20"/>
          <w:szCs w:val="20"/>
        </w:rPr>
      </w:pPr>
    </w:p>
    <w:p w14:paraId="3EAA356A" w14:textId="536B69C8" w:rsidR="00A9407D" w:rsidRPr="00A9407D" w:rsidRDefault="00A9407D" w:rsidP="00A9407D">
      <w:pPr>
        <w:pStyle w:val="Titolotabella"/>
        <w:ind w:left="993" w:hanging="993"/>
      </w:pPr>
      <w:r w:rsidRPr="00A9407D">
        <w:rPr>
          <w:noProof/>
          <w:lang w:eastAsia="it-IT"/>
        </w:rPr>
        <w:drawing>
          <wp:anchor distT="0" distB="0" distL="114300" distR="114300" simplePos="0" relativeHeight="251702272" behindDoc="0" locked="0" layoutInCell="1" allowOverlap="1" wp14:anchorId="179D4992" wp14:editId="4061C100">
            <wp:simplePos x="0" y="0"/>
            <wp:positionH relativeFrom="column">
              <wp:posOffset>673002</wp:posOffset>
            </wp:positionH>
            <wp:positionV relativeFrom="paragraph">
              <wp:posOffset>225854</wp:posOffset>
            </wp:positionV>
            <wp:extent cx="4304665" cy="2352040"/>
            <wp:effectExtent l="0" t="0" r="63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04665" cy="2352040"/>
                    </a:xfrm>
                    <a:prstGeom prst="rect">
                      <a:avLst/>
                    </a:prstGeom>
                  </pic:spPr>
                </pic:pic>
              </a:graphicData>
            </a:graphic>
          </wp:anchor>
        </w:drawing>
      </w:r>
      <w:r>
        <w:t>Figura 2</w:t>
      </w:r>
      <w:r w:rsidRPr="00A9407D">
        <w:t>. UE: Inattività lavorativa femminile per resp.</w:t>
      </w:r>
      <w:r w:rsidR="00A31BDF">
        <w:t xml:space="preserve"> </w:t>
      </w:r>
      <w:r w:rsidRPr="00A9407D">
        <w:t>assistenziali (comp.%) (2017)</w:t>
      </w:r>
    </w:p>
    <w:p w14:paraId="35891C50" w14:textId="0AB98F67" w:rsidR="00570BC7" w:rsidRDefault="00A9407D" w:rsidP="00A9407D">
      <w:pPr>
        <w:suppressAutoHyphens/>
        <w:jc w:val="center"/>
        <w:rPr>
          <w:i/>
          <w:iCs/>
          <w:sz w:val="20"/>
          <w:szCs w:val="20"/>
        </w:rPr>
      </w:pPr>
      <w:r w:rsidRPr="00A9407D">
        <w:rPr>
          <w:noProof/>
          <w:lang w:eastAsia="it-IT"/>
        </w:rPr>
        <w:drawing>
          <wp:inline distT="0" distB="0" distL="0" distR="0" wp14:anchorId="1744A183" wp14:editId="76245DE6">
            <wp:extent cx="4304762" cy="235238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4762" cy="2352381"/>
                    </a:xfrm>
                    <a:prstGeom prst="rect">
                      <a:avLst/>
                    </a:prstGeom>
                  </pic:spPr>
                </pic:pic>
              </a:graphicData>
            </a:graphic>
          </wp:inline>
        </w:drawing>
      </w:r>
    </w:p>
    <w:p w14:paraId="68100BF7" w14:textId="26E09B96" w:rsidR="00570BC7" w:rsidRPr="003D6DA9" w:rsidRDefault="00570BC7" w:rsidP="00570BC7">
      <w:pPr>
        <w:suppressAutoHyphens/>
      </w:pPr>
      <w:r w:rsidRPr="003D6DA9">
        <w:rPr>
          <w:i/>
          <w:iCs/>
          <w:sz w:val="20"/>
          <w:szCs w:val="20"/>
        </w:rPr>
        <w:t>Fonte: Dati Eurostat – Rielaborazione del PE su Relazione del PE sull'emancipazione economica delle donne (13/09/2017).</w:t>
      </w:r>
    </w:p>
    <w:p w14:paraId="4AA7F9F1" w14:textId="75165592" w:rsidR="00570BC7" w:rsidRPr="003D6DA9" w:rsidRDefault="00570BC7" w:rsidP="00570BC7">
      <w:pPr>
        <w:suppressAutoHyphens/>
        <w:rPr>
          <w:i/>
          <w:iCs/>
          <w:sz w:val="20"/>
          <w:szCs w:val="20"/>
        </w:rPr>
      </w:pPr>
    </w:p>
    <w:p w14:paraId="292C6C04" w14:textId="5713D7D4" w:rsidR="00570BC7" w:rsidRPr="003D6DA9" w:rsidRDefault="00105622" w:rsidP="00570BC7">
      <w:pPr>
        <w:suppressAutoHyphens/>
        <w:rPr>
          <w:i/>
          <w:iCs/>
          <w:sz w:val="20"/>
          <w:szCs w:val="20"/>
        </w:rPr>
      </w:pPr>
      <w:r>
        <w:t>Come si evince dalla figura prec</w:t>
      </w:r>
      <w:r w:rsidR="00A31BDF">
        <w:t>e</w:t>
      </w:r>
      <w:r>
        <w:t>dente</w:t>
      </w:r>
      <w:r w:rsidR="00570BC7" w:rsidRPr="003D6DA9">
        <w:t xml:space="preserve">. le responsabilità assistenziali sono </w:t>
      </w:r>
      <w:r>
        <w:t>ragioni di inattività per il 20</w:t>
      </w:r>
      <w:r w:rsidR="00570BC7" w:rsidRPr="003D6DA9">
        <w:t>% delle donne economicamente inattive.</w:t>
      </w:r>
    </w:p>
    <w:p w14:paraId="2838AAA6" w14:textId="66B8AE03" w:rsidR="00570BC7" w:rsidRDefault="00570BC7" w:rsidP="00570BC7">
      <w:pPr>
        <w:suppressAutoHyphens/>
      </w:pPr>
      <w:r w:rsidRPr="003D6DA9">
        <w:t>Nei paesi UE le responsabilità assistenziali sono m</w:t>
      </w:r>
      <w:r>
        <w:t xml:space="preserve">otivo di inattività lavorativa </w:t>
      </w:r>
      <w:r w:rsidRPr="003D6DA9">
        <w:t xml:space="preserve">solo per il 2 % degli uomini economicamente inattivi come mostra </w:t>
      </w:r>
      <w:r w:rsidR="00105622">
        <w:t>la figura seguente</w:t>
      </w:r>
      <w:r w:rsidRPr="003D6DA9">
        <w:t>.</w:t>
      </w:r>
    </w:p>
    <w:p w14:paraId="20F769F0" w14:textId="29F191CC" w:rsidR="00570BC7" w:rsidRPr="00105622" w:rsidRDefault="00105622" w:rsidP="00105622">
      <w:pPr>
        <w:pStyle w:val="Titolotabella"/>
        <w:ind w:left="993" w:hanging="993"/>
      </w:pPr>
      <w:r w:rsidRPr="00105622">
        <w:rPr>
          <w:noProof/>
          <w:lang w:eastAsia="it-IT"/>
        </w:rPr>
        <w:lastRenderedPageBreak/>
        <w:drawing>
          <wp:anchor distT="0" distB="0" distL="114300" distR="114300" simplePos="0" relativeHeight="251703296" behindDoc="0" locked="0" layoutInCell="1" allowOverlap="1" wp14:anchorId="3EB0A783" wp14:editId="5E8BB6BC">
            <wp:simplePos x="0" y="0"/>
            <wp:positionH relativeFrom="column">
              <wp:posOffset>808990</wp:posOffset>
            </wp:positionH>
            <wp:positionV relativeFrom="paragraph">
              <wp:posOffset>204552</wp:posOffset>
            </wp:positionV>
            <wp:extent cx="4201795" cy="2020570"/>
            <wp:effectExtent l="0" t="0" r="825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01795" cy="2020570"/>
                    </a:xfrm>
                    <a:prstGeom prst="rect">
                      <a:avLst/>
                    </a:prstGeom>
                  </pic:spPr>
                </pic:pic>
              </a:graphicData>
            </a:graphic>
            <wp14:sizeRelH relativeFrom="margin">
              <wp14:pctWidth>0</wp14:pctWidth>
            </wp14:sizeRelH>
            <wp14:sizeRelV relativeFrom="margin">
              <wp14:pctHeight>0</wp14:pctHeight>
            </wp14:sizeRelV>
          </wp:anchor>
        </w:drawing>
      </w:r>
      <w:r>
        <w:t>Figura 3</w:t>
      </w:r>
      <w:r w:rsidRPr="00105622">
        <w:t xml:space="preserve"> UE: Inattività lavorativa maschile per resp.assistenziali (comp%) (2017)</w:t>
      </w:r>
    </w:p>
    <w:p w14:paraId="4EA7E88A" w14:textId="5CD078AA" w:rsidR="00570BC7" w:rsidRPr="008F7DC2" w:rsidRDefault="00570BC7" w:rsidP="00570BC7">
      <w:pPr>
        <w:suppressAutoHyphens/>
        <w:rPr>
          <w:i/>
          <w:iCs/>
          <w:sz w:val="20"/>
          <w:szCs w:val="20"/>
        </w:rPr>
      </w:pPr>
      <w:r>
        <w:rPr>
          <w:i/>
          <w:iCs/>
          <w:sz w:val="20"/>
          <w:szCs w:val="20"/>
        </w:rPr>
        <w:t xml:space="preserve">  </w:t>
      </w:r>
      <w:r w:rsidRPr="008F7DC2">
        <w:rPr>
          <w:i/>
          <w:iCs/>
          <w:sz w:val="20"/>
          <w:szCs w:val="20"/>
        </w:rPr>
        <w:t>Fonte: Dati Eurostat – Rielaborazione del PE su Relazione del PE sull'emancipazione economica delle donne (13/09/2017).</w:t>
      </w:r>
    </w:p>
    <w:p w14:paraId="1A90D37F" w14:textId="19D4FD37" w:rsidR="00570BC7" w:rsidRPr="000C70BD" w:rsidRDefault="000C70BD" w:rsidP="00570BC7">
      <w:pPr>
        <w:suppressAutoHyphens/>
        <w:rPr>
          <w:rFonts w:eastAsia="SimSun" w:cs="Arial"/>
          <w:b/>
          <w:bCs/>
          <w:color w:val="7F7F7F" w:themeColor="text1" w:themeTint="80"/>
          <w:sz w:val="20"/>
          <w:szCs w:val="20"/>
        </w:rPr>
      </w:pPr>
      <w:r w:rsidRPr="000C70BD">
        <w:rPr>
          <w:rFonts w:eastAsia="SimSun" w:cs="Arial"/>
          <w:b/>
          <w:bCs/>
          <w:noProof/>
          <w:color w:val="7F7F7F" w:themeColor="text1" w:themeTint="80"/>
          <w:sz w:val="20"/>
          <w:szCs w:val="20"/>
          <w:lang w:eastAsia="it-IT"/>
        </w:rPr>
        <w:drawing>
          <wp:anchor distT="0" distB="0" distL="114300" distR="114300" simplePos="0" relativeHeight="251704320" behindDoc="0" locked="0" layoutInCell="1" allowOverlap="1" wp14:anchorId="6FAD55C2" wp14:editId="1425AF6D">
            <wp:simplePos x="0" y="0"/>
            <wp:positionH relativeFrom="column">
              <wp:posOffset>975261</wp:posOffset>
            </wp:positionH>
            <wp:positionV relativeFrom="paragraph">
              <wp:posOffset>343477</wp:posOffset>
            </wp:positionV>
            <wp:extent cx="3983355" cy="22383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83355" cy="2238375"/>
                    </a:xfrm>
                    <a:prstGeom prst="rect">
                      <a:avLst/>
                    </a:prstGeom>
                  </pic:spPr>
                </pic:pic>
              </a:graphicData>
            </a:graphic>
            <wp14:sizeRelH relativeFrom="page">
              <wp14:pctWidth>0</wp14:pctWidth>
            </wp14:sizeRelH>
            <wp14:sizeRelV relativeFrom="page">
              <wp14:pctHeight>0</wp14:pctHeight>
            </wp14:sizeRelV>
          </wp:anchor>
        </w:drawing>
      </w:r>
      <w:r>
        <w:rPr>
          <w:rFonts w:eastAsia="SimSun" w:cs="Arial"/>
          <w:b/>
          <w:bCs/>
          <w:color w:val="7F7F7F" w:themeColor="text1" w:themeTint="80"/>
          <w:sz w:val="20"/>
          <w:szCs w:val="20"/>
        </w:rPr>
        <w:t>Figura 4 -</w:t>
      </w:r>
      <w:r w:rsidR="00105622" w:rsidRPr="000C70BD">
        <w:rPr>
          <w:rFonts w:eastAsia="SimSun" w:cs="Arial"/>
          <w:b/>
          <w:bCs/>
          <w:color w:val="7F7F7F" w:themeColor="text1" w:themeTint="80"/>
          <w:sz w:val="20"/>
          <w:szCs w:val="20"/>
        </w:rPr>
        <w:t xml:space="preserve"> Donne laureate in Europa (comp.%) </w:t>
      </w:r>
    </w:p>
    <w:p w14:paraId="499EDC88" w14:textId="77777777" w:rsidR="000C70BD" w:rsidRPr="008F7DC2" w:rsidRDefault="000C70BD" w:rsidP="000C70BD">
      <w:pPr>
        <w:suppressAutoHyphens/>
        <w:rPr>
          <w:i/>
          <w:iCs/>
          <w:sz w:val="20"/>
          <w:szCs w:val="20"/>
        </w:rPr>
      </w:pPr>
      <w:r>
        <w:rPr>
          <w:i/>
          <w:iCs/>
          <w:sz w:val="20"/>
          <w:szCs w:val="20"/>
        </w:rPr>
        <w:t xml:space="preserve">  </w:t>
      </w:r>
      <w:r w:rsidRPr="008F7DC2">
        <w:rPr>
          <w:i/>
          <w:iCs/>
          <w:sz w:val="20"/>
          <w:szCs w:val="20"/>
        </w:rPr>
        <w:t>Fonte: Dati Eurostat – Rielaborazione del PE su Relazione del PE sull'emancipazione economica delle donne (13/09/2017).</w:t>
      </w:r>
    </w:p>
    <w:p w14:paraId="7DFCBD80" w14:textId="77777777" w:rsidR="000C70BD" w:rsidRDefault="000C70BD" w:rsidP="00570BC7">
      <w:pPr>
        <w:suppressAutoHyphens/>
      </w:pPr>
    </w:p>
    <w:p w14:paraId="410E6F0D" w14:textId="6C89CFFB" w:rsidR="00570BC7" w:rsidRPr="003D6DA9" w:rsidRDefault="00570BC7" w:rsidP="00570BC7">
      <w:pPr>
        <w:suppressAutoHyphens/>
      </w:pPr>
      <w:r w:rsidRPr="003D6DA9">
        <w:t xml:space="preserve">La strategia </w:t>
      </w:r>
      <w:r w:rsidRPr="00375EC0">
        <w:rPr>
          <w:b/>
          <w:color w:val="1F4E79" w:themeColor="accent1" w:themeShade="80"/>
        </w:rPr>
        <w:t>Europa 2020</w:t>
      </w:r>
      <w:r w:rsidRPr="00375EC0">
        <w:rPr>
          <w:color w:val="1F4E79" w:themeColor="accent1" w:themeShade="80"/>
        </w:rPr>
        <w:t xml:space="preserve"> </w:t>
      </w:r>
      <w:r w:rsidRPr="003D6DA9">
        <w:t>fissa per l'UE l'obiettivo del 75% di uomini e donne o</w:t>
      </w:r>
      <w:r>
        <w:t>ccupati entro il 2020 e prevede</w:t>
      </w:r>
      <w:r w:rsidRPr="003D6DA9">
        <w:t xml:space="preserve"> di </w:t>
      </w:r>
      <w:r>
        <w:t>correggere</w:t>
      </w:r>
      <w:r w:rsidRPr="003D6DA9">
        <w:t xml:space="preserve"> il </w:t>
      </w:r>
      <w:r>
        <w:t>gap di genere nel lavoro</w:t>
      </w:r>
      <w:r w:rsidRPr="003D6DA9">
        <w:t xml:space="preserve">. </w:t>
      </w:r>
      <w:r>
        <w:t>A</w:t>
      </w:r>
      <w:r w:rsidRPr="003D6DA9">
        <w:t xml:space="preserve">lla fine del 2015 la Commissione ha presentato </w:t>
      </w:r>
      <w:r w:rsidRPr="003B3E2B">
        <w:t>il</w:t>
      </w:r>
      <w:r w:rsidRPr="00375EC0">
        <w:rPr>
          <w:b/>
          <w:color w:val="1F4E79" w:themeColor="accent1" w:themeShade="80"/>
        </w:rPr>
        <w:t xml:space="preserve"> piano d'azione sulla parità di genere per il periodo 2016-2020</w:t>
      </w:r>
      <w:r w:rsidRPr="003D6DA9">
        <w:t xml:space="preserve">, nel quale i diritti e l'emancipazione delle donne a livello economico </w:t>
      </w:r>
      <w:r>
        <w:t>rappresentano</w:t>
      </w:r>
      <w:r w:rsidRPr="003D6DA9">
        <w:t xml:space="preserve"> uno dei quattro ambiti d'</w:t>
      </w:r>
      <w:r>
        <w:t>azione fondamentali. Secondo la relazione</w:t>
      </w:r>
      <w:r w:rsidRPr="003B3E2B">
        <w:rPr>
          <w:rStyle w:val="Rimandonotaapidipagina"/>
          <w:sz w:val="22"/>
          <w:vertAlign w:val="superscript"/>
        </w:rPr>
        <w:footnoteReference w:id="2"/>
      </w:r>
      <w:r w:rsidRPr="003B3E2B">
        <w:rPr>
          <w:sz w:val="28"/>
        </w:rPr>
        <w:t xml:space="preserve"> </w:t>
      </w:r>
      <w:r>
        <w:t>del PE sull'emancipazione economica delle donne nel settore pubblico e privato nell'UE, la redditività è più alta nel</w:t>
      </w:r>
      <w:r w:rsidRPr="003D6DA9">
        <w:t>le imprese con un maggior numero di donne nei propri consigli direttivi rispetto a quelle che presentano consigli dir</w:t>
      </w:r>
      <w:r>
        <w:t>ettivi composti da soli uomini. Tuttavia, attualmente i</w:t>
      </w:r>
      <w:r w:rsidRPr="003D6DA9">
        <w:t xml:space="preserve"> settori o i ruoli tipicament</w:t>
      </w:r>
      <w:r>
        <w:t xml:space="preserve">e a predominanza femminile possiedono </w:t>
      </w:r>
      <w:r w:rsidRPr="003D6DA9">
        <w:t>retribuzioni minor</w:t>
      </w:r>
      <w:r>
        <w:t>i rispetto a settori o a ruoli confrontabili a predominanza maschile. Ciò costituisce una componente dei gap retributivo e pensionistico</w:t>
      </w:r>
      <w:r w:rsidRPr="003D6DA9">
        <w:t xml:space="preserve"> di genere.</w:t>
      </w:r>
    </w:p>
    <w:p w14:paraId="61C71D3D" w14:textId="77777777" w:rsidR="00570BC7" w:rsidRPr="003D6DA9" w:rsidRDefault="00570BC7" w:rsidP="00570BC7">
      <w:pPr>
        <w:suppressAutoHyphens/>
      </w:pPr>
      <w:r w:rsidRPr="003D6DA9">
        <w:lastRenderedPageBreak/>
        <w:t>Per quanto concerne le donne laureate</w:t>
      </w:r>
      <w:r>
        <w:t>, la relazione evidenzia come,</w:t>
      </w:r>
      <w:r w:rsidRPr="003D6DA9">
        <w:t xml:space="preserve"> sebb</w:t>
      </w:r>
      <w:r>
        <w:t xml:space="preserve">ene siano quasi il 60 % </w:t>
      </w:r>
      <w:r w:rsidRPr="003D6DA9">
        <w:t>dei laureati nell'UE</w:t>
      </w:r>
      <w:r>
        <w:t xml:space="preserve"> </w:t>
      </w:r>
      <w:r w:rsidRPr="008F7DC2">
        <w:t>(vedi Graf.5),</w:t>
      </w:r>
      <w:r w:rsidRPr="003D6DA9">
        <w:t xml:space="preserve"> le donne </w:t>
      </w:r>
      <w:r>
        <w:t>risultino</w:t>
      </w:r>
      <w:r w:rsidRPr="003D6DA9">
        <w:t xml:space="preserve"> sottorappresentate nella scienza, nella matematica, nell'informatica, nell'ingegneria e nelle carrie</w:t>
      </w:r>
      <w:r>
        <w:t>re correlate</w:t>
      </w:r>
      <w:r w:rsidRPr="003D6DA9">
        <w:t xml:space="preserve">.  </w:t>
      </w:r>
    </w:p>
    <w:p w14:paraId="2EB98CFF" w14:textId="77777777" w:rsidR="00570BC7" w:rsidRPr="003D6DA9" w:rsidRDefault="00570BC7" w:rsidP="00570BC7">
      <w:pPr>
        <w:suppressAutoHyphens/>
      </w:pPr>
      <w:r>
        <w:t xml:space="preserve">Nel documento si </w:t>
      </w:r>
      <w:r w:rsidRPr="003D6DA9">
        <w:t xml:space="preserve">invita </w:t>
      </w:r>
      <w:r>
        <w:t xml:space="preserve">inoltre </w:t>
      </w:r>
      <w:r w:rsidRPr="003D6DA9">
        <w:t xml:space="preserve">la Commissione e gli Stati membri a garantire che i fondi SIE e il Fondo europeo per gli investimenti strategici </w:t>
      </w:r>
      <w:r>
        <w:t>contribuiscano</w:t>
      </w:r>
      <w:r w:rsidRPr="003D6DA9">
        <w:t xml:space="preserve"> a ridurre la povertà delle donne, </w:t>
      </w:r>
      <w:r>
        <w:t>al fine</w:t>
      </w:r>
      <w:r w:rsidRPr="003D6DA9">
        <w:t xml:space="preserve"> di raggiungere l'obiettivo globale di riduzione della povertà della strate</w:t>
      </w:r>
      <w:r>
        <w:t xml:space="preserve">gia Europa 2020.  </w:t>
      </w:r>
    </w:p>
    <w:p w14:paraId="1F62D254" w14:textId="77777777" w:rsidR="00570BC7" w:rsidRPr="003D6DA9" w:rsidRDefault="00570BC7" w:rsidP="00570BC7">
      <w:pPr>
        <w:suppressAutoHyphens/>
      </w:pPr>
      <w:r w:rsidRPr="003D6DA9">
        <w:t xml:space="preserve">Da notare anche la </w:t>
      </w:r>
      <w:r w:rsidRPr="00D31459">
        <w:rPr>
          <w:b/>
          <w:color w:val="1F4E79" w:themeColor="accent1" w:themeShade="80"/>
        </w:rPr>
        <w:t>raccomandazione</w:t>
      </w:r>
      <w:r w:rsidRPr="00D31459">
        <w:rPr>
          <w:rStyle w:val="Rimandonotaapidipagina"/>
          <w:b/>
          <w:color w:val="1F4E79" w:themeColor="accent1" w:themeShade="80"/>
          <w:sz w:val="20"/>
          <w:vertAlign w:val="superscript"/>
        </w:rPr>
        <w:footnoteReference w:id="3"/>
      </w:r>
      <w:r w:rsidRPr="00D31459">
        <w:rPr>
          <w:b/>
          <w:color w:val="1F4E79" w:themeColor="accent1" w:themeShade="80"/>
        </w:rPr>
        <w:t xml:space="preserve"> del Parlamento europeo</w:t>
      </w:r>
      <w:r w:rsidRPr="00D31459">
        <w:rPr>
          <w:color w:val="1F4E79" w:themeColor="accent1" w:themeShade="80"/>
        </w:rPr>
        <w:t xml:space="preserve"> </w:t>
      </w:r>
      <w:r w:rsidRPr="003D6DA9">
        <w:t xml:space="preserve">destinata al Consiglio sulle priorità dell'UE in vista della 62a sessione della </w:t>
      </w:r>
      <w:r w:rsidRPr="00D31459">
        <w:rPr>
          <w:b/>
          <w:color w:val="1F4E79" w:themeColor="accent1" w:themeShade="80"/>
        </w:rPr>
        <w:t>commissione delle Nazioni Unite sulla condizione femminile</w:t>
      </w:r>
      <w:r w:rsidRPr="00D31459">
        <w:rPr>
          <w:color w:val="1F4E79" w:themeColor="accent1" w:themeShade="80"/>
        </w:rPr>
        <w:t xml:space="preserve"> </w:t>
      </w:r>
      <w:r>
        <w:t xml:space="preserve">(CSW). Al suo interno viene posta enfasi sulla necessità di favorire </w:t>
      </w:r>
      <w:r w:rsidRPr="003D6DA9">
        <w:t xml:space="preserve">l'emancipazione delle donne nelle aree rurali e l'accesso delle donne ai mezzi di comunicazione e alle tecnologie dell'informazione e della comunicazione, </w:t>
      </w:r>
      <w:r>
        <w:t>in considerazione del</w:t>
      </w:r>
      <w:r w:rsidRPr="003D6DA9">
        <w:t xml:space="preserve">l'impatto e </w:t>
      </w:r>
      <w:r>
        <w:t>del</w:t>
      </w:r>
      <w:r w:rsidRPr="003D6DA9">
        <w:t>l'utilizzo di questi ultimi come strument</w:t>
      </w:r>
      <w:r>
        <w:t>i per l'avanzamento delle donne</w:t>
      </w:r>
      <w:r w:rsidRPr="003D6DA9">
        <w:t xml:space="preserve">. </w:t>
      </w:r>
    </w:p>
    <w:p w14:paraId="2D2BA321" w14:textId="77777777" w:rsidR="00570BC7" w:rsidRPr="008118DE" w:rsidRDefault="00570BC7" w:rsidP="00570BC7"/>
    <w:p w14:paraId="7E1DEED1" w14:textId="77777777" w:rsidR="00570BC7" w:rsidRDefault="00570BC7" w:rsidP="00570BC7">
      <w:pPr>
        <w:pStyle w:val="Titolo2"/>
      </w:pPr>
      <w:bookmarkStart w:id="6" w:name="_Toc534027309"/>
      <w:r>
        <w:t>2.2</w:t>
      </w:r>
      <w:r>
        <w:tab/>
        <w:t>L’</w:t>
      </w:r>
      <w:r w:rsidRPr="008118DE">
        <w:t>Im</w:t>
      </w:r>
      <w:r>
        <w:t>prenditoria femminile in Europa</w:t>
      </w:r>
      <w:bookmarkEnd w:id="6"/>
    </w:p>
    <w:p w14:paraId="5D5FD337" w14:textId="77777777" w:rsidR="00570BC7" w:rsidRPr="000302CC" w:rsidRDefault="00570BC7" w:rsidP="00570BC7">
      <w:pPr>
        <w:pStyle w:val="Corpodeltesto"/>
        <w:tabs>
          <w:tab w:val="left" w:pos="1677"/>
        </w:tabs>
        <w:jc w:val="both"/>
        <w:rPr>
          <w:sz w:val="22"/>
          <w:lang w:val="it-IT"/>
        </w:rPr>
      </w:pPr>
      <w:r>
        <w:rPr>
          <w:color w:val="000000"/>
          <w:sz w:val="22"/>
          <w:lang w:val="it-IT"/>
        </w:rPr>
        <w:t>Secondo rapporto</w:t>
      </w:r>
      <w:r w:rsidRPr="00E63B7C">
        <w:rPr>
          <w:rStyle w:val="Rimandonotaapidipagina"/>
          <w:color w:val="000000"/>
          <w:sz w:val="20"/>
          <w:vertAlign w:val="superscript"/>
          <w:lang w:val="it-IT"/>
        </w:rPr>
        <w:footnoteReference w:id="4"/>
      </w:r>
      <w:r>
        <w:rPr>
          <w:color w:val="000000"/>
          <w:sz w:val="22"/>
          <w:lang w:val="it-IT"/>
        </w:rPr>
        <w:t xml:space="preserve"> della Commissione Europea sulle donne imprenditrici in Europa,  nel 2014</w:t>
      </w:r>
      <w:r w:rsidRPr="0069301C">
        <w:rPr>
          <w:color w:val="000000"/>
          <w:sz w:val="22"/>
          <w:lang w:val="it-IT"/>
        </w:rPr>
        <w:t xml:space="preserve"> le donne rappresentano solo il 34,4% delle titolari d’azienda e il 30% di coloro che</w:t>
      </w:r>
      <w:r>
        <w:rPr>
          <w:color w:val="000000"/>
          <w:sz w:val="22"/>
          <w:lang w:val="it-IT"/>
        </w:rPr>
        <w:t xml:space="preserve"> hanno dato vita a una start up.</w:t>
      </w:r>
      <w:r w:rsidRPr="0069301C">
        <w:rPr>
          <w:b/>
          <w:color w:val="000000"/>
          <w:sz w:val="22"/>
          <w:lang w:val="it-IT"/>
        </w:rPr>
        <w:t xml:space="preserve"> </w:t>
      </w:r>
      <w:r>
        <w:rPr>
          <w:b/>
          <w:color w:val="000000"/>
          <w:sz w:val="22"/>
          <w:lang w:val="it-IT"/>
        </w:rPr>
        <w:t xml:space="preserve"> </w:t>
      </w:r>
      <w:r w:rsidRPr="0069301C">
        <w:rPr>
          <w:color w:val="000000"/>
          <w:sz w:val="22"/>
          <w:lang w:val="it-IT"/>
        </w:rPr>
        <w:t xml:space="preserve">Per quanto riguarda i settori dell’imprenditoria femminile, </w:t>
      </w:r>
      <w:r>
        <w:rPr>
          <w:color w:val="000000"/>
          <w:sz w:val="22"/>
          <w:lang w:val="it-IT"/>
        </w:rPr>
        <w:t xml:space="preserve">il rapporto evidenzia come </w:t>
      </w:r>
      <w:r w:rsidRPr="0069301C">
        <w:rPr>
          <w:color w:val="000000"/>
          <w:sz w:val="22"/>
          <w:lang w:val="it-IT"/>
        </w:rPr>
        <w:t>a</w:t>
      </w:r>
      <w:r>
        <w:rPr>
          <w:color w:val="000000"/>
          <w:sz w:val="22"/>
          <w:lang w:val="it-IT"/>
        </w:rPr>
        <w:t>l primo posto ci sia</w:t>
      </w:r>
      <w:r w:rsidRPr="0069301C">
        <w:rPr>
          <w:color w:val="000000"/>
          <w:sz w:val="22"/>
          <w:lang w:val="it-IT"/>
        </w:rPr>
        <w:t xml:space="preserve"> </w:t>
      </w:r>
      <w:r w:rsidRPr="002841CE">
        <w:rPr>
          <w:color w:val="000000"/>
          <w:sz w:val="22"/>
          <w:lang w:val="it-IT"/>
        </w:rPr>
        <w:t>l’ambito della</w:t>
      </w:r>
      <w:r w:rsidRPr="0069301C">
        <w:rPr>
          <w:b/>
          <w:color w:val="000000"/>
          <w:sz w:val="22"/>
          <w:lang w:val="it-IT"/>
        </w:rPr>
        <w:t xml:space="preserve"> </w:t>
      </w:r>
      <w:r w:rsidRPr="002841CE">
        <w:rPr>
          <w:b/>
          <w:color w:val="1F4E79" w:themeColor="accent1" w:themeShade="80"/>
          <w:sz w:val="22"/>
          <w:lang w:val="it-IT"/>
        </w:rPr>
        <w:t>salute</w:t>
      </w:r>
      <w:r w:rsidRPr="0069301C">
        <w:rPr>
          <w:b/>
          <w:color w:val="000000"/>
          <w:sz w:val="22"/>
          <w:lang w:val="it-IT"/>
        </w:rPr>
        <w:t xml:space="preserve"> </w:t>
      </w:r>
      <w:r>
        <w:rPr>
          <w:color w:val="000000"/>
          <w:sz w:val="22"/>
          <w:lang w:val="it-IT"/>
        </w:rPr>
        <w:t>e dei lavori socialmente utili (60%), a</w:t>
      </w:r>
      <w:r w:rsidRPr="0069301C">
        <w:rPr>
          <w:color w:val="000000"/>
          <w:sz w:val="22"/>
          <w:lang w:val="it-IT"/>
        </w:rPr>
        <w:t xml:space="preserve">l </w:t>
      </w:r>
      <w:r>
        <w:rPr>
          <w:color w:val="000000"/>
          <w:sz w:val="22"/>
          <w:lang w:val="it-IT"/>
        </w:rPr>
        <w:t xml:space="preserve">secondo posto è indicato l’ambito dei </w:t>
      </w:r>
      <w:r w:rsidRPr="002841CE">
        <w:rPr>
          <w:b/>
          <w:color w:val="1F4E79" w:themeColor="accent1" w:themeShade="80"/>
          <w:sz w:val="22"/>
          <w:lang w:val="it-IT"/>
        </w:rPr>
        <w:t>servizi</w:t>
      </w:r>
      <w:r>
        <w:rPr>
          <w:b/>
          <w:color w:val="000000"/>
          <w:sz w:val="22"/>
          <w:lang w:val="it-IT"/>
        </w:rPr>
        <w:t xml:space="preserve"> </w:t>
      </w:r>
      <w:r w:rsidRPr="002841CE">
        <w:rPr>
          <w:color w:val="000000"/>
          <w:sz w:val="22"/>
          <w:lang w:val="it-IT"/>
        </w:rPr>
        <w:t>(59%)</w:t>
      </w:r>
      <w:r>
        <w:rPr>
          <w:color w:val="000000"/>
          <w:sz w:val="22"/>
          <w:lang w:val="it-IT"/>
        </w:rPr>
        <w:t xml:space="preserve"> e al terzo posto</w:t>
      </w:r>
      <w:r w:rsidRPr="0069301C">
        <w:rPr>
          <w:color w:val="000000"/>
          <w:sz w:val="22"/>
          <w:lang w:val="it-IT"/>
        </w:rPr>
        <w:t xml:space="preserve"> c’è il mondo dell’</w:t>
      </w:r>
      <w:r w:rsidRPr="002841CE">
        <w:rPr>
          <w:b/>
          <w:color w:val="1F4E79" w:themeColor="accent1" w:themeShade="80"/>
          <w:sz w:val="22"/>
          <w:lang w:val="it-IT"/>
        </w:rPr>
        <w:t>istruzione</w:t>
      </w:r>
      <w:r>
        <w:rPr>
          <w:b/>
          <w:color w:val="000000"/>
          <w:sz w:val="22"/>
          <w:lang w:val="it-IT"/>
        </w:rPr>
        <w:t xml:space="preserve"> </w:t>
      </w:r>
      <w:r w:rsidRPr="002841CE">
        <w:rPr>
          <w:color w:val="000000"/>
          <w:sz w:val="22"/>
          <w:lang w:val="it-IT"/>
        </w:rPr>
        <w:t>(55%)</w:t>
      </w:r>
      <w:r w:rsidRPr="0069301C">
        <w:rPr>
          <w:color w:val="000000"/>
          <w:sz w:val="22"/>
          <w:lang w:val="it-IT"/>
        </w:rPr>
        <w:t xml:space="preserve">, mentre comparti </w:t>
      </w:r>
      <w:r>
        <w:rPr>
          <w:color w:val="000000"/>
          <w:sz w:val="22"/>
          <w:lang w:val="it-IT"/>
        </w:rPr>
        <w:t xml:space="preserve">tradizionalmente </w:t>
      </w:r>
      <w:r w:rsidRPr="0069301C">
        <w:rPr>
          <w:color w:val="000000"/>
          <w:sz w:val="22"/>
          <w:lang w:val="it-IT"/>
        </w:rPr>
        <w:t xml:space="preserve">più maschili come le costruzioni, i trasporti o </w:t>
      </w:r>
      <w:r>
        <w:rPr>
          <w:color w:val="000000"/>
          <w:sz w:val="22"/>
          <w:lang w:val="it-IT"/>
        </w:rPr>
        <w:t>la gestione dei rifiuti costituiscono la parte più esigua</w:t>
      </w:r>
      <w:r w:rsidRPr="0069301C">
        <w:rPr>
          <w:color w:val="000000"/>
          <w:sz w:val="22"/>
          <w:lang w:val="it-IT"/>
        </w:rPr>
        <w:t>,</w:t>
      </w:r>
      <w:r>
        <w:rPr>
          <w:color w:val="000000"/>
          <w:sz w:val="22"/>
          <w:lang w:val="it-IT"/>
        </w:rPr>
        <w:t xml:space="preserve"> con meno dell’8% delle imprese a conduzione femminile. </w:t>
      </w:r>
      <w:r w:rsidRPr="002841CE">
        <w:rPr>
          <w:b/>
          <w:color w:val="1F4E79" w:themeColor="accent1" w:themeShade="80"/>
          <w:sz w:val="22"/>
          <w:lang w:val="it-IT"/>
        </w:rPr>
        <w:t>Il settore agricolo si trova al di sotto della media del 29%, registrando un 25% di imprese in mano a donne</w:t>
      </w:r>
      <w:r>
        <w:rPr>
          <w:color w:val="000000"/>
          <w:sz w:val="22"/>
          <w:lang w:val="it-IT"/>
        </w:rPr>
        <w:t>. Per quanto riguarda</w:t>
      </w:r>
      <w:r w:rsidRPr="0069301C">
        <w:rPr>
          <w:color w:val="000000"/>
          <w:sz w:val="22"/>
          <w:lang w:val="it-IT"/>
        </w:rPr>
        <w:t xml:space="preserve"> al </w:t>
      </w:r>
      <w:r w:rsidRPr="002841CE">
        <w:rPr>
          <w:b/>
          <w:color w:val="1F4E79" w:themeColor="accent1" w:themeShade="80"/>
          <w:sz w:val="22"/>
          <w:lang w:val="it-IT"/>
        </w:rPr>
        <w:t>reddito</w:t>
      </w:r>
      <w:r w:rsidRPr="0069301C">
        <w:rPr>
          <w:color w:val="000000"/>
          <w:sz w:val="22"/>
          <w:lang w:val="it-IT"/>
        </w:rPr>
        <w:t xml:space="preserve">, </w:t>
      </w:r>
      <w:r>
        <w:rPr>
          <w:color w:val="000000"/>
          <w:sz w:val="22"/>
          <w:lang w:val="it-IT"/>
        </w:rPr>
        <w:t>sussiste il</w:t>
      </w:r>
      <w:r w:rsidRPr="0069301C">
        <w:rPr>
          <w:color w:val="000000"/>
          <w:sz w:val="22"/>
          <w:lang w:val="it-IT"/>
        </w:rPr>
        <w:t xml:space="preserve"> </w:t>
      </w:r>
      <w:r>
        <w:rPr>
          <w:color w:val="000000"/>
          <w:sz w:val="22"/>
          <w:lang w:val="it-IT"/>
        </w:rPr>
        <w:t>divario di genere</w:t>
      </w:r>
      <w:r w:rsidRPr="0069301C">
        <w:rPr>
          <w:color w:val="000000"/>
          <w:sz w:val="22"/>
          <w:lang w:val="it-IT"/>
        </w:rPr>
        <w:t>: secondo i dati raccolti dalla Commissione UE le donne titolari di un’impresa, nei 28 Paesi membri,</w:t>
      </w:r>
      <w:r>
        <w:rPr>
          <w:color w:val="000000"/>
          <w:sz w:val="22"/>
          <w:lang w:val="it-IT"/>
        </w:rPr>
        <w:t xml:space="preserve"> la differenza del guadagno medio con gli uomini è del 6%</w:t>
      </w:r>
      <w:r w:rsidRPr="0069301C">
        <w:rPr>
          <w:color w:val="000000"/>
          <w:sz w:val="22"/>
          <w:lang w:val="it-IT"/>
        </w:rPr>
        <w:t xml:space="preserve">. </w:t>
      </w:r>
      <w:r>
        <w:rPr>
          <w:color w:val="000000"/>
          <w:sz w:val="22"/>
          <w:lang w:val="it-IT"/>
        </w:rPr>
        <w:t xml:space="preserve">Fanno eccezione Spagna e </w:t>
      </w:r>
      <w:r w:rsidRPr="0069301C">
        <w:rPr>
          <w:color w:val="000000"/>
          <w:sz w:val="22"/>
          <w:lang w:val="it-IT"/>
        </w:rPr>
        <w:t xml:space="preserve">Norvegia, </w:t>
      </w:r>
      <w:r>
        <w:rPr>
          <w:color w:val="000000"/>
          <w:sz w:val="22"/>
          <w:lang w:val="it-IT"/>
        </w:rPr>
        <w:t xml:space="preserve">mentre registrano una performance particolarmente negativa </w:t>
      </w:r>
      <w:r w:rsidRPr="0069301C">
        <w:rPr>
          <w:color w:val="000000"/>
          <w:sz w:val="22"/>
          <w:lang w:val="it-IT"/>
        </w:rPr>
        <w:t>Germania, Polonia, Danimarca e Lituania</w:t>
      </w:r>
      <w:r w:rsidRPr="0069301C">
        <w:rPr>
          <w:rStyle w:val="Richiamoallanotaapidipagina"/>
          <w:color w:val="000000"/>
          <w:sz w:val="22"/>
        </w:rPr>
        <w:footnoteReference w:id="5"/>
      </w:r>
      <w:r w:rsidRPr="0069301C">
        <w:rPr>
          <w:color w:val="000000"/>
          <w:sz w:val="22"/>
          <w:lang w:val="it-IT"/>
        </w:rPr>
        <w:t>.</w:t>
      </w:r>
      <w:r>
        <w:rPr>
          <w:color w:val="000000"/>
          <w:sz w:val="22"/>
          <w:lang w:val="it-IT"/>
        </w:rPr>
        <w:t xml:space="preserve"> </w:t>
      </w:r>
      <w:r w:rsidRPr="0069301C">
        <w:rPr>
          <w:color w:val="000000"/>
          <w:sz w:val="22"/>
          <w:lang w:val="it-IT"/>
        </w:rPr>
        <w:t xml:space="preserve">Quasi 7,3 milioni di persone occupano </w:t>
      </w:r>
      <w:r w:rsidRPr="002223DD">
        <w:rPr>
          <w:b/>
          <w:color w:val="1F4E79" w:themeColor="accent1" w:themeShade="80"/>
          <w:sz w:val="22"/>
          <w:lang w:val="it-IT"/>
        </w:rPr>
        <w:t>posizioni manageriali</w:t>
      </w:r>
      <w:r w:rsidRPr="002223DD">
        <w:rPr>
          <w:color w:val="1F4E79" w:themeColor="accent1" w:themeShade="80"/>
          <w:sz w:val="22"/>
          <w:lang w:val="it-IT"/>
        </w:rPr>
        <w:t xml:space="preserve"> </w:t>
      </w:r>
      <w:r w:rsidRPr="0069301C">
        <w:rPr>
          <w:color w:val="000000"/>
          <w:sz w:val="22"/>
          <w:lang w:val="it-IT"/>
        </w:rPr>
        <w:t xml:space="preserve">in imprese </w:t>
      </w:r>
      <w:r>
        <w:rPr>
          <w:color w:val="000000"/>
          <w:sz w:val="22"/>
          <w:lang w:val="it-IT"/>
        </w:rPr>
        <w:t xml:space="preserve">europee </w:t>
      </w:r>
      <w:r w:rsidRPr="0069301C">
        <w:rPr>
          <w:color w:val="000000"/>
          <w:sz w:val="22"/>
          <w:lang w:val="it-IT"/>
        </w:rPr>
        <w:t xml:space="preserve">con 10 dipendenti o: 4,7 milioni di uomini (il 65% di tutti i dirigenti) e 2,6 milioni di donne (il 35%). </w:t>
      </w:r>
      <w:r>
        <w:rPr>
          <w:color w:val="000000"/>
          <w:sz w:val="22"/>
          <w:lang w:val="it-IT"/>
        </w:rPr>
        <w:t>Emerge dunque una netta sotto-rappresentazione delle donne tra i dirigenti</w:t>
      </w:r>
      <w:r w:rsidRPr="0069301C">
        <w:rPr>
          <w:color w:val="000000"/>
          <w:sz w:val="22"/>
          <w:lang w:val="it-IT"/>
        </w:rPr>
        <w:t xml:space="preserve">. </w:t>
      </w:r>
      <w:r>
        <w:rPr>
          <w:color w:val="212121"/>
          <w:sz w:val="22"/>
          <w:lang w:val="it-IT"/>
        </w:rPr>
        <w:t>In aggiunta</w:t>
      </w:r>
      <w:r w:rsidRPr="0069301C">
        <w:rPr>
          <w:color w:val="212121"/>
          <w:sz w:val="22"/>
          <w:lang w:val="it-IT"/>
        </w:rPr>
        <w:t>,</w:t>
      </w:r>
      <w:r>
        <w:rPr>
          <w:color w:val="212121"/>
          <w:sz w:val="22"/>
          <w:lang w:val="it-IT"/>
        </w:rPr>
        <w:t xml:space="preserve"> la discrepanza tra i guadagni di manager europei uomini e donne è in media del 23,4%</w:t>
      </w:r>
      <w:r w:rsidRPr="0069301C">
        <w:rPr>
          <w:color w:val="212121"/>
          <w:sz w:val="22"/>
          <w:lang w:val="it-IT"/>
        </w:rPr>
        <w:t xml:space="preserve">. </w:t>
      </w:r>
      <w:r w:rsidRPr="0069301C">
        <w:rPr>
          <w:rStyle w:val="Richiamoallanotaapidipagina"/>
          <w:color w:val="212121"/>
          <w:sz w:val="22"/>
          <w:lang w:val="it-IT"/>
        </w:rPr>
        <w:footnoteReference w:id="6"/>
      </w:r>
    </w:p>
    <w:p w14:paraId="4036D898" w14:textId="77777777" w:rsidR="00570BC7" w:rsidRPr="0069301C" w:rsidRDefault="00570BC7" w:rsidP="00570BC7">
      <w:pPr>
        <w:pStyle w:val="Corpodeltesto"/>
        <w:jc w:val="both"/>
        <w:rPr>
          <w:sz w:val="22"/>
          <w:lang w:val="it-IT"/>
        </w:rPr>
      </w:pPr>
    </w:p>
    <w:p w14:paraId="1320237A" w14:textId="77777777" w:rsidR="00570BC7" w:rsidRPr="000302CC" w:rsidRDefault="00570BC7" w:rsidP="00570BC7">
      <w:pPr>
        <w:suppressAutoHyphens/>
        <w:rPr>
          <w:rFonts w:eastAsia="Times New Roman" w:cs="Times New Roman"/>
          <w:b/>
          <w:bCs/>
          <w:i/>
          <w:iCs/>
          <w:color w:val="1F4E79" w:themeColor="accent1" w:themeShade="80"/>
          <w:sz w:val="28"/>
          <w:szCs w:val="28"/>
        </w:rPr>
      </w:pPr>
      <w:r w:rsidRPr="000302CC">
        <w:rPr>
          <w:rFonts w:eastAsia="Times New Roman" w:cs="Times New Roman"/>
          <w:b/>
          <w:bCs/>
          <w:i/>
          <w:iCs/>
          <w:color w:val="1F4E79" w:themeColor="accent1" w:themeShade="80"/>
        </w:rPr>
        <w:t>Imprenditrici agricole</w:t>
      </w:r>
    </w:p>
    <w:p w14:paraId="52FDB425" w14:textId="04F4A236" w:rsidR="00570BC7" w:rsidRDefault="00570BC7" w:rsidP="00570BC7">
      <w:pPr>
        <w:suppressAutoHyphens/>
        <w:rPr>
          <w:color w:val="222222"/>
        </w:rPr>
      </w:pPr>
      <w:r>
        <w:rPr>
          <w:rFonts w:eastAsia="Times New Roman" w:cs="Times New Roman"/>
          <w:bCs/>
          <w:iCs/>
          <w:color w:val="222222"/>
        </w:rPr>
        <w:t>Un’indagine</w:t>
      </w:r>
      <w:r w:rsidRPr="00A435D2">
        <w:rPr>
          <w:rStyle w:val="Rimandonotaapidipagina"/>
          <w:rFonts w:eastAsia="Times New Roman" w:cs="Times New Roman"/>
          <w:bCs/>
          <w:iCs/>
          <w:color w:val="222222"/>
          <w:sz w:val="20"/>
          <w:vertAlign w:val="superscript"/>
        </w:rPr>
        <w:footnoteReference w:id="7"/>
      </w:r>
      <w:r>
        <w:rPr>
          <w:rFonts w:eastAsia="Times New Roman" w:cs="Times New Roman"/>
          <w:bCs/>
          <w:iCs/>
          <w:color w:val="222222"/>
        </w:rPr>
        <w:t xml:space="preserve"> del 2016 della Direzione generale agricoltura della Commissione europea registra una </w:t>
      </w:r>
      <w:r w:rsidRPr="00FB4083">
        <w:rPr>
          <w:rFonts w:eastAsia="Times New Roman" w:cs="Times New Roman"/>
          <w:b/>
          <w:bCs/>
          <w:iCs/>
          <w:color w:val="1F4E79" w:themeColor="accent1" w:themeShade="80"/>
        </w:rPr>
        <w:t>crescita delle aziende con a capo donne</w:t>
      </w:r>
      <w:r>
        <w:rPr>
          <w:rFonts w:eastAsia="Times New Roman" w:cs="Times New Roman"/>
          <w:bCs/>
          <w:iCs/>
          <w:color w:val="222222"/>
        </w:rPr>
        <w:t>.</w:t>
      </w:r>
      <w:r>
        <w:rPr>
          <w:rFonts w:eastAsia="Times New Roman" w:cs="Times New Roman"/>
          <w:b/>
          <w:bCs/>
          <w:i/>
          <w:iCs/>
          <w:color w:val="000066"/>
        </w:rPr>
        <w:t xml:space="preserve"> </w:t>
      </w:r>
      <w:r w:rsidRPr="00313937">
        <w:rPr>
          <w:color w:val="222222"/>
        </w:rPr>
        <w:t xml:space="preserve"> I dati suggeriscono che in media circa </w:t>
      </w:r>
      <w:r w:rsidRPr="00FB4083">
        <w:rPr>
          <w:b/>
          <w:color w:val="1F4E79" w:themeColor="accent1" w:themeShade="80"/>
        </w:rPr>
        <w:t>il 30% delle aziende agricole</w:t>
      </w:r>
      <w:r w:rsidRPr="00313937">
        <w:rPr>
          <w:color w:val="222222"/>
        </w:rPr>
        <w:t xml:space="preserve"> in tu</w:t>
      </w:r>
      <w:r>
        <w:rPr>
          <w:color w:val="222222"/>
        </w:rPr>
        <w:t xml:space="preserve">tta l'UE è gestito da una donna. </w:t>
      </w:r>
      <w:r w:rsidRPr="00313937">
        <w:rPr>
          <w:color w:val="222222"/>
        </w:rPr>
        <w:t>La dimensione media delle aziende agricole gestite dalle donne è di</w:t>
      </w:r>
      <w:r>
        <w:rPr>
          <w:color w:val="222222"/>
        </w:rPr>
        <w:t xml:space="preserve"> 6,4 ettari, meno della metà del</w:t>
      </w:r>
      <w:r w:rsidRPr="00313937">
        <w:rPr>
          <w:color w:val="222222"/>
        </w:rPr>
        <w:t xml:space="preserve"> 14,4 ha per le </w:t>
      </w:r>
      <w:r>
        <w:rPr>
          <w:color w:val="222222"/>
        </w:rPr>
        <w:t>aziende gestite dagli uomini. Per quanto riguarda la</w:t>
      </w:r>
      <w:r w:rsidRPr="00313937">
        <w:rPr>
          <w:color w:val="222222"/>
        </w:rPr>
        <w:t xml:space="preserve"> </w:t>
      </w:r>
      <w:r w:rsidRPr="00FB4083">
        <w:rPr>
          <w:b/>
          <w:color w:val="1F4E79" w:themeColor="accent1" w:themeShade="80"/>
        </w:rPr>
        <w:t>produzione per azienda</w:t>
      </w:r>
      <w:r w:rsidRPr="00313937">
        <w:rPr>
          <w:color w:val="222222"/>
        </w:rPr>
        <w:t xml:space="preserve">, </w:t>
      </w:r>
      <w:r>
        <w:rPr>
          <w:color w:val="222222"/>
        </w:rPr>
        <w:t xml:space="preserve">le donne registrano </w:t>
      </w:r>
      <w:r w:rsidRPr="00313937">
        <w:rPr>
          <w:color w:val="222222"/>
        </w:rPr>
        <w:t>poco meno di 12.000 euro rispetto a quasi 40.000 euro degli agricoltori uomini</w:t>
      </w:r>
      <w:r>
        <w:rPr>
          <w:color w:val="222222"/>
        </w:rPr>
        <w:t xml:space="preserve">. Inoltre solo il </w:t>
      </w:r>
      <w:r w:rsidRPr="00313937">
        <w:rPr>
          <w:color w:val="222222"/>
        </w:rPr>
        <w:t xml:space="preserve">12% </w:t>
      </w:r>
      <w:r>
        <w:rPr>
          <w:color w:val="222222"/>
        </w:rPr>
        <w:t>dei terreni è agricoli è posseduto da imprenditrici rispetto al 61% degli uomini, mentre</w:t>
      </w:r>
      <w:r w:rsidRPr="00313937">
        <w:rPr>
          <w:color w:val="222222"/>
        </w:rPr>
        <w:t xml:space="preserve"> il restante 28% di terreni è detenuto da </w:t>
      </w:r>
      <w:r>
        <w:rPr>
          <w:color w:val="222222"/>
        </w:rPr>
        <w:t>altri soggetti giuridici</w:t>
      </w:r>
      <w:r w:rsidRPr="00313937">
        <w:rPr>
          <w:color w:val="222222"/>
        </w:rPr>
        <w:t>.</w:t>
      </w:r>
      <w:r>
        <w:rPr>
          <w:color w:val="222222"/>
        </w:rPr>
        <w:t xml:space="preserve"> Nei nuovi paesi dell'UE, in </w:t>
      </w:r>
      <w:r w:rsidRPr="00313937">
        <w:rPr>
          <w:color w:val="222222"/>
        </w:rPr>
        <w:t xml:space="preserve">media le donne coltivano circa 3,4 ha </w:t>
      </w:r>
      <w:r>
        <w:rPr>
          <w:color w:val="222222"/>
        </w:rPr>
        <w:t>rispetto ai 6 ha per gli uomini, registrando una variazione minore rispetto agli altri paesi.</w:t>
      </w:r>
      <w:r w:rsidRPr="00313937">
        <w:t xml:space="preserve"> </w:t>
      </w:r>
      <w:r>
        <w:t>Altro da</w:t>
      </w:r>
      <w:r w:rsidR="000C70BD">
        <w:t xml:space="preserve">to interessante riguarda l’età: </w:t>
      </w:r>
      <w:r>
        <w:t>i</w:t>
      </w:r>
      <w:r w:rsidRPr="00313937">
        <w:rPr>
          <w:color w:val="222222"/>
        </w:rPr>
        <w:t xml:space="preserve">l settore agricolo europeo è </w:t>
      </w:r>
      <w:r>
        <w:rPr>
          <w:color w:val="222222"/>
        </w:rPr>
        <w:t>caratterizzato da una popolazione più anziana: i dati indicano</w:t>
      </w:r>
      <w:r w:rsidRPr="00313937">
        <w:rPr>
          <w:color w:val="222222"/>
        </w:rPr>
        <w:t xml:space="preserve"> </w:t>
      </w:r>
      <w:r w:rsidRPr="00FB4083">
        <w:rPr>
          <w:b/>
          <w:color w:val="1F4E79" w:themeColor="accent1" w:themeShade="80"/>
        </w:rPr>
        <w:t xml:space="preserve">che solo il 4,9% degli </w:t>
      </w:r>
      <w:r w:rsidRPr="00FB4083">
        <w:rPr>
          <w:b/>
          <w:color w:val="1F4E79" w:themeColor="accent1" w:themeShade="80"/>
        </w:rPr>
        <w:lastRenderedPageBreak/>
        <w:t>agricoltori sotto i 35 anni sono donne</w:t>
      </w:r>
      <w:r w:rsidRPr="00313937">
        <w:rPr>
          <w:color w:val="222222"/>
        </w:rPr>
        <w:t>, contro il 6,4% per gli uomini</w:t>
      </w:r>
      <w:r>
        <w:rPr>
          <w:color w:val="222222"/>
        </w:rPr>
        <w:t xml:space="preserve">. Al contrario, </w:t>
      </w:r>
      <w:r w:rsidRPr="00000FF4">
        <w:rPr>
          <w:b/>
          <w:color w:val="1F4E79" w:themeColor="accent1" w:themeShade="80"/>
        </w:rPr>
        <w:t>la maggioranza degli agricoltori con più di 65 anni sono donne par</w:t>
      </w:r>
      <w:r>
        <w:rPr>
          <w:b/>
          <w:color w:val="1F4E79" w:themeColor="accent1" w:themeShade="80"/>
        </w:rPr>
        <w:t>i</w:t>
      </w:r>
      <w:r w:rsidRPr="00000FF4">
        <w:rPr>
          <w:b/>
          <w:color w:val="1F4E79" w:themeColor="accent1" w:themeShade="80"/>
        </w:rPr>
        <w:t xml:space="preserve"> al 40%</w:t>
      </w:r>
      <w:r w:rsidRPr="00313937">
        <w:rPr>
          <w:color w:val="222222"/>
        </w:rPr>
        <w:t xml:space="preserve"> rispetto al 27,6% per gli uomini.</w:t>
      </w:r>
      <w:r>
        <w:rPr>
          <w:color w:val="222222"/>
        </w:rPr>
        <w:t xml:space="preserve"> </w:t>
      </w:r>
    </w:p>
    <w:p w14:paraId="37FFA7A4" w14:textId="77777777" w:rsidR="00923D5B" w:rsidRDefault="00923D5B" w:rsidP="00570BC7">
      <w:pPr>
        <w:suppressAutoHyphens/>
        <w:rPr>
          <w:color w:val="222222"/>
        </w:rPr>
      </w:pPr>
    </w:p>
    <w:p w14:paraId="33B8915E" w14:textId="1F6E48D8" w:rsidR="000C70BD" w:rsidRPr="000C70BD" w:rsidRDefault="00923D5B" w:rsidP="000C70BD">
      <w:pPr>
        <w:suppressAutoHyphens/>
        <w:rPr>
          <w:color w:val="222222"/>
        </w:rPr>
      </w:pPr>
      <w:r w:rsidRPr="00923D5B">
        <w:rPr>
          <w:rFonts w:eastAsia="SimSun" w:cs="Arial"/>
          <w:b/>
          <w:bCs/>
          <w:noProof/>
          <w:color w:val="7F7F7F" w:themeColor="text1" w:themeTint="80"/>
          <w:sz w:val="20"/>
          <w:szCs w:val="20"/>
          <w:lang w:eastAsia="it-IT"/>
        </w:rPr>
        <w:drawing>
          <wp:anchor distT="0" distB="0" distL="114300" distR="114300" simplePos="0" relativeHeight="251705344" behindDoc="0" locked="0" layoutInCell="1" allowOverlap="1" wp14:anchorId="4B23553A" wp14:editId="703C397B">
            <wp:simplePos x="0" y="0"/>
            <wp:positionH relativeFrom="column">
              <wp:posOffset>916132</wp:posOffset>
            </wp:positionH>
            <wp:positionV relativeFrom="paragraph">
              <wp:posOffset>401122</wp:posOffset>
            </wp:positionV>
            <wp:extent cx="4171950" cy="1781810"/>
            <wp:effectExtent l="0" t="0" r="0" b="88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71950" cy="1781810"/>
                    </a:xfrm>
                    <a:prstGeom prst="rect">
                      <a:avLst/>
                    </a:prstGeom>
                  </pic:spPr>
                </pic:pic>
              </a:graphicData>
            </a:graphic>
            <wp14:sizeRelH relativeFrom="margin">
              <wp14:pctWidth>0</wp14:pctWidth>
            </wp14:sizeRelH>
            <wp14:sizeRelV relativeFrom="margin">
              <wp14:pctHeight>0</wp14:pctHeight>
            </wp14:sizeRelV>
          </wp:anchor>
        </w:drawing>
      </w:r>
      <w:r>
        <w:rPr>
          <w:rFonts w:eastAsia="SimSun" w:cs="Arial"/>
          <w:b/>
          <w:bCs/>
          <w:color w:val="7F7F7F" w:themeColor="text1" w:themeTint="80"/>
          <w:sz w:val="20"/>
          <w:szCs w:val="20"/>
        </w:rPr>
        <w:t xml:space="preserve">Figura 5 - </w:t>
      </w:r>
      <w:r w:rsidR="000C70BD" w:rsidRPr="00923D5B">
        <w:rPr>
          <w:rFonts w:eastAsia="SimSun" w:cs="Arial"/>
          <w:b/>
          <w:bCs/>
          <w:color w:val="7F7F7F" w:themeColor="text1" w:themeTint="80"/>
          <w:sz w:val="20"/>
          <w:szCs w:val="20"/>
        </w:rPr>
        <w:t xml:space="preserve"> Presenza di</w:t>
      </w:r>
      <w:r>
        <w:rPr>
          <w:rFonts w:eastAsia="SimSun" w:cs="Arial"/>
          <w:b/>
          <w:bCs/>
          <w:color w:val="7F7F7F" w:themeColor="text1" w:themeTint="80"/>
          <w:sz w:val="20"/>
          <w:szCs w:val="20"/>
        </w:rPr>
        <w:t xml:space="preserve"> donne lavoratrici non titolari</w:t>
      </w:r>
      <w:r w:rsidR="000C70BD" w:rsidRPr="00923D5B">
        <w:rPr>
          <w:rFonts w:eastAsia="SimSun" w:cs="Arial"/>
          <w:b/>
          <w:bCs/>
          <w:color w:val="7F7F7F" w:themeColor="text1" w:themeTint="80"/>
          <w:sz w:val="20"/>
          <w:szCs w:val="20"/>
        </w:rPr>
        <w:t xml:space="preserve"> nell'impresa agricola familiare in Europa</w:t>
      </w:r>
      <w:r w:rsidR="000C70BD" w:rsidRPr="000C70BD">
        <w:rPr>
          <w:b/>
          <w:bCs/>
          <w:i/>
          <w:iCs/>
          <w:color w:val="222222"/>
        </w:rPr>
        <w:t>.</w:t>
      </w:r>
    </w:p>
    <w:p w14:paraId="75166314" w14:textId="7095A88E" w:rsidR="000C70BD" w:rsidRDefault="000C70BD" w:rsidP="00570BC7">
      <w:pPr>
        <w:suppressAutoHyphens/>
        <w:rPr>
          <w:color w:val="222222"/>
        </w:rPr>
      </w:pPr>
    </w:p>
    <w:p w14:paraId="69F4CB73" w14:textId="3CD522FB" w:rsidR="00570BC7" w:rsidRDefault="00570BC7" w:rsidP="00570BC7">
      <w:pPr>
        <w:pStyle w:val="Corpodeltesto"/>
        <w:spacing w:after="390"/>
        <w:rPr>
          <w:i/>
          <w:iCs/>
          <w:color w:val="000000"/>
          <w:sz w:val="20"/>
          <w:szCs w:val="20"/>
          <w:lang w:val="it-IT"/>
        </w:rPr>
      </w:pPr>
      <w:r w:rsidRPr="0069301C">
        <w:rPr>
          <w:color w:val="222222"/>
          <w:lang w:val="it-IT"/>
        </w:rPr>
        <w:t xml:space="preserve">      </w:t>
      </w:r>
      <w:r w:rsidRPr="00313937">
        <w:rPr>
          <w:i/>
          <w:iCs/>
          <w:color w:val="000000"/>
          <w:lang w:val="it-IT"/>
        </w:rPr>
        <w:t xml:space="preserve"> </w:t>
      </w:r>
      <w:r w:rsidRPr="00313937">
        <w:rPr>
          <w:i/>
          <w:iCs/>
          <w:color w:val="000000"/>
          <w:sz w:val="20"/>
          <w:szCs w:val="20"/>
          <w:lang w:val="it-IT"/>
        </w:rPr>
        <w:t>Fonte: Commissione Europea</w:t>
      </w:r>
    </w:p>
    <w:p w14:paraId="7CB8B3AC" w14:textId="475FE981" w:rsidR="00923D5B" w:rsidRPr="00923D5B" w:rsidRDefault="00923D5B" w:rsidP="00923D5B">
      <w:pPr>
        <w:suppressAutoHyphens/>
        <w:rPr>
          <w:rFonts w:eastAsia="Andale Sans UI" w:cs="Tahoma"/>
          <w:i/>
          <w:iCs/>
          <w:color w:val="000000"/>
          <w:sz w:val="20"/>
          <w:szCs w:val="20"/>
          <w:lang w:bidi="en-US"/>
        </w:rPr>
      </w:pPr>
      <w:r w:rsidRPr="00923D5B">
        <w:rPr>
          <w:rFonts w:eastAsia="SimSun" w:cs="Arial"/>
          <w:b/>
          <w:bCs/>
          <w:noProof/>
          <w:color w:val="7F7F7F" w:themeColor="text1" w:themeTint="80"/>
          <w:sz w:val="20"/>
          <w:szCs w:val="20"/>
          <w:lang w:eastAsia="it-IT"/>
        </w:rPr>
        <w:drawing>
          <wp:anchor distT="0" distB="0" distL="114300" distR="114300" simplePos="0" relativeHeight="251706368" behindDoc="0" locked="0" layoutInCell="1" allowOverlap="1" wp14:anchorId="206A2F5F" wp14:editId="59BB3EAF">
            <wp:simplePos x="0" y="0"/>
            <wp:positionH relativeFrom="column">
              <wp:posOffset>601717</wp:posOffset>
            </wp:positionH>
            <wp:positionV relativeFrom="paragraph">
              <wp:posOffset>282426</wp:posOffset>
            </wp:positionV>
            <wp:extent cx="4185920" cy="1930400"/>
            <wp:effectExtent l="0" t="0" r="508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85920" cy="1930400"/>
                    </a:xfrm>
                    <a:prstGeom prst="rect">
                      <a:avLst/>
                    </a:prstGeom>
                  </pic:spPr>
                </pic:pic>
              </a:graphicData>
            </a:graphic>
            <wp14:sizeRelH relativeFrom="margin">
              <wp14:pctWidth>0</wp14:pctWidth>
            </wp14:sizeRelH>
            <wp14:sizeRelV relativeFrom="margin">
              <wp14:pctHeight>0</wp14:pctHeight>
            </wp14:sizeRelV>
          </wp:anchor>
        </w:drawing>
      </w:r>
      <w:r>
        <w:rPr>
          <w:rFonts w:eastAsia="SimSun" w:cs="Arial"/>
          <w:b/>
          <w:bCs/>
          <w:color w:val="7F7F7F" w:themeColor="text1" w:themeTint="80"/>
          <w:sz w:val="20"/>
          <w:szCs w:val="20"/>
        </w:rPr>
        <w:t>Figura 6 -</w:t>
      </w:r>
      <w:r w:rsidRPr="00923D5B">
        <w:rPr>
          <w:rFonts w:eastAsia="SimSun" w:cs="Arial"/>
          <w:b/>
          <w:bCs/>
          <w:color w:val="7F7F7F" w:themeColor="text1" w:themeTint="80"/>
          <w:sz w:val="20"/>
          <w:szCs w:val="20"/>
        </w:rPr>
        <w:t xml:space="preserve"> Presenza di lavoratrici agricole assunte in aziende agricole.</w:t>
      </w:r>
      <w:r w:rsidRPr="00923D5B">
        <w:rPr>
          <w:rFonts w:eastAsia="Andale Sans UI" w:cs="Tahoma"/>
          <w:b/>
          <w:bCs/>
          <w:i/>
          <w:iCs/>
          <w:color w:val="000000"/>
          <w:sz w:val="20"/>
          <w:szCs w:val="20"/>
          <w:lang w:bidi="en-US"/>
        </w:rPr>
        <w:t xml:space="preserve"> </w:t>
      </w:r>
      <w:r w:rsidRPr="00923D5B">
        <w:rPr>
          <w:rFonts w:eastAsia="SimSun" w:cs="Arial"/>
          <w:b/>
          <w:bCs/>
          <w:color w:val="7F7F7F" w:themeColor="text1" w:themeTint="80"/>
          <w:sz w:val="20"/>
          <w:szCs w:val="20"/>
        </w:rPr>
        <w:t>Europa</w:t>
      </w:r>
    </w:p>
    <w:p w14:paraId="6F2DFD13" w14:textId="7EA1FD2F" w:rsidR="00570BC7" w:rsidRDefault="00570BC7" w:rsidP="00570BC7">
      <w:pPr>
        <w:pStyle w:val="Corpodeltesto"/>
        <w:spacing w:after="390"/>
        <w:rPr>
          <w:i/>
          <w:iCs/>
          <w:color w:val="222222"/>
          <w:sz w:val="20"/>
          <w:szCs w:val="20"/>
          <w:lang w:val="it-IT"/>
        </w:rPr>
      </w:pPr>
      <w:r>
        <w:rPr>
          <w:i/>
          <w:iCs/>
          <w:color w:val="222222"/>
          <w:sz w:val="20"/>
          <w:szCs w:val="20"/>
          <w:lang w:val="it-IT"/>
        </w:rPr>
        <w:t xml:space="preserve">         </w:t>
      </w:r>
      <w:r w:rsidRPr="00313937">
        <w:rPr>
          <w:i/>
          <w:iCs/>
          <w:color w:val="222222"/>
          <w:sz w:val="20"/>
          <w:szCs w:val="20"/>
          <w:lang w:val="it-IT"/>
        </w:rPr>
        <w:t>Fonte: Commissione Europea.</w:t>
      </w:r>
      <w:r w:rsidR="000C70BD" w:rsidRPr="000C70BD">
        <w:rPr>
          <w:noProof/>
          <w:color w:val="222222"/>
          <w:sz w:val="20"/>
          <w:lang w:val="it-IT" w:eastAsia="it-IT" w:bidi="ar-SA"/>
        </w:rPr>
        <w:t xml:space="preserve"> </w:t>
      </w:r>
    </w:p>
    <w:p w14:paraId="5252BD3C" w14:textId="20FE6A80" w:rsidR="00570BC7" w:rsidRDefault="00570BC7" w:rsidP="00570BC7">
      <w:pPr>
        <w:spacing w:before="0" w:after="160" w:line="259" w:lineRule="auto"/>
        <w:jc w:val="left"/>
        <w:rPr>
          <w:rFonts w:eastAsia="Andale Sans UI" w:cs="Tahoma"/>
          <w:i/>
          <w:iCs/>
          <w:color w:val="222222"/>
          <w:sz w:val="20"/>
          <w:szCs w:val="20"/>
          <w:lang w:bidi="en-US"/>
        </w:rPr>
      </w:pPr>
      <w:r>
        <w:rPr>
          <w:i/>
          <w:iCs/>
          <w:color w:val="222222"/>
          <w:sz w:val="20"/>
          <w:szCs w:val="20"/>
        </w:rPr>
        <w:br w:type="page"/>
      </w:r>
    </w:p>
    <w:p w14:paraId="4B328009" w14:textId="77777777" w:rsidR="00570BC7" w:rsidRPr="00287201" w:rsidRDefault="00570BC7" w:rsidP="00570BC7">
      <w:pPr>
        <w:pStyle w:val="Titolo2"/>
      </w:pPr>
      <w:bookmarkStart w:id="7" w:name="_Toc534027310"/>
      <w:r>
        <w:lastRenderedPageBreak/>
        <w:t>2.3</w:t>
      </w:r>
      <w:r>
        <w:tab/>
      </w:r>
      <w:r w:rsidRPr="008118DE">
        <w:t>La PAC e l'imprenditoria femminile</w:t>
      </w:r>
      <w:bookmarkEnd w:id="7"/>
    </w:p>
    <w:p w14:paraId="6B66BFEB" w14:textId="2B95EB13" w:rsidR="00570BC7" w:rsidRPr="00CB0DA1" w:rsidRDefault="00570BC7" w:rsidP="00923D5B">
      <w:pPr>
        <w:spacing w:before="0" w:after="160"/>
        <w:rPr>
          <w:rFonts w:eastAsia="Calibri" w:cs="Times New Roman"/>
          <w:lang w:bidi="en-US"/>
        </w:rPr>
      </w:pPr>
      <w:r>
        <w:rPr>
          <w:rFonts w:eastAsia="Calibri" w:cs="Times New Roman"/>
          <w:lang w:bidi="en-US"/>
        </w:rPr>
        <w:t xml:space="preserve">La Politica Agricola Comune prevede due pilastri: il </w:t>
      </w:r>
      <w:r w:rsidRPr="00CB0DA1">
        <w:rPr>
          <w:rFonts w:eastAsia="Calibri" w:cs="Times New Roman"/>
          <w:b/>
          <w:lang w:bidi="en-US"/>
        </w:rPr>
        <w:t>1° Pilastro</w:t>
      </w:r>
      <w:r>
        <w:rPr>
          <w:rFonts w:eastAsia="Calibri" w:cs="Times New Roman"/>
          <w:lang w:bidi="en-US"/>
        </w:rPr>
        <w:t xml:space="preserve"> dedicato ai re</w:t>
      </w:r>
      <w:r w:rsidR="00923D5B">
        <w:rPr>
          <w:rFonts w:eastAsia="Calibri" w:cs="Times New Roman"/>
          <w:lang w:bidi="en-US"/>
        </w:rPr>
        <w:t xml:space="preserve">gimi di sostegno generali e il </w:t>
      </w:r>
      <w:r w:rsidRPr="00CB0DA1">
        <w:rPr>
          <w:rFonts w:eastAsia="Calibri" w:cs="Times New Roman"/>
          <w:b/>
          <w:lang w:bidi="en-US"/>
        </w:rPr>
        <w:t>2° Pilastro</w:t>
      </w:r>
      <w:r w:rsidRPr="00CB0DA1">
        <w:rPr>
          <w:rFonts w:eastAsia="Calibri" w:cs="Times New Roman"/>
          <w:lang w:bidi="en-US"/>
        </w:rPr>
        <w:t xml:space="preserve">: </w:t>
      </w:r>
      <w:r w:rsidRPr="00CB0DA1">
        <w:rPr>
          <w:rFonts w:eastAsia="Calibri" w:cs="Times New Roman"/>
          <w:i/>
          <w:lang w:bidi="en-US"/>
        </w:rPr>
        <w:t xml:space="preserve">mainstream </w:t>
      </w:r>
      <w:r w:rsidRPr="00CB0DA1">
        <w:rPr>
          <w:rFonts w:eastAsia="Calibri" w:cs="Times New Roman"/>
          <w:lang w:bidi="en-US"/>
        </w:rPr>
        <w:t>general</w:t>
      </w:r>
      <w:r>
        <w:rPr>
          <w:rFonts w:eastAsia="Calibri" w:cs="Times New Roman"/>
          <w:lang w:bidi="en-US"/>
        </w:rPr>
        <w:t xml:space="preserve">e definito nell’ambito del QSC da cui possono derivare </w:t>
      </w:r>
      <w:r w:rsidRPr="00CB0DA1">
        <w:rPr>
          <w:rFonts w:eastAsia="Calibri" w:cs="Times New Roman"/>
          <w:lang w:bidi="en-US"/>
        </w:rPr>
        <w:t xml:space="preserve">misure calibrabili sulle esigenze </w:t>
      </w:r>
      <w:r>
        <w:rPr>
          <w:rFonts w:eastAsia="Calibri" w:cs="Times New Roman"/>
          <w:lang w:bidi="en-US"/>
        </w:rPr>
        <w:t xml:space="preserve">specifiche </w:t>
      </w:r>
      <w:r w:rsidRPr="00CB0DA1">
        <w:rPr>
          <w:rFonts w:eastAsia="Calibri" w:cs="Times New Roman"/>
          <w:lang w:bidi="en-US"/>
        </w:rPr>
        <w:t xml:space="preserve">delle donne </w:t>
      </w:r>
      <w:r>
        <w:rPr>
          <w:rFonts w:eastAsia="Calibri" w:cs="Times New Roman"/>
          <w:i/>
          <w:iCs/>
          <w:color w:val="000000"/>
          <w:lang w:bidi="en-US"/>
        </w:rPr>
        <w:t>all’interno dei Programmi di sviluppo rurale.</w:t>
      </w:r>
    </w:p>
    <w:p w14:paraId="5FDD94BA" w14:textId="2C3E02F8" w:rsidR="00570BC7" w:rsidRPr="00CB0DA1" w:rsidRDefault="00570BC7" w:rsidP="00570BC7">
      <w:pPr>
        <w:spacing w:before="0" w:after="160"/>
        <w:rPr>
          <w:rFonts w:eastAsia="Calibri" w:cs="Times New Roman"/>
          <w:lang w:bidi="en-US"/>
        </w:rPr>
      </w:pPr>
      <w:r w:rsidRPr="00CB0DA1">
        <w:rPr>
          <w:rFonts w:eastAsia="Calibri" w:cs="Times New Roman"/>
          <w:color w:val="000066"/>
          <w:lang w:bidi="en-US"/>
        </w:rPr>
        <w:t xml:space="preserve">Il </w:t>
      </w:r>
      <w:r w:rsidRPr="00CB0DA1">
        <w:rPr>
          <w:rFonts w:eastAsia="Calibri" w:cs="Times New Roman"/>
          <w:b/>
          <w:color w:val="000066"/>
          <w:lang w:bidi="en-US"/>
        </w:rPr>
        <w:t>Secondo Pilastro</w:t>
      </w:r>
      <w:r w:rsidRPr="00CB0DA1">
        <w:rPr>
          <w:rFonts w:eastAsia="Calibri" w:cs="Times New Roman"/>
          <w:b/>
          <w:color w:val="000000"/>
          <w:lang w:bidi="en-US"/>
        </w:rPr>
        <w:t xml:space="preserve"> </w:t>
      </w:r>
      <w:r w:rsidRPr="00CB0DA1">
        <w:rPr>
          <w:rFonts w:eastAsia="Calibri" w:cs="Times New Roman"/>
          <w:color w:val="000000"/>
          <w:lang w:bidi="en-US"/>
        </w:rPr>
        <w:t>ha</w:t>
      </w:r>
      <w:r w:rsidRPr="00CB0DA1">
        <w:rPr>
          <w:rFonts w:eastAsia="Calibri" w:cs="Times New Roman"/>
          <w:b/>
          <w:color w:val="116281"/>
          <w:lang w:bidi="en-US"/>
        </w:rPr>
        <w:t xml:space="preserve"> </w:t>
      </w:r>
      <w:r w:rsidRPr="00CB0DA1">
        <w:rPr>
          <w:rFonts w:eastAsia="Calibri" w:cs="Times New Roman"/>
          <w:color w:val="000000"/>
          <w:lang w:bidi="en-US"/>
        </w:rPr>
        <w:t>due regolamenti di riferimento:</w:t>
      </w:r>
      <w:r>
        <w:rPr>
          <w:rFonts w:eastAsia="Calibri" w:cs="Times New Roman"/>
          <w:lang w:bidi="en-US"/>
        </w:rPr>
        <w:t xml:space="preserve"> 1) </w:t>
      </w:r>
      <w:r w:rsidRPr="00CB0DA1">
        <w:rPr>
          <w:rFonts w:eastAsia="Calibri" w:cs="Times New Roman"/>
          <w:color w:val="000000"/>
          <w:lang w:bidi="en-US"/>
        </w:rPr>
        <w:t>Regolamento</w:t>
      </w:r>
      <w:r>
        <w:rPr>
          <w:rFonts w:eastAsia="Calibri" w:cs="Times New Roman"/>
          <w:color w:val="000000"/>
          <w:lang w:bidi="en-US"/>
        </w:rPr>
        <w:t xml:space="preserve"> n. </w:t>
      </w:r>
      <w:r w:rsidRPr="00467BFD">
        <w:rPr>
          <w:rFonts w:eastAsia="Calibri" w:cs="Times New Roman"/>
          <w:color w:val="000000"/>
          <w:lang w:bidi="en-US"/>
        </w:rPr>
        <w:t>1303/2013</w:t>
      </w:r>
      <w:r w:rsidRPr="00CB0DA1">
        <w:rPr>
          <w:rFonts w:eastAsia="Calibri" w:cs="Times New Roman"/>
          <w:color w:val="000000"/>
          <w:lang w:bidi="en-US"/>
        </w:rPr>
        <w:t xml:space="preserve"> recante </w:t>
      </w:r>
      <w:r w:rsidRPr="00CB0DA1">
        <w:rPr>
          <w:rFonts w:eastAsia="Calibri" w:cs="Times New Roman"/>
          <w:b/>
          <w:color w:val="000000"/>
          <w:lang w:bidi="en-US"/>
        </w:rPr>
        <w:t xml:space="preserve">disposizioni comuni sui fondi strutturali e d’investimento europei </w:t>
      </w:r>
      <w:r w:rsidRPr="00CB0DA1">
        <w:rPr>
          <w:rFonts w:eastAsia="Calibri" w:cs="Times New Roman"/>
          <w:color w:val="000000"/>
          <w:lang w:bidi="en-US"/>
        </w:rPr>
        <w:t>(fondi SIE) – il cosiddetto “regolamento ombrello”</w:t>
      </w:r>
      <w:r>
        <w:rPr>
          <w:rFonts w:eastAsia="Calibri" w:cs="Times New Roman"/>
          <w:lang w:bidi="en-US"/>
        </w:rPr>
        <w:t xml:space="preserve">; 2) il </w:t>
      </w:r>
      <w:r w:rsidRPr="00CB0DA1">
        <w:rPr>
          <w:rFonts w:eastAsia="Calibri" w:cs="Times New Roman"/>
          <w:color w:val="000000"/>
          <w:lang w:bidi="en-US"/>
        </w:rPr>
        <w:t>Regolamento</w:t>
      </w:r>
      <w:r>
        <w:rPr>
          <w:rFonts w:eastAsia="Calibri" w:cs="Times New Roman"/>
          <w:color w:val="000000"/>
          <w:lang w:bidi="en-US"/>
        </w:rPr>
        <w:t xml:space="preserve"> </w:t>
      </w:r>
      <w:r w:rsidRPr="00467BFD">
        <w:rPr>
          <w:rFonts w:eastAsia="Calibri" w:cs="Times New Roman"/>
          <w:color w:val="000000"/>
          <w:lang w:bidi="en-US"/>
        </w:rPr>
        <w:t>n. 1305/2013</w:t>
      </w:r>
      <w:r w:rsidRPr="00CB0DA1">
        <w:rPr>
          <w:rFonts w:eastAsia="Calibri" w:cs="Times New Roman"/>
          <w:color w:val="000000"/>
          <w:lang w:bidi="en-US"/>
        </w:rPr>
        <w:t xml:space="preserve"> sul </w:t>
      </w:r>
      <w:r w:rsidRPr="00CB0DA1">
        <w:rPr>
          <w:rFonts w:eastAsia="Calibri" w:cs="Times New Roman"/>
          <w:b/>
          <w:color w:val="000000"/>
          <w:lang w:bidi="en-US"/>
        </w:rPr>
        <w:t>sostegno allo sviluppo rurale</w:t>
      </w:r>
      <w:r>
        <w:rPr>
          <w:rFonts w:eastAsia="Calibri" w:cs="Times New Roman"/>
          <w:b/>
          <w:color w:val="000000"/>
          <w:lang w:bidi="en-US"/>
        </w:rPr>
        <w:t>.</w:t>
      </w:r>
    </w:p>
    <w:p w14:paraId="529F953C" w14:textId="77777777" w:rsidR="00570BC7" w:rsidRPr="00467BFD" w:rsidRDefault="00570BC7" w:rsidP="00570BC7">
      <w:pPr>
        <w:spacing w:before="0" w:after="160"/>
        <w:rPr>
          <w:rFonts w:eastAsia="Calibri" w:cs="Times New Roman"/>
          <w:color w:val="000000"/>
          <w:lang w:bidi="en-US"/>
        </w:rPr>
      </w:pPr>
      <w:r>
        <w:rPr>
          <w:rFonts w:eastAsia="Calibri" w:cs="Times New Roman"/>
          <w:color w:val="000000"/>
          <w:lang w:bidi="en-US"/>
        </w:rPr>
        <w:t>D</w:t>
      </w:r>
      <w:r w:rsidRPr="00CB0DA1">
        <w:rPr>
          <w:rFonts w:eastAsia="Calibri" w:cs="Times New Roman"/>
          <w:color w:val="000000"/>
          <w:lang w:bidi="en-US"/>
        </w:rPr>
        <w:t>a parte del Fondo europeo agricolo per lo sviluppo rurale e sulla base di questi regolamenti si articolano le possibilità di promuovere la parità donne‐uomini all’interno dello sviluppo rurale (anche non esclusivamente agricolo)</w:t>
      </w:r>
      <w:r>
        <w:rPr>
          <w:rFonts w:eastAsia="Calibri" w:cs="Times New Roman"/>
          <w:color w:val="000000"/>
          <w:lang w:bidi="en-US"/>
        </w:rPr>
        <w:t xml:space="preserve">. </w:t>
      </w:r>
      <w:r>
        <w:rPr>
          <w:rFonts w:eastAsia="Calibri" w:cs="Times New Roman"/>
          <w:bCs/>
          <w:iCs/>
          <w:color w:val="000000" w:themeColor="text1"/>
          <w:lang w:bidi="en-US"/>
        </w:rPr>
        <w:t>All’interno del “</w:t>
      </w:r>
      <w:r w:rsidRPr="00467BFD">
        <w:rPr>
          <w:rFonts w:eastAsia="Calibri" w:cs="Times New Roman"/>
          <w:bCs/>
          <w:iCs/>
          <w:color w:val="000000" w:themeColor="text1"/>
          <w:lang w:bidi="en-US"/>
        </w:rPr>
        <w:t>regolamento ombrello</w:t>
      </w:r>
      <w:r>
        <w:rPr>
          <w:rFonts w:eastAsia="Calibri" w:cs="Times New Roman"/>
          <w:bCs/>
          <w:iCs/>
          <w:color w:val="000000" w:themeColor="text1"/>
          <w:lang w:bidi="en-US"/>
        </w:rPr>
        <w:t>”</w:t>
      </w:r>
      <w:r w:rsidRPr="00467BFD">
        <w:rPr>
          <w:rFonts w:eastAsia="Calibri" w:cs="Times New Roman"/>
          <w:bCs/>
          <w:iCs/>
          <w:color w:val="000000" w:themeColor="text1"/>
          <w:lang w:bidi="en-US"/>
        </w:rPr>
        <w:t>, sono indicati i principi che riguardano tutti e cinque i fondi SIE:</w:t>
      </w:r>
    </w:p>
    <w:p w14:paraId="4F2D0DB1" w14:textId="3A4F3410" w:rsidR="00570BC7" w:rsidRPr="00467BFD" w:rsidRDefault="00570BC7" w:rsidP="00923D5B">
      <w:pPr>
        <w:pStyle w:val="Paragrafoelenco"/>
        <w:numPr>
          <w:ilvl w:val="0"/>
          <w:numId w:val="22"/>
        </w:numPr>
        <w:spacing w:before="0" w:after="160" w:line="240" w:lineRule="auto"/>
        <w:rPr>
          <w:rFonts w:eastAsia="Calibri" w:cs="Times New Roman"/>
          <w:b/>
          <w:bCs/>
          <w:i/>
          <w:iCs/>
          <w:color w:val="000066"/>
          <w:lang w:bidi="en-US"/>
        </w:rPr>
      </w:pPr>
      <w:r w:rsidRPr="00467BFD">
        <w:rPr>
          <w:rFonts w:eastAsia="Calibri" w:cs="Times New Roman"/>
          <w:lang w:bidi="en-US"/>
        </w:rPr>
        <w:t>Uguaglianza di genere da promuovere nella preparazione e implementazione dei programmi (art. 7)</w:t>
      </w:r>
      <w:r w:rsidR="00923D5B">
        <w:rPr>
          <w:rFonts w:eastAsia="Calibri" w:cs="Times New Roman"/>
          <w:lang w:bidi="en-US"/>
        </w:rPr>
        <w:t>;</w:t>
      </w:r>
    </w:p>
    <w:p w14:paraId="0E73128D" w14:textId="0B8CB398" w:rsidR="00570BC7" w:rsidRPr="00467BFD" w:rsidRDefault="00570BC7" w:rsidP="00923D5B">
      <w:pPr>
        <w:pStyle w:val="Paragrafoelenco"/>
        <w:numPr>
          <w:ilvl w:val="0"/>
          <w:numId w:val="22"/>
        </w:numPr>
        <w:spacing w:before="0" w:after="160" w:line="240" w:lineRule="auto"/>
        <w:rPr>
          <w:rFonts w:eastAsia="Calibri" w:cs="Times New Roman"/>
          <w:b/>
          <w:bCs/>
          <w:i/>
          <w:iCs/>
          <w:color w:val="000066"/>
          <w:lang w:bidi="en-US"/>
        </w:rPr>
      </w:pPr>
      <w:r w:rsidRPr="00467BFD">
        <w:rPr>
          <w:rFonts w:eastAsia="Calibri" w:cs="Times New Roman"/>
          <w:lang w:bidi="en-US"/>
        </w:rPr>
        <w:t>Coinvolgimento di gruppi che promuovono la parità di genere e la non discriminazione nella</w:t>
      </w:r>
      <w:r w:rsidR="00923D5B">
        <w:rPr>
          <w:rFonts w:eastAsia="Calibri" w:cs="Times New Roman"/>
          <w:lang w:bidi="en-US"/>
        </w:rPr>
        <w:t xml:space="preserve"> costituzione dei partenariati;</w:t>
      </w:r>
    </w:p>
    <w:p w14:paraId="6F9B5721" w14:textId="23386657" w:rsidR="00570BC7" w:rsidRPr="00467BFD" w:rsidRDefault="00570BC7" w:rsidP="00923D5B">
      <w:pPr>
        <w:pStyle w:val="Paragrafoelenco"/>
        <w:numPr>
          <w:ilvl w:val="0"/>
          <w:numId w:val="22"/>
        </w:numPr>
        <w:spacing w:before="0" w:after="160" w:line="240" w:lineRule="auto"/>
        <w:rPr>
          <w:rFonts w:eastAsia="Calibri" w:cs="Times New Roman"/>
          <w:b/>
          <w:bCs/>
          <w:i/>
          <w:iCs/>
          <w:color w:val="000066"/>
          <w:lang w:bidi="en-US"/>
        </w:rPr>
      </w:pPr>
      <w:r w:rsidRPr="00467BFD">
        <w:rPr>
          <w:rFonts w:eastAsia="Calibri" w:cs="Times New Roman"/>
          <w:lang w:bidi="en-US"/>
        </w:rPr>
        <w:t xml:space="preserve">Uguaglianza di genere come condizionalità </w:t>
      </w:r>
      <w:r w:rsidRPr="00467BFD">
        <w:rPr>
          <w:rFonts w:eastAsia="Calibri" w:cs="Times New Roman"/>
          <w:i/>
          <w:lang w:bidi="en-US"/>
        </w:rPr>
        <w:t xml:space="preserve">ex ante </w:t>
      </w:r>
      <w:r w:rsidRPr="00467BFD">
        <w:rPr>
          <w:rFonts w:eastAsia="Calibri" w:cs="Times New Roman"/>
          <w:lang w:bidi="en-US"/>
        </w:rPr>
        <w:t>generale (annex V)</w:t>
      </w:r>
      <w:r w:rsidR="00923D5B">
        <w:rPr>
          <w:rFonts w:eastAsia="Calibri" w:cs="Times New Roman"/>
          <w:lang w:bidi="en-US"/>
        </w:rPr>
        <w:t>;</w:t>
      </w:r>
    </w:p>
    <w:p w14:paraId="356A77C3" w14:textId="77777777" w:rsidR="00570BC7" w:rsidRPr="00467BFD" w:rsidRDefault="00570BC7" w:rsidP="00923D5B">
      <w:pPr>
        <w:pStyle w:val="Paragrafoelenco"/>
        <w:numPr>
          <w:ilvl w:val="0"/>
          <w:numId w:val="22"/>
        </w:numPr>
        <w:spacing w:before="0" w:after="160" w:line="240" w:lineRule="auto"/>
        <w:rPr>
          <w:rFonts w:eastAsia="Calibri" w:cs="Times New Roman"/>
          <w:b/>
          <w:bCs/>
          <w:i/>
          <w:iCs/>
          <w:color w:val="000066"/>
          <w:lang w:bidi="en-US"/>
        </w:rPr>
      </w:pPr>
      <w:r w:rsidRPr="00467BFD">
        <w:rPr>
          <w:rFonts w:eastAsia="Calibri" w:cs="Times New Roman"/>
          <w:lang w:bidi="en-US"/>
        </w:rPr>
        <w:t>Azioni intese a promuovere la parità tra uomini e donne, e le pari opportunità esaminate dal comitato di sorveglianza (art. 100.1).</w:t>
      </w:r>
    </w:p>
    <w:p w14:paraId="50814789" w14:textId="77777777" w:rsidR="00570BC7" w:rsidRDefault="00570BC7" w:rsidP="00570BC7">
      <w:pPr>
        <w:spacing w:before="0" w:after="160"/>
        <w:rPr>
          <w:rFonts w:eastAsia="Calibri" w:cs="Times New Roman"/>
          <w:bCs/>
          <w:lang w:bidi="en-US"/>
        </w:rPr>
      </w:pPr>
      <w:bookmarkStart w:id="8" w:name="page-title1"/>
      <w:bookmarkEnd w:id="8"/>
      <w:r>
        <w:rPr>
          <w:rFonts w:eastAsia="Calibri" w:cs="Times New Roman"/>
          <w:lang w:bidi="en-US"/>
        </w:rPr>
        <w:t xml:space="preserve">In Italia, l’armonizzazione della normativa italiana con quella comunitaria sul tema delle pari opportunità nel mondo dell’imprenditoria è stata posta in essere tramite il </w:t>
      </w:r>
      <w:r w:rsidRPr="004425C3">
        <w:rPr>
          <w:rFonts w:eastAsia="Calibri" w:cs="Times New Roman"/>
          <w:bCs/>
          <w:lang w:bidi="en-US"/>
        </w:rPr>
        <w:t xml:space="preserve">decreto del Ministro dello sviluppo economico del 27 dicembre 2013 </w:t>
      </w:r>
      <w:r>
        <w:rPr>
          <w:rFonts w:eastAsia="Calibri" w:cs="Times New Roman"/>
          <w:bCs/>
          <w:color w:val="000000"/>
          <w:lang w:bidi="en-US"/>
        </w:rPr>
        <w:t xml:space="preserve">con il quale </w:t>
      </w:r>
      <w:r w:rsidRPr="00CB0DA1">
        <w:rPr>
          <w:rFonts w:eastAsia="Calibri" w:cs="Times New Roman"/>
          <w:bCs/>
          <w:color w:val="000000"/>
          <w:lang w:bidi="en-US"/>
        </w:rPr>
        <w:t xml:space="preserve">sono state introdotte modalità semplificate di accesso al </w:t>
      </w:r>
      <w:r w:rsidRPr="004425C3">
        <w:rPr>
          <w:rFonts w:eastAsia="Calibri" w:cs="Times New Roman"/>
          <w:b/>
          <w:bCs/>
          <w:color w:val="1F4E79" w:themeColor="accent1" w:themeShade="80"/>
          <w:lang w:bidi="en-US"/>
        </w:rPr>
        <w:t>Fondo di Garanzia per le imprenditrici e le società a prevalente partecipazione femminile</w:t>
      </w:r>
      <w:r w:rsidRPr="00CB0DA1">
        <w:rPr>
          <w:rFonts w:eastAsia="Calibri" w:cs="Times New Roman"/>
          <w:bCs/>
          <w:color w:val="000000"/>
          <w:lang w:bidi="en-US"/>
        </w:rPr>
        <w:t>. Le imprese che accedono a questo strumento hanno la possibilità di presentarsi a banche o a confidi con la garanzia dello Stato. Lo Stato, infatti, si assume una parte del rischio del prestito che l'intermediario concede, facilitando così il finanziamento delle PMI femminili. Le risorse della Sezione Speciale, pari a 20 milioni di euro, sono impiegate per interventi di garanzia diretta, controgaranzia e cogaranzia del Fondo mediante compartecipazione alla copertura del rischio. Il 50% della quota è riservata alle nuove imprese o "start up".</w:t>
      </w:r>
      <w:r w:rsidRPr="00CB0DA1">
        <w:rPr>
          <w:rFonts w:eastAsia="Calibri" w:cs="Times New Roman"/>
          <w:bCs/>
          <w:lang w:bidi="en-US"/>
        </w:rPr>
        <w:t xml:space="preserve"> </w:t>
      </w:r>
      <w:r w:rsidRPr="00CB0DA1">
        <w:rPr>
          <w:rFonts w:eastAsia="Calibri" w:cs="Times New Roman"/>
          <w:bCs/>
          <w:vertAlign w:val="superscript"/>
          <w:lang w:val="en-US" w:bidi="en-US"/>
        </w:rPr>
        <w:footnoteReference w:id="8"/>
      </w:r>
    </w:p>
    <w:p w14:paraId="0AA2287E" w14:textId="77777777" w:rsidR="00570BC7" w:rsidRPr="00E92A4F" w:rsidRDefault="00570BC7" w:rsidP="00570BC7">
      <w:pPr>
        <w:spacing w:before="0" w:after="160"/>
        <w:rPr>
          <w:rFonts w:eastAsia="Calibri" w:cs="Times New Roman"/>
          <w:lang w:bidi="en-US"/>
        </w:rPr>
      </w:pPr>
      <w:r w:rsidRPr="00170825">
        <w:rPr>
          <w:rFonts w:eastAsia="Calibri" w:cs="Times New Roman"/>
          <w:lang w:bidi="en-US"/>
        </w:rPr>
        <w:t>Dall’elaborazione dei dati della Banca dati Movimprese relativi alle attività produttive e alle altre attività connesse, si può osservare l’orientamento delle imprese agricole femminili verso la fornitura di servizi utili di utilità collettiva (fattorie sociali e didattiche, attività ricreative, accoglienza disabili, ecc.), la protezione del territorio e la tutela del tessuto culturale del territorio. L’analisi dei bilanci delle imprese agricole riferiti al 2010 conferisce alle imprese femminili il 70% dei ricavi derivanti dal settore della silvicoltura, il 64% di quelli derivanti dalla produzione di energia, il 59% da quelli dell’attività agricola e il 58% di quelli della ristorazione.</w:t>
      </w:r>
    </w:p>
    <w:p w14:paraId="09F81576" w14:textId="77777777" w:rsidR="00570BC7" w:rsidRPr="00F77BC2" w:rsidRDefault="00570BC7" w:rsidP="00570BC7">
      <w:pPr>
        <w:pStyle w:val="Default"/>
        <w:rPr>
          <w:rStyle w:val="Rimandonotaapidipagina"/>
          <w:b/>
          <w:sz w:val="22"/>
        </w:rPr>
      </w:pPr>
      <w:r w:rsidRPr="004425C3">
        <w:rPr>
          <w:rStyle w:val="Rimandonotaapidipagina"/>
          <w:b/>
          <w:color w:val="1F4E79" w:themeColor="accent1" w:themeShade="80"/>
          <w:sz w:val="22"/>
        </w:rPr>
        <w:t>Gli strumenti della politica di sviluppo rurale (2014/2020) a favore dell'i</w:t>
      </w:r>
      <w:r>
        <w:rPr>
          <w:rStyle w:val="Rimandonotaapidipagina"/>
          <w:b/>
          <w:color w:val="1F4E79" w:themeColor="accent1" w:themeShade="80"/>
          <w:sz w:val="22"/>
        </w:rPr>
        <w:t>mprenditoria femminile agricola</w:t>
      </w:r>
    </w:p>
    <w:p w14:paraId="0D5BFF60" w14:textId="77777777" w:rsidR="00570BC7" w:rsidRPr="00CB0DA1" w:rsidRDefault="00570BC7" w:rsidP="00570BC7">
      <w:pPr>
        <w:spacing w:before="0" w:after="160"/>
        <w:rPr>
          <w:rFonts w:eastAsia="Calibri" w:cs="Times New Roman"/>
          <w:b/>
          <w:bCs/>
          <w:color w:val="000066"/>
          <w:lang w:bidi="en-US"/>
        </w:rPr>
      </w:pPr>
      <w:r w:rsidRPr="00CB0DA1">
        <w:rPr>
          <w:rFonts w:eastAsia="Calibri" w:cs="Times New Roman"/>
          <w:bCs/>
          <w:iCs/>
          <w:color w:val="000000"/>
          <w:lang w:bidi="en-US"/>
        </w:rPr>
        <w:t xml:space="preserve">Le politiche di </w:t>
      </w:r>
      <w:hyperlink r:id="rId22">
        <w:r w:rsidRPr="00170825">
          <w:rPr>
            <w:rFonts w:eastAsia="Calibri" w:cs="Times New Roman"/>
            <w:bCs/>
            <w:color w:val="000000"/>
            <w:lang w:bidi="en-US"/>
          </w:rPr>
          <w:t>sviluppo rurale</w:t>
        </w:r>
      </w:hyperlink>
      <w:r w:rsidRPr="00CB0DA1">
        <w:rPr>
          <w:rFonts w:eastAsia="Calibri" w:cs="Times New Roman"/>
          <w:bCs/>
          <w:iCs/>
          <w:color w:val="000000"/>
          <w:bdr w:val="dotted" w:sz="2" w:space="1" w:color="008800"/>
          <w:lang w:bidi="en-US"/>
        </w:rPr>
        <w:t xml:space="preserve"> </w:t>
      </w:r>
      <w:r w:rsidRPr="00CB0DA1">
        <w:rPr>
          <w:rFonts w:eastAsia="Calibri" w:cs="Times New Roman"/>
          <w:bCs/>
          <w:iCs/>
          <w:color w:val="000000"/>
          <w:lang w:bidi="en-US"/>
        </w:rPr>
        <w:t xml:space="preserve">finanziate dall’Unione europea </w:t>
      </w:r>
      <w:r>
        <w:rPr>
          <w:rFonts w:eastAsia="Calibri" w:cs="Times New Roman"/>
          <w:bCs/>
          <w:iCs/>
          <w:color w:val="000000"/>
          <w:lang w:bidi="en-US"/>
        </w:rPr>
        <w:t>costituiscono una chance di accesso a finanziamenti pubblici utili a modernizzare strutturalmente le aziende, a diversificare l’economia dei territori rurali, a migliorare la qualità della vita e valorizzazione del paesaggio.</w:t>
      </w:r>
      <w:r w:rsidRPr="00CB0DA1">
        <w:rPr>
          <w:rFonts w:eastAsia="Calibri" w:cs="Times New Roman"/>
          <w:bCs/>
          <w:iCs/>
          <w:color w:val="000000"/>
          <w:lang w:bidi="en-US"/>
        </w:rPr>
        <w:t xml:space="preserve"> </w:t>
      </w:r>
      <w:r>
        <w:rPr>
          <w:rFonts w:eastAsia="Calibri" w:cs="Times New Roman"/>
          <w:bCs/>
          <w:iCs/>
          <w:color w:val="000000"/>
          <w:lang w:bidi="en-US"/>
        </w:rPr>
        <w:t>All’interno di tali politiche, è presente la promozione dell’</w:t>
      </w:r>
      <w:r w:rsidRPr="00CB0DA1">
        <w:rPr>
          <w:rFonts w:eastAsia="Calibri" w:cs="Times New Roman"/>
          <w:bCs/>
          <w:iCs/>
          <w:color w:val="000000"/>
          <w:lang w:bidi="en-US"/>
        </w:rPr>
        <w:t xml:space="preserve">abolizione dell’ineguaglianza e la promozione delle pari </w:t>
      </w:r>
      <w:r>
        <w:rPr>
          <w:rFonts w:eastAsia="Calibri" w:cs="Times New Roman"/>
          <w:bCs/>
          <w:iCs/>
          <w:color w:val="000000"/>
          <w:lang w:bidi="en-US"/>
        </w:rPr>
        <w:t>opportunità fra uomini e donne.</w:t>
      </w:r>
    </w:p>
    <w:p w14:paraId="1D60BF7F" w14:textId="04B4894C" w:rsidR="00570BC7" w:rsidRPr="00CB0DA1" w:rsidRDefault="00A31BDF" w:rsidP="00570BC7">
      <w:pPr>
        <w:spacing w:before="0" w:after="160"/>
        <w:rPr>
          <w:rFonts w:eastAsia="Calibri" w:cs="Times New Roman"/>
          <w:b/>
          <w:bCs/>
          <w:color w:val="000066"/>
          <w:lang w:bidi="en-US"/>
        </w:rPr>
      </w:pPr>
      <w:r>
        <w:rPr>
          <w:rFonts w:eastAsia="Calibri" w:cs="Times New Roman"/>
          <w:bCs/>
          <w:iCs/>
          <w:color w:val="000000"/>
          <w:lang w:bidi="en-US"/>
        </w:rPr>
        <w:t xml:space="preserve">Il </w:t>
      </w:r>
      <w:r w:rsidR="00570BC7" w:rsidRPr="00A31BDF">
        <w:rPr>
          <w:rStyle w:val="Rimandonotaapidipagina"/>
          <w:sz w:val="22"/>
          <w:szCs w:val="24"/>
        </w:rPr>
        <w:t>Regolamento</w:t>
      </w:r>
      <w:r w:rsidR="00923D5B" w:rsidRPr="00A31BDF">
        <w:rPr>
          <w:rStyle w:val="Rimandonotaapidipagina"/>
          <w:sz w:val="22"/>
          <w:szCs w:val="24"/>
        </w:rPr>
        <w:t xml:space="preserve"> </w:t>
      </w:r>
      <w:r w:rsidRPr="00A31BDF">
        <w:rPr>
          <w:rStyle w:val="Rimandonotaapidipagina"/>
          <w:sz w:val="22"/>
          <w:szCs w:val="24"/>
        </w:rPr>
        <w:t>FEASR</w:t>
      </w:r>
      <w:r w:rsidR="00570BC7" w:rsidRPr="00CB0DA1">
        <w:rPr>
          <w:rFonts w:eastAsia="Calibri" w:cs="Times New Roman"/>
          <w:bCs/>
          <w:iCs/>
          <w:color w:val="000000"/>
          <w:lang w:bidi="en-US"/>
        </w:rPr>
        <w:t xml:space="preserve">, </w:t>
      </w:r>
      <w:r w:rsidR="00570BC7">
        <w:rPr>
          <w:rFonts w:eastAsia="Calibri" w:cs="Times New Roman"/>
          <w:bCs/>
          <w:iCs/>
          <w:color w:val="000000"/>
          <w:lang w:bidi="en-US"/>
        </w:rPr>
        <w:t xml:space="preserve">evidenzia come i Programmi di sviluppo rurale possano </w:t>
      </w:r>
      <w:r w:rsidR="00570BC7" w:rsidRPr="00CB0DA1">
        <w:rPr>
          <w:rFonts w:eastAsia="Calibri" w:cs="Times New Roman"/>
          <w:bCs/>
          <w:iCs/>
          <w:color w:val="000000"/>
          <w:lang w:bidi="en-US"/>
        </w:rPr>
        <w:t>sostenere l’impresa f</w:t>
      </w:r>
      <w:r w:rsidR="00570BC7">
        <w:rPr>
          <w:rFonts w:eastAsia="Calibri" w:cs="Times New Roman"/>
          <w:bCs/>
          <w:iCs/>
          <w:color w:val="000000"/>
          <w:lang w:bidi="en-US"/>
        </w:rPr>
        <w:t>emminile e la sua competitività, rimuovendo g</w:t>
      </w:r>
      <w:r w:rsidR="00570BC7" w:rsidRPr="00CB0DA1">
        <w:rPr>
          <w:rFonts w:eastAsia="Calibri" w:cs="Times New Roman"/>
          <w:bCs/>
          <w:iCs/>
          <w:color w:val="000000"/>
          <w:lang w:bidi="en-US"/>
        </w:rPr>
        <w:t>li ostacoli socio culturali.</w:t>
      </w:r>
    </w:p>
    <w:p w14:paraId="239F38C4" w14:textId="623ED9BA" w:rsidR="00570BC7" w:rsidRPr="00CB0DA1" w:rsidRDefault="00570BC7" w:rsidP="00570BC7">
      <w:pPr>
        <w:spacing w:before="0" w:after="160"/>
        <w:rPr>
          <w:rFonts w:eastAsia="Calibri" w:cs="Times New Roman"/>
          <w:b/>
          <w:bCs/>
          <w:i/>
          <w:iCs/>
          <w:color w:val="000000"/>
          <w:lang w:bidi="en-US"/>
        </w:rPr>
      </w:pPr>
      <w:r w:rsidRPr="00CB0DA1">
        <w:rPr>
          <w:rFonts w:eastAsia="Calibri" w:cs="Times New Roman"/>
          <w:bCs/>
          <w:iCs/>
          <w:color w:val="000000"/>
          <w:lang w:bidi="en-US"/>
        </w:rPr>
        <w:lastRenderedPageBreak/>
        <w:t xml:space="preserve">A sostegno dell’attività d’impresa e della competitività, il </w:t>
      </w:r>
      <w:r w:rsidRPr="00A31BDF">
        <w:rPr>
          <w:rFonts w:eastAsia="Calibri" w:cs="Times New Roman"/>
          <w:bCs/>
          <w:iCs/>
          <w:color w:val="000000"/>
          <w:lang w:bidi="en-US"/>
        </w:rPr>
        <w:t>Regolamento</w:t>
      </w:r>
      <w:r w:rsidRPr="00CB0DA1">
        <w:rPr>
          <w:rFonts w:eastAsia="Calibri" w:cs="Times New Roman"/>
          <w:bCs/>
          <w:iCs/>
          <w:color w:val="000000"/>
          <w:lang w:bidi="en-US"/>
        </w:rPr>
        <w:t>, pr</w:t>
      </w:r>
      <w:r>
        <w:rPr>
          <w:rFonts w:eastAsia="Calibri" w:cs="Times New Roman"/>
          <w:bCs/>
          <w:iCs/>
          <w:color w:val="000000"/>
          <w:lang w:bidi="en-US"/>
        </w:rPr>
        <w:t>evede</w:t>
      </w:r>
      <w:r w:rsidRPr="00CB0DA1">
        <w:rPr>
          <w:rFonts w:eastAsia="Calibri" w:cs="Times New Roman"/>
          <w:bCs/>
          <w:iCs/>
          <w:color w:val="000000"/>
          <w:lang w:bidi="en-US"/>
        </w:rPr>
        <w:t xml:space="preserve"> diverse misure d’intervento </w:t>
      </w:r>
      <w:r>
        <w:rPr>
          <w:rFonts w:eastAsia="Calibri" w:cs="Times New Roman"/>
          <w:bCs/>
          <w:iCs/>
          <w:color w:val="000000"/>
          <w:lang w:bidi="en-US"/>
        </w:rPr>
        <w:t>che</w:t>
      </w:r>
      <w:r w:rsidRPr="00CB0DA1">
        <w:rPr>
          <w:rFonts w:eastAsia="Calibri" w:cs="Times New Roman"/>
          <w:bCs/>
          <w:iCs/>
          <w:color w:val="000000"/>
          <w:lang w:bidi="en-US"/>
        </w:rPr>
        <w:t xml:space="preserve"> consentono di rispondere ai generali fabbisogni espressi dalle imprenditrici agricole mentre altre rispondono a esigenze specifiche legate al settore produttivo Tra le opportunità proposte di particolare interesse è: </w:t>
      </w:r>
      <w:r w:rsidRPr="00282FDF">
        <w:rPr>
          <w:rFonts w:eastAsia="Calibri" w:cs="Times New Roman"/>
          <w:b/>
          <w:bCs/>
          <w:i/>
          <w:iCs/>
          <w:color w:val="1F4E79" w:themeColor="accent1" w:themeShade="80"/>
          <w:lang w:bidi="en-US"/>
        </w:rPr>
        <w:t>il sostegno offerto all’avvio di attività extra agricole (art. 20).</w:t>
      </w:r>
      <w:r>
        <w:rPr>
          <w:rFonts w:eastAsia="Calibri" w:cs="Times New Roman"/>
          <w:b/>
          <w:bCs/>
          <w:i/>
          <w:iCs/>
          <w:color w:val="000000"/>
          <w:lang w:bidi="en-US"/>
        </w:rPr>
        <w:t xml:space="preserve"> </w:t>
      </w:r>
      <w:r>
        <w:rPr>
          <w:rFonts w:eastAsia="Calibri" w:cs="Times New Roman"/>
          <w:bCs/>
          <w:iCs/>
          <w:color w:val="000000"/>
          <w:lang w:bidi="en-US"/>
        </w:rPr>
        <w:t>Coerentemente con</w:t>
      </w:r>
      <w:r w:rsidRPr="00CB0DA1">
        <w:rPr>
          <w:rFonts w:eastAsia="Calibri" w:cs="Times New Roman"/>
          <w:bCs/>
          <w:iCs/>
          <w:color w:val="000000"/>
          <w:lang w:bidi="en-US"/>
        </w:rPr>
        <w:t xml:space="preserve"> la tendenza verso la diversificazione delle attività produt</w:t>
      </w:r>
      <w:r>
        <w:rPr>
          <w:rFonts w:eastAsia="Calibri" w:cs="Times New Roman"/>
          <w:bCs/>
          <w:iCs/>
          <w:color w:val="000000"/>
          <w:lang w:bidi="en-US"/>
        </w:rPr>
        <w:t>tive delle imprese femminili, tale</w:t>
      </w:r>
      <w:r w:rsidRPr="00CB0DA1">
        <w:rPr>
          <w:rFonts w:eastAsia="Calibri" w:cs="Times New Roman"/>
          <w:bCs/>
          <w:iCs/>
          <w:color w:val="000000"/>
          <w:lang w:bidi="en-US"/>
        </w:rPr>
        <w:t xml:space="preserve"> sostegno </w:t>
      </w:r>
      <w:r>
        <w:rPr>
          <w:rFonts w:eastAsia="Calibri" w:cs="Times New Roman"/>
          <w:bCs/>
          <w:iCs/>
          <w:color w:val="000000"/>
          <w:lang w:bidi="en-US"/>
        </w:rPr>
        <w:t>è finalizzato</w:t>
      </w:r>
      <w:r w:rsidRPr="00CB0DA1">
        <w:rPr>
          <w:rFonts w:eastAsia="Calibri" w:cs="Times New Roman"/>
          <w:bCs/>
          <w:iCs/>
          <w:color w:val="000000"/>
          <w:lang w:bidi="en-US"/>
        </w:rPr>
        <w:t xml:space="preserve"> </w:t>
      </w:r>
      <w:r>
        <w:rPr>
          <w:rFonts w:eastAsia="Calibri" w:cs="Times New Roman"/>
          <w:bCs/>
          <w:iCs/>
          <w:color w:val="000000"/>
          <w:lang w:bidi="en-US"/>
        </w:rPr>
        <w:t xml:space="preserve">all’ottenimento di </w:t>
      </w:r>
      <w:r w:rsidRPr="00CB0DA1">
        <w:rPr>
          <w:rFonts w:eastAsia="Calibri" w:cs="Times New Roman"/>
          <w:bCs/>
          <w:iCs/>
          <w:color w:val="000000"/>
          <w:lang w:bidi="en-US"/>
        </w:rPr>
        <w:t xml:space="preserve">fonti </w:t>
      </w:r>
      <w:r>
        <w:rPr>
          <w:rFonts w:eastAsia="Calibri" w:cs="Times New Roman"/>
          <w:bCs/>
          <w:iCs/>
          <w:color w:val="000000"/>
          <w:lang w:bidi="en-US"/>
        </w:rPr>
        <w:t>secondarie</w:t>
      </w:r>
      <w:r w:rsidRPr="00CB0DA1">
        <w:rPr>
          <w:rFonts w:eastAsia="Calibri" w:cs="Times New Roman"/>
          <w:bCs/>
          <w:iCs/>
          <w:color w:val="000000"/>
          <w:lang w:bidi="en-US"/>
        </w:rPr>
        <w:t xml:space="preserve"> di reddito</w:t>
      </w:r>
      <w:r>
        <w:rPr>
          <w:rFonts w:eastAsia="Calibri" w:cs="Times New Roman"/>
          <w:bCs/>
          <w:iCs/>
          <w:color w:val="000000"/>
          <w:lang w:bidi="en-US"/>
        </w:rPr>
        <w:t xml:space="preserve"> per le imprenditrici che siano in grado di creare</w:t>
      </w:r>
      <w:r w:rsidRPr="00CB0DA1">
        <w:rPr>
          <w:rFonts w:eastAsia="Calibri" w:cs="Times New Roman"/>
          <w:bCs/>
          <w:iCs/>
          <w:color w:val="000000"/>
          <w:lang w:bidi="en-US"/>
        </w:rPr>
        <w:t xml:space="preserve"> attività </w:t>
      </w:r>
      <w:r>
        <w:rPr>
          <w:rFonts w:eastAsia="Calibri" w:cs="Times New Roman"/>
          <w:bCs/>
          <w:iCs/>
          <w:color w:val="000000"/>
          <w:lang w:bidi="en-US"/>
        </w:rPr>
        <w:t>indirizzate</w:t>
      </w:r>
      <w:r w:rsidRPr="00CB0DA1">
        <w:rPr>
          <w:rFonts w:eastAsia="Calibri" w:cs="Times New Roman"/>
          <w:bCs/>
          <w:iCs/>
          <w:color w:val="000000"/>
          <w:lang w:bidi="en-US"/>
        </w:rPr>
        <w:t xml:space="preserve"> alla fornitura di servizi</w:t>
      </w:r>
      <w:r>
        <w:rPr>
          <w:rFonts w:eastAsia="Calibri" w:cs="Times New Roman"/>
          <w:bCs/>
          <w:iCs/>
          <w:color w:val="000000"/>
          <w:lang w:bidi="en-US"/>
        </w:rPr>
        <w:t xml:space="preserve"> sia</w:t>
      </w:r>
      <w:r w:rsidRPr="00CB0DA1">
        <w:rPr>
          <w:rFonts w:eastAsia="Calibri" w:cs="Times New Roman"/>
          <w:bCs/>
          <w:iCs/>
          <w:color w:val="000000"/>
          <w:lang w:bidi="en-US"/>
        </w:rPr>
        <w:t xml:space="preserve"> alla popolazione rurale (</w:t>
      </w:r>
      <w:r>
        <w:rPr>
          <w:rFonts w:eastAsia="Calibri" w:cs="Times New Roman"/>
          <w:bCs/>
          <w:iCs/>
          <w:color w:val="000000"/>
          <w:lang w:bidi="en-US"/>
        </w:rPr>
        <w:t>e.g.</w:t>
      </w:r>
      <w:r w:rsidRPr="00CB0DA1">
        <w:rPr>
          <w:rFonts w:eastAsia="Calibri" w:cs="Times New Roman"/>
          <w:bCs/>
          <w:iCs/>
          <w:color w:val="000000"/>
          <w:lang w:bidi="en-US"/>
        </w:rPr>
        <w:t xml:space="preserve"> i servizi assistenziali, culturali, ricreativi,</w:t>
      </w:r>
      <w:r>
        <w:rPr>
          <w:rFonts w:eastAsia="Calibri" w:cs="Times New Roman"/>
          <w:bCs/>
          <w:iCs/>
          <w:color w:val="000000"/>
          <w:lang w:bidi="en-US"/>
        </w:rPr>
        <w:t xml:space="preserve"> le attività turistiche, ecc.) sia</w:t>
      </w:r>
      <w:r w:rsidRPr="00CB0DA1">
        <w:rPr>
          <w:rFonts w:eastAsia="Calibri" w:cs="Times New Roman"/>
          <w:bCs/>
          <w:iCs/>
          <w:color w:val="000000"/>
          <w:lang w:bidi="en-US"/>
        </w:rPr>
        <w:t xml:space="preserve"> alle imprese (</w:t>
      </w:r>
      <w:r>
        <w:rPr>
          <w:rFonts w:eastAsia="Calibri" w:cs="Times New Roman"/>
          <w:bCs/>
          <w:iCs/>
          <w:color w:val="000000"/>
          <w:lang w:bidi="en-US"/>
        </w:rPr>
        <w:t xml:space="preserve">e.g. </w:t>
      </w:r>
      <w:r w:rsidRPr="004B7B54">
        <w:rPr>
          <w:rFonts w:eastAsia="Calibri" w:cs="Times New Roman"/>
          <w:bCs/>
          <w:iCs/>
          <w:color w:val="000000"/>
          <w:lang w:bidi="en-US"/>
        </w:rPr>
        <w:t>la produzione di energie alternative</w:t>
      </w:r>
      <w:r w:rsidRPr="00CB0DA1">
        <w:rPr>
          <w:rFonts w:eastAsia="Calibri" w:cs="Times New Roman"/>
          <w:bCs/>
          <w:iCs/>
          <w:color w:val="000000"/>
          <w:lang w:bidi="en-US"/>
        </w:rPr>
        <w:t xml:space="preserve">, </w:t>
      </w:r>
      <w:r>
        <w:rPr>
          <w:rFonts w:eastAsia="Calibri" w:cs="Times New Roman"/>
          <w:bCs/>
          <w:iCs/>
          <w:color w:val="000000"/>
          <w:lang w:bidi="en-US"/>
        </w:rPr>
        <w:t xml:space="preserve">la trasformazione e </w:t>
      </w:r>
      <w:r w:rsidRPr="00CB0DA1">
        <w:rPr>
          <w:rFonts w:eastAsia="Calibri" w:cs="Times New Roman"/>
          <w:bCs/>
          <w:iCs/>
          <w:color w:val="000000"/>
          <w:lang w:bidi="en-US"/>
        </w:rPr>
        <w:t>la ven</w:t>
      </w:r>
      <w:r>
        <w:rPr>
          <w:rFonts w:eastAsia="Calibri" w:cs="Times New Roman"/>
          <w:bCs/>
          <w:iCs/>
          <w:color w:val="000000"/>
          <w:lang w:bidi="en-US"/>
        </w:rPr>
        <w:t>dita diretta).</w:t>
      </w:r>
    </w:p>
    <w:p w14:paraId="2E517193" w14:textId="4AF6B14D" w:rsidR="00570BC7" w:rsidRDefault="00570BC7" w:rsidP="00570BC7">
      <w:pPr>
        <w:spacing w:before="0" w:after="160"/>
        <w:rPr>
          <w:rFonts w:eastAsia="Calibri" w:cs="Times New Roman"/>
          <w:bCs/>
          <w:iCs/>
          <w:color w:val="000000"/>
          <w:lang w:bidi="en-US"/>
        </w:rPr>
      </w:pPr>
      <w:r>
        <w:rPr>
          <w:rFonts w:eastAsia="Calibri" w:cs="Times New Roman"/>
          <w:bCs/>
          <w:iCs/>
          <w:color w:val="000000"/>
          <w:lang w:bidi="en-US"/>
        </w:rPr>
        <w:t>Ulteriore necessità prevista è quella di m</w:t>
      </w:r>
      <w:r w:rsidRPr="00CB0DA1">
        <w:rPr>
          <w:rFonts w:eastAsia="Calibri" w:cs="Times New Roman"/>
          <w:bCs/>
          <w:iCs/>
          <w:color w:val="000000"/>
          <w:lang w:bidi="en-US"/>
        </w:rPr>
        <w:t xml:space="preserve">igliorare le </w:t>
      </w:r>
      <w:r w:rsidRPr="00CB0DA1">
        <w:rPr>
          <w:rFonts w:eastAsia="Calibri" w:cs="Times New Roman"/>
          <w:bCs/>
          <w:i/>
          <w:iCs/>
          <w:color w:val="000000"/>
          <w:lang w:bidi="en-US"/>
        </w:rPr>
        <w:t xml:space="preserve">performance </w:t>
      </w:r>
      <w:r w:rsidRPr="00CB0DA1">
        <w:rPr>
          <w:rFonts w:eastAsia="Calibri" w:cs="Times New Roman"/>
          <w:bCs/>
          <w:iCs/>
          <w:color w:val="000000"/>
          <w:lang w:bidi="en-US"/>
        </w:rPr>
        <w:t xml:space="preserve">aziendali e la sostenibilità delle imprese </w:t>
      </w:r>
      <w:r>
        <w:rPr>
          <w:rFonts w:eastAsia="Calibri" w:cs="Times New Roman"/>
          <w:bCs/>
          <w:iCs/>
          <w:color w:val="000000"/>
          <w:lang w:bidi="en-US"/>
        </w:rPr>
        <w:t>tramite</w:t>
      </w:r>
      <w:r w:rsidRPr="00CB0DA1">
        <w:rPr>
          <w:rFonts w:eastAsia="Calibri" w:cs="Times New Roman"/>
          <w:bCs/>
          <w:iCs/>
          <w:color w:val="000000"/>
          <w:lang w:bidi="en-US"/>
        </w:rPr>
        <w:t xml:space="preserve"> </w:t>
      </w:r>
      <w:r>
        <w:rPr>
          <w:rFonts w:eastAsia="Calibri" w:cs="Times New Roman"/>
          <w:bCs/>
          <w:iCs/>
          <w:color w:val="000000"/>
          <w:lang w:bidi="en-US"/>
        </w:rPr>
        <w:t>l’</w:t>
      </w:r>
      <w:r w:rsidRPr="00CB0DA1">
        <w:rPr>
          <w:rFonts w:eastAsia="Calibri" w:cs="Times New Roman"/>
          <w:bCs/>
          <w:iCs/>
          <w:color w:val="000000"/>
          <w:lang w:bidi="en-US"/>
        </w:rPr>
        <w:t>a</w:t>
      </w:r>
      <w:r>
        <w:rPr>
          <w:rFonts w:eastAsia="Calibri" w:cs="Times New Roman"/>
          <w:bCs/>
          <w:iCs/>
          <w:color w:val="000000"/>
          <w:lang w:bidi="en-US"/>
        </w:rPr>
        <w:t>mmodernamento e la ristrutturazione</w:t>
      </w:r>
      <w:r w:rsidRPr="00CB0DA1">
        <w:rPr>
          <w:rFonts w:eastAsia="Calibri" w:cs="Times New Roman"/>
          <w:bCs/>
          <w:iCs/>
          <w:color w:val="000000"/>
          <w:lang w:bidi="en-US"/>
        </w:rPr>
        <w:t xml:space="preserve">. </w:t>
      </w:r>
      <w:r>
        <w:rPr>
          <w:rFonts w:eastAsia="Calibri" w:cs="Times New Roman"/>
          <w:b/>
          <w:bCs/>
          <w:color w:val="000066"/>
          <w:lang w:bidi="en-US"/>
        </w:rPr>
        <w:t xml:space="preserve"> </w:t>
      </w:r>
      <w:r w:rsidR="00A31BDF">
        <w:rPr>
          <w:rFonts w:eastAsia="Calibri" w:cs="Times New Roman"/>
          <w:bCs/>
          <w:iCs/>
          <w:color w:val="000000"/>
          <w:lang w:bidi="en-US"/>
        </w:rPr>
        <w:t xml:space="preserve">La nuova politica di </w:t>
      </w:r>
      <w:r w:rsidRPr="00A31BDF">
        <w:rPr>
          <w:rFonts w:eastAsia="Calibri" w:cs="Times New Roman"/>
          <w:bCs/>
          <w:iCs/>
          <w:color w:val="000000"/>
          <w:lang w:bidi="en-US"/>
        </w:rPr>
        <w:t xml:space="preserve">sviluppo rurale </w:t>
      </w:r>
      <w:r w:rsidRPr="004B7B54">
        <w:rPr>
          <w:rFonts w:eastAsia="Calibri" w:cs="Times New Roman"/>
          <w:b/>
          <w:bCs/>
          <w:i/>
          <w:iCs/>
          <w:color w:val="1F4E79" w:themeColor="accent1" w:themeShade="80"/>
          <w:lang w:bidi="en-US"/>
        </w:rPr>
        <w:t>conferma il sostegno agli investimenti materiali e immateriali (art. 18)</w:t>
      </w:r>
      <w:r>
        <w:rPr>
          <w:rFonts w:eastAsia="Calibri" w:cs="Times New Roman"/>
          <w:b/>
          <w:bCs/>
          <w:i/>
          <w:iCs/>
          <w:color w:val="003300"/>
          <w:lang w:bidi="en-US"/>
        </w:rPr>
        <w:t>.</w:t>
      </w:r>
      <w:r>
        <w:rPr>
          <w:rFonts w:eastAsia="Calibri" w:cs="Times New Roman"/>
          <w:b/>
          <w:bCs/>
          <w:color w:val="000066"/>
          <w:lang w:bidi="en-US"/>
        </w:rPr>
        <w:t xml:space="preserve"> </w:t>
      </w:r>
      <w:r w:rsidRPr="00CB0DA1">
        <w:rPr>
          <w:rFonts w:eastAsia="Calibri" w:cs="Times New Roman"/>
          <w:bCs/>
          <w:iCs/>
          <w:color w:val="000000"/>
          <w:lang w:bidi="en-US"/>
        </w:rPr>
        <w:t xml:space="preserve">Il conseguimento di migliori </w:t>
      </w:r>
      <w:r w:rsidRPr="00CB0DA1">
        <w:rPr>
          <w:rFonts w:eastAsia="Calibri" w:cs="Times New Roman"/>
          <w:bCs/>
          <w:i/>
          <w:iCs/>
          <w:color w:val="000000"/>
          <w:lang w:bidi="en-US"/>
        </w:rPr>
        <w:t xml:space="preserve">performance </w:t>
      </w:r>
      <w:r w:rsidRPr="00CB0DA1">
        <w:rPr>
          <w:rFonts w:eastAsia="Calibri" w:cs="Times New Roman"/>
          <w:bCs/>
          <w:iCs/>
          <w:color w:val="000000"/>
          <w:lang w:bidi="en-US"/>
        </w:rPr>
        <w:t>az</w:t>
      </w:r>
      <w:r>
        <w:rPr>
          <w:rFonts w:eastAsia="Calibri" w:cs="Times New Roman"/>
          <w:bCs/>
          <w:iCs/>
          <w:color w:val="000000"/>
          <w:lang w:bidi="en-US"/>
        </w:rPr>
        <w:t>iendali è sostenuto anche attraverso</w:t>
      </w:r>
      <w:r w:rsidRPr="00CB0DA1">
        <w:rPr>
          <w:rFonts w:eastAsia="Calibri" w:cs="Times New Roman"/>
          <w:bCs/>
          <w:iCs/>
          <w:color w:val="000000"/>
          <w:lang w:bidi="en-US"/>
        </w:rPr>
        <w:t>:</w:t>
      </w:r>
      <w:r>
        <w:rPr>
          <w:rFonts w:eastAsia="Calibri" w:cs="Times New Roman"/>
          <w:b/>
          <w:bCs/>
          <w:color w:val="000066"/>
          <w:lang w:bidi="en-US"/>
        </w:rPr>
        <w:t xml:space="preserve"> </w:t>
      </w:r>
      <w:r w:rsidRPr="00B502D7">
        <w:rPr>
          <w:rFonts w:eastAsia="Calibri" w:cs="Times New Roman"/>
          <w:b/>
          <w:bCs/>
          <w:i/>
          <w:iCs/>
          <w:color w:val="1F4E79" w:themeColor="accent1" w:themeShade="80"/>
          <w:lang w:bidi="en-US"/>
        </w:rPr>
        <w:t xml:space="preserve">il sostegno offerto all’avvio di attività extra agricole (art. 20) </w:t>
      </w:r>
      <w:r w:rsidRPr="00B502D7">
        <w:rPr>
          <w:rFonts w:eastAsia="Calibri" w:cs="Times New Roman"/>
          <w:bCs/>
          <w:iCs/>
          <w:color w:val="000000" w:themeColor="text1"/>
          <w:lang w:bidi="en-US"/>
        </w:rPr>
        <w:t>finalizzato a</w:t>
      </w:r>
      <w:r w:rsidRPr="00B502D7">
        <w:rPr>
          <w:rFonts w:eastAsia="Calibri" w:cs="Times New Roman"/>
          <w:b/>
          <w:bCs/>
          <w:i/>
          <w:iCs/>
          <w:color w:val="000000" w:themeColor="text1"/>
          <w:lang w:bidi="en-US"/>
        </w:rPr>
        <w:t xml:space="preserve"> </w:t>
      </w:r>
      <w:r w:rsidRPr="00CB0DA1">
        <w:rPr>
          <w:rFonts w:eastAsia="Calibri" w:cs="Times New Roman"/>
          <w:bCs/>
          <w:iCs/>
          <w:color w:val="000000"/>
          <w:lang w:bidi="en-US"/>
        </w:rPr>
        <w:t>migliorare, agevolare e gar</w:t>
      </w:r>
      <w:r>
        <w:rPr>
          <w:rFonts w:eastAsia="Calibri" w:cs="Times New Roman"/>
          <w:bCs/>
          <w:iCs/>
          <w:color w:val="000000"/>
          <w:lang w:bidi="en-US"/>
        </w:rPr>
        <w:t xml:space="preserve">antire la continuità di gestione. </w:t>
      </w:r>
    </w:p>
    <w:p w14:paraId="057EDAFD" w14:textId="77777777" w:rsidR="00570BC7" w:rsidRPr="00CB0DA1" w:rsidRDefault="00570BC7" w:rsidP="00570BC7">
      <w:pPr>
        <w:spacing w:before="0" w:after="160"/>
        <w:rPr>
          <w:rFonts w:eastAsia="Calibri" w:cs="Times New Roman"/>
          <w:b/>
          <w:bCs/>
          <w:color w:val="000066"/>
          <w:lang w:bidi="en-US"/>
        </w:rPr>
      </w:pPr>
      <w:r>
        <w:rPr>
          <w:rFonts w:eastAsia="Calibri" w:cs="Times New Roman"/>
          <w:bCs/>
          <w:iCs/>
          <w:color w:val="000000"/>
          <w:lang w:bidi="en-US"/>
        </w:rPr>
        <w:t xml:space="preserve">Per </w:t>
      </w:r>
      <w:r w:rsidRPr="00B502D7">
        <w:rPr>
          <w:rFonts w:eastAsia="Calibri" w:cs="Times New Roman"/>
          <w:bCs/>
          <w:iCs/>
          <w:color w:val="000000"/>
          <w:lang w:bidi="en-US"/>
        </w:rPr>
        <w:t>garantire</w:t>
      </w:r>
      <w:r>
        <w:rPr>
          <w:rFonts w:eastAsia="Calibri" w:cs="Times New Roman"/>
          <w:bCs/>
          <w:iCs/>
          <w:color w:val="000000"/>
          <w:lang w:bidi="en-US"/>
        </w:rPr>
        <w:t xml:space="preserve"> la conciliazione con i tempi familiari e la possibilità di dedicarsi ad attività di formazione ed aggiornamento professionale, oltre a</w:t>
      </w:r>
      <w:r w:rsidRPr="00B502D7">
        <w:rPr>
          <w:rFonts w:eastAsia="Calibri" w:cs="Times New Roman"/>
          <w:bCs/>
          <w:iCs/>
          <w:color w:val="000000"/>
          <w:lang w:bidi="en-US"/>
        </w:rPr>
        <w:t xml:space="preserve"> una maggiore sostenibilità dei ritmi di lavoro</w:t>
      </w:r>
      <w:r>
        <w:rPr>
          <w:rFonts w:eastAsia="Calibri" w:cs="Times New Roman"/>
          <w:bCs/>
          <w:iCs/>
          <w:color w:val="000000"/>
          <w:lang w:bidi="en-US"/>
        </w:rPr>
        <w:t xml:space="preserve"> è previsto poi</w:t>
      </w:r>
      <w:r>
        <w:rPr>
          <w:rFonts w:eastAsia="Calibri" w:cs="Times New Roman"/>
          <w:b/>
          <w:bCs/>
          <w:color w:val="000066"/>
          <w:lang w:bidi="en-US"/>
        </w:rPr>
        <w:t xml:space="preserve"> </w:t>
      </w:r>
      <w:r w:rsidRPr="00B502D7">
        <w:rPr>
          <w:rFonts w:eastAsia="Calibri" w:cs="Times New Roman"/>
          <w:b/>
          <w:bCs/>
          <w:i/>
          <w:iCs/>
          <w:color w:val="1F4E79" w:themeColor="accent1" w:themeShade="80"/>
          <w:lang w:bidi="en-US"/>
        </w:rPr>
        <w:t>il sostegno al ricorso di servizi di gestione aziendale e di sostituzione</w:t>
      </w:r>
      <w:r w:rsidRPr="00CB0DA1">
        <w:rPr>
          <w:rFonts w:eastAsia="Calibri" w:cs="Times New Roman"/>
          <w:b/>
          <w:bCs/>
          <w:i/>
          <w:iCs/>
          <w:color w:val="003300"/>
          <w:lang w:bidi="en-US"/>
        </w:rPr>
        <w:t>.</w:t>
      </w:r>
    </w:p>
    <w:p w14:paraId="6EA3D36E" w14:textId="5584E31B" w:rsidR="00570BC7" w:rsidRPr="008866D6" w:rsidRDefault="00570BC7" w:rsidP="00570BC7">
      <w:pPr>
        <w:spacing w:before="0" w:after="160"/>
        <w:rPr>
          <w:rFonts w:eastAsia="Calibri" w:cs="Times New Roman"/>
          <w:bCs/>
          <w:iCs/>
          <w:color w:val="000000"/>
          <w:lang w:bidi="en-US"/>
        </w:rPr>
      </w:pPr>
      <w:r w:rsidRPr="00CB0DA1">
        <w:rPr>
          <w:rFonts w:eastAsia="Calibri" w:cs="Times New Roman"/>
          <w:bCs/>
          <w:iCs/>
          <w:color w:val="000000"/>
          <w:lang w:bidi="en-US"/>
        </w:rPr>
        <w:t xml:space="preserve">Con </w:t>
      </w:r>
      <w:r>
        <w:rPr>
          <w:rFonts w:eastAsia="Calibri" w:cs="Times New Roman"/>
          <w:bCs/>
          <w:iCs/>
          <w:color w:val="000000"/>
          <w:lang w:bidi="en-US"/>
        </w:rPr>
        <w:t>il fine</w:t>
      </w:r>
      <w:r w:rsidRPr="00CB0DA1">
        <w:rPr>
          <w:rFonts w:eastAsia="Calibri" w:cs="Times New Roman"/>
          <w:bCs/>
          <w:iCs/>
          <w:color w:val="000000"/>
          <w:lang w:bidi="en-US"/>
        </w:rPr>
        <w:t xml:space="preserve"> di </w:t>
      </w:r>
      <w:r>
        <w:rPr>
          <w:rFonts w:eastAsia="Calibri" w:cs="Times New Roman"/>
          <w:bCs/>
          <w:iCs/>
          <w:color w:val="000000"/>
          <w:lang w:bidi="en-US"/>
        </w:rPr>
        <w:t>sconfiggere</w:t>
      </w:r>
      <w:r w:rsidRPr="00CB0DA1">
        <w:rPr>
          <w:rFonts w:eastAsia="Calibri" w:cs="Times New Roman"/>
          <w:bCs/>
          <w:iCs/>
          <w:color w:val="000000"/>
          <w:lang w:bidi="en-US"/>
        </w:rPr>
        <w:t xml:space="preserve"> la frammentazione d</w:t>
      </w:r>
      <w:r>
        <w:rPr>
          <w:rFonts w:eastAsia="Calibri" w:cs="Times New Roman"/>
          <w:bCs/>
          <w:iCs/>
          <w:color w:val="000000"/>
          <w:lang w:bidi="en-US"/>
        </w:rPr>
        <w:t>el sistema produttivo agricolo, facilitare le imprese nella realizzazione di</w:t>
      </w:r>
      <w:r w:rsidRPr="00CB0DA1">
        <w:rPr>
          <w:rFonts w:eastAsia="Calibri" w:cs="Times New Roman"/>
          <w:bCs/>
          <w:iCs/>
          <w:color w:val="000000"/>
          <w:lang w:bidi="en-US"/>
        </w:rPr>
        <w:t xml:space="preserve"> economie di scala e c</w:t>
      </w:r>
      <w:r>
        <w:rPr>
          <w:rFonts w:eastAsia="Calibri" w:cs="Times New Roman"/>
          <w:bCs/>
          <w:iCs/>
          <w:color w:val="000000"/>
          <w:lang w:bidi="en-US"/>
        </w:rPr>
        <w:t xml:space="preserve">ondividere, oltre a prodotti e servizi, anche </w:t>
      </w:r>
      <w:r w:rsidRPr="00CB0DA1">
        <w:rPr>
          <w:rFonts w:eastAsia="Calibri" w:cs="Times New Roman"/>
          <w:bCs/>
          <w:iCs/>
          <w:color w:val="000000"/>
          <w:lang w:bidi="en-US"/>
        </w:rPr>
        <w:t>esper</w:t>
      </w:r>
      <w:r w:rsidR="00923D5B">
        <w:rPr>
          <w:rFonts w:eastAsia="Calibri" w:cs="Times New Roman"/>
          <w:bCs/>
          <w:iCs/>
          <w:color w:val="000000"/>
          <w:lang w:bidi="en-US"/>
        </w:rPr>
        <w:t xml:space="preserve">ienze e capacità gestionali, il </w:t>
      </w:r>
      <w:r w:rsidRPr="00A31BDF">
        <w:rPr>
          <w:rFonts w:eastAsia="Calibri" w:cs="Times New Roman"/>
          <w:bCs/>
          <w:iCs/>
          <w:color w:val="000000"/>
          <w:lang w:bidi="en-US"/>
        </w:rPr>
        <w:t>Regolamento</w:t>
      </w:r>
      <w:r w:rsidR="00923D5B">
        <w:rPr>
          <w:rFonts w:eastAsia="Calibri" w:cs="Times New Roman"/>
          <w:b/>
          <w:bCs/>
          <w:i/>
          <w:iCs/>
          <w:color w:val="000000"/>
          <w:lang w:bidi="en-US"/>
        </w:rPr>
        <w:t xml:space="preserve"> </w:t>
      </w:r>
      <w:r w:rsidRPr="00753DE4">
        <w:rPr>
          <w:rFonts w:eastAsia="Calibri" w:cs="Times New Roman"/>
          <w:b/>
          <w:bCs/>
          <w:i/>
          <w:iCs/>
          <w:color w:val="1F4E79" w:themeColor="accent1" w:themeShade="80"/>
          <w:lang w:bidi="en-US"/>
        </w:rPr>
        <w:t>promuove</w:t>
      </w:r>
      <w:r w:rsidRPr="007E7969">
        <w:rPr>
          <w:rFonts w:eastAsia="Calibri" w:cs="Times New Roman"/>
          <w:b/>
          <w:bCs/>
          <w:i/>
          <w:iCs/>
          <w:color w:val="1F4E79" w:themeColor="accent1" w:themeShade="80"/>
          <w:lang w:bidi="en-US"/>
        </w:rPr>
        <w:t xml:space="preserve"> la cooperazione tra operatori diversi del settore agricolo, della filiera alimentare e forestale per la creazione di rapporti di filiera, poli e reti (art. 36)</w:t>
      </w:r>
      <w:r w:rsidR="00923D5B">
        <w:rPr>
          <w:rFonts w:eastAsia="Calibri" w:cs="Times New Roman"/>
          <w:bCs/>
          <w:iCs/>
          <w:color w:val="000000"/>
          <w:lang w:bidi="en-US"/>
        </w:rPr>
        <w:t>.</w:t>
      </w:r>
      <w:r>
        <w:rPr>
          <w:rFonts w:eastAsia="Calibri" w:cs="Times New Roman"/>
          <w:bCs/>
          <w:iCs/>
          <w:color w:val="000000"/>
          <w:lang w:bidi="en-US"/>
        </w:rPr>
        <w:t xml:space="preserve"> I vantaggi della messa in rete delle PMI femminili in tal caso, oltre all’accesso a nuovi mercati, sarebbero la riduzione dei costi di gestione e l’opportunità di apprendere nuove pratiche e scambiare esperienze con altre aziende con un background simile.</w:t>
      </w:r>
    </w:p>
    <w:p w14:paraId="1DF313A8" w14:textId="0FBA30CD" w:rsidR="00570BC7" w:rsidRDefault="00570BC7" w:rsidP="00570BC7">
      <w:pPr>
        <w:spacing w:before="0" w:after="160"/>
        <w:rPr>
          <w:rFonts w:eastAsia="Calibri" w:cs="Times New Roman"/>
          <w:bCs/>
          <w:iCs/>
          <w:color w:val="000000"/>
          <w:lang w:bidi="en-US"/>
        </w:rPr>
      </w:pPr>
      <w:r w:rsidRPr="00CB0DA1">
        <w:rPr>
          <w:rFonts w:eastAsia="Calibri" w:cs="Times New Roman"/>
          <w:bCs/>
          <w:iCs/>
          <w:color w:val="000000"/>
          <w:lang w:bidi="en-US"/>
        </w:rPr>
        <w:t>Un supporto verso il riavvicinamento tra la ricer</w:t>
      </w:r>
      <w:r w:rsidR="00A31BDF">
        <w:rPr>
          <w:rFonts w:eastAsia="Calibri" w:cs="Times New Roman"/>
          <w:bCs/>
          <w:iCs/>
          <w:color w:val="000000"/>
          <w:lang w:bidi="en-US"/>
        </w:rPr>
        <w:t xml:space="preserve">ca e l’impresa è sostenuto dal </w:t>
      </w:r>
      <w:r w:rsidRPr="00A31BDF">
        <w:rPr>
          <w:rStyle w:val="Enfasigrassetto"/>
        </w:rPr>
        <w:t xml:space="preserve">Partenariato Europeo per l’Innovazione-Pei </w:t>
      </w:r>
      <w:r w:rsidRPr="00A31BDF">
        <w:rPr>
          <w:rFonts w:eastAsia="Calibri" w:cs="Times New Roman"/>
          <w:b/>
          <w:bCs/>
          <w:iCs/>
          <w:color w:val="1F4E79" w:themeColor="accent1" w:themeShade="80"/>
          <w:lang w:bidi="en-US"/>
        </w:rPr>
        <w:t>(art.61)</w:t>
      </w:r>
      <w:r w:rsidRPr="00A31BDF">
        <w:rPr>
          <w:rFonts w:eastAsia="Calibri" w:cs="Times New Roman"/>
          <w:bCs/>
          <w:iCs/>
          <w:color w:val="000000"/>
          <w:lang w:bidi="en-US"/>
        </w:rPr>
        <w:t>,</w:t>
      </w:r>
      <w:r w:rsidRPr="00CB0DA1">
        <w:rPr>
          <w:rFonts w:eastAsia="Calibri" w:cs="Times New Roman"/>
          <w:bCs/>
          <w:iCs/>
          <w:color w:val="000000"/>
          <w:lang w:bidi="en-US"/>
        </w:rPr>
        <w:t xml:space="preserve"> </w:t>
      </w:r>
      <w:r>
        <w:rPr>
          <w:rFonts w:eastAsia="Calibri" w:cs="Times New Roman"/>
          <w:bCs/>
          <w:iCs/>
          <w:color w:val="000000"/>
          <w:lang w:bidi="en-US"/>
        </w:rPr>
        <w:t xml:space="preserve">che è finalizzato a </w:t>
      </w:r>
      <w:r w:rsidRPr="00CB0DA1">
        <w:rPr>
          <w:rFonts w:eastAsia="Calibri" w:cs="Times New Roman"/>
          <w:bCs/>
          <w:iCs/>
          <w:color w:val="000000"/>
          <w:lang w:bidi="en-US"/>
        </w:rPr>
        <w:t>riavvicinare l’assistenza tecnic</w:t>
      </w:r>
      <w:r>
        <w:rPr>
          <w:rFonts w:eastAsia="Calibri" w:cs="Times New Roman"/>
          <w:bCs/>
          <w:iCs/>
          <w:color w:val="000000"/>
          <w:lang w:bidi="en-US"/>
        </w:rPr>
        <w:t>a e la divulgazione agricola ai produttori tramite</w:t>
      </w:r>
      <w:r w:rsidRPr="00CB0DA1">
        <w:rPr>
          <w:rFonts w:eastAsia="Calibri" w:cs="Times New Roman"/>
          <w:bCs/>
          <w:iCs/>
          <w:color w:val="000000"/>
          <w:lang w:bidi="en-US"/>
        </w:rPr>
        <w:t xml:space="preserve"> la </w:t>
      </w:r>
      <w:r>
        <w:rPr>
          <w:rFonts w:eastAsia="Calibri" w:cs="Times New Roman"/>
          <w:bCs/>
          <w:iCs/>
          <w:color w:val="000000"/>
          <w:lang w:bidi="en-US"/>
        </w:rPr>
        <w:t xml:space="preserve">creazione </w:t>
      </w:r>
      <w:r w:rsidRPr="00CB0DA1">
        <w:rPr>
          <w:rFonts w:eastAsia="Calibri" w:cs="Times New Roman"/>
          <w:bCs/>
          <w:iCs/>
          <w:color w:val="000000"/>
          <w:lang w:bidi="en-US"/>
        </w:rPr>
        <w:t xml:space="preserve">di gruppi operativi del </w:t>
      </w:r>
      <w:r w:rsidRPr="00A31BDF">
        <w:rPr>
          <w:rFonts w:eastAsia="Calibri" w:cs="Times New Roman"/>
          <w:bCs/>
          <w:iCs/>
          <w:color w:val="000000"/>
          <w:lang w:bidi="en-US"/>
        </w:rPr>
        <w:t>Pei</w:t>
      </w:r>
      <w:r>
        <w:rPr>
          <w:rFonts w:eastAsia="Calibri" w:cs="Times New Roman"/>
          <w:bCs/>
          <w:iCs/>
          <w:color w:val="000000"/>
          <w:lang w:bidi="en-US"/>
        </w:rPr>
        <w:t xml:space="preserve">, </w:t>
      </w:r>
      <w:r w:rsidRPr="00CB0DA1">
        <w:rPr>
          <w:rFonts w:eastAsia="Calibri" w:cs="Times New Roman"/>
          <w:bCs/>
          <w:iCs/>
          <w:color w:val="000000"/>
          <w:lang w:bidi="en-US"/>
        </w:rPr>
        <w:t>costituiti da agricoltori, imprenditori, consulent</w:t>
      </w:r>
      <w:r>
        <w:rPr>
          <w:rFonts w:eastAsia="Calibri" w:cs="Times New Roman"/>
          <w:bCs/>
          <w:iCs/>
          <w:color w:val="000000"/>
          <w:lang w:bidi="en-US"/>
        </w:rPr>
        <w:t xml:space="preserve">i e ricercatori. Lo strumento </w:t>
      </w:r>
      <w:r w:rsidRPr="00CB0DA1">
        <w:rPr>
          <w:rFonts w:eastAsia="Calibri" w:cs="Times New Roman"/>
          <w:bCs/>
          <w:iCs/>
          <w:color w:val="000000"/>
          <w:lang w:bidi="en-US"/>
        </w:rPr>
        <w:t>richiede un percorso preparatorio volto alla costituzione di una rete su</w:t>
      </w:r>
      <w:r>
        <w:rPr>
          <w:rFonts w:eastAsia="Calibri" w:cs="Times New Roman"/>
          <w:bCs/>
          <w:iCs/>
          <w:color w:val="000000"/>
          <w:lang w:bidi="en-US"/>
        </w:rPr>
        <w:t>l territorio tra più soggetti. Allo scopo di preparare adeguatamente i soggetti nella costruzione una rete territoriale</w:t>
      </w:r>
      <w:r w:rsidRPr="00CB0DA1">
        <w:rPr>
          <w:rFonts w:eastAsia="Calibri" w:cs="Times New Roman"/>
          <w:bCs/>
          <w:iCs/>
          <w:color w:val="000000"/>
          <w:lang w:bidi="en-US"/>
        </w:rPr>
        <w:t xml:space="preserve">, la Commissione ha </w:t>
      </w:r>
      <w:r>
        <w:rPr>
          <w:rFonts w:eastAsia="Calibri" w:cs="Times New Roman"/>
          <w:bCs/>
          <w:iCs/>
          <w:color w:val="000000"/>
          <w:lang w:bidi="en-US"/>
        </w:rPr>
        <w:t>introdotto</w:t>
      </w:r>
      <w:r w:rsidRPr="00CB0DA1">
        <w:rPr>
          <w:rFonts w:eastAsia="Calibri" w:cs="Times New Roman"/>
          <w:bCs/>
          <w:iCs/>
          <w:color w:val="000000"/>
          <w:lang w:bidi="en-US"/>
        </w:rPr>
        <w:t xml:space="preserve"> la figura </w:t>
      </w:r>
      <w:r w:rsidRPr="00357876">
        <w:rPr>
          <w:rFonts w:eastAsia="Calibri" w:cs="Times New Roman"/>
          <w:bCs/>
          <w:iCs/>
          <w:color w:val="000000"/>
          <w:lang w:bidi="en-US"/>
        </w:rPr>
        <w:t>dell’</w:t>
      </w:r>
      <w:r w:rsidRPr="00A31BDF">
        <w:rPr>
          <w:rFonts w:eastAsia="Calibri" w:cs="Times New Roman"/>
          <w:bCs/>
          <w:i/>
          <w:iCs/>
          <w:color w:val="000000"/>
          <w:lang w:bidi="en-US"/>
        </w:rPr>
        <w:t>innovation broker</w:t>
      </w:r>
      <w:r w:rsidR="00923D5B" w:rsidRPr="00A31BDF">
        <w:rPr>
          <w:rFonts w:eastAsia="Calibri" w:cs="Times New Roman"/>
          <w:b/>
          <w:bCs/>
          <w:i/>
          <w:iCs/>
          <w:color w:val="000000"/>
          <w:lang w:bidi="en-US"/>
        </w:rPr>
        <w:t xml:space="preserve"> </w:t>
      </w:r>
      <w:r w:rsidRPr="00CB0DA1">
        <w:rPr>
          <w:rFonts w:eastAsia="Calibri" w:cs="Times New Roman"/>
          <w:bCs/>
          <w:iCs/>
          <w:color w:val="000000"/>
          <w:lang w:bidi="en-US"/>
        </w:rPr>
        <w:t>che, su mandato delle Regioni,</w:t>
      </w:r>
      <w:r w:rsidR="00923D5B">
        <w:rPr>
          <w:rFonts w:eastAsia="Calibri" w:cs="Times New Roman"/>
          <w:bCs/>
          <w:iCs/>
          <w:color w:val="000000"/>
          <w:lang w:bidi="en-US"/>
        </w:rPr>
        <w:t xml:space="preserve"> è autorizzata </w:t>
      </w:r>
      <w:r>
        <w:rPr>
          <w:rFonts w:eastAsia="Calibri" w:cs="Times New Roman"/>
          <w:bCs/>
          <w:iCs/>
          <w:color w:val="000000"/>
          <w:lang w:bidi="en-US"/>
        </w:rPr>
        <w:t>a promuovere</w:t>
      </w:r>
      <w:r w:rsidRPr="00CB0DA1">
        <w:rPr>
          <w:rFonts w:eastAsia="Calibri" w:cs="Times New Roman"/>
          <w:bCs/>
          <w:iCs/>
          <w:color w:val="000000"/>
          <w:lang w:bidi="en-US"/>
        </w:rPr>
        <w:t xml:space="preserve"> l’incontro della domanda d’innovazione delle imprese </w:t>
      </w:r>
      <w:r>
        <w:rPr>
          <w:rFonts w:eastAsia="Calibri" w:cs="Times New Roman"/>
          <w:bCs/>
          <w:iCs/>
          <w:color w:val="000000"/>
          <w:lang w:bidi="en-US"/>
        </w:rPr>
        <w:t>femminili</w:t>
      </w:r>
      <w:r w:rsidRPr="00CB0DA1">
        <w:rPr>
          <w:rFonts w:eastAsia="Calibri" w:cs="Times New Roman"/>
          <w:bCs/>
          <w:iCs/>
          <w:color w:val="000000"/>
          <w:lang w:bidi="en-US"/>
        </w:rPr>
        <w:t xml:space="preserve"> con l’offerta e la loro partecipazione ai gruppi operativi del </w:t>
      </w:r>
      <w:r w:rsidRPr="00A31BDF">
        <w:rPr>
          <w:rFonts w:eastAsia="Calibri" w:cs="Times New Roman"/>
          <w:bCs/>
          <w:iCs/>
          <w:color w:val="000000"/>
          <w:lang w:bidi="en-US"/>
        </w:rPr>
        <w:t>Pei</w:t>
      </w:r>
      <w:r w:rsidRPr="00CB0DA1">
        <w:rPr>
          <w:rFonts w:eastAsia="Calibri" w:cs="Times New Roman"/>
          <w:bCs/>
          <w:iCs/>
          <w:color w:val="000000"/>
          <w:lang w:bidi="en-US"/>
        </w:rPr>
        <w:t>.</w:t>
      </w:r>
    </w:p>
    <w:p w14:paraId="1145CEB4" w14:textId="77777777" w:rsidR="00570BC7" w:rsidRPr="00763DB0" w:rsidRDefault="00570BC7" w:rsidP="00570BC7">
      <w:pPr>
        <w:spacing w:before="0" w:after="160"/>
        <w:rPr>
          <w:rFonts w:eastAsia="Calibri" w:cs="Times New Roman"/>
          <w:bCs/>
          <w:iCs/>
          <w:color w:val="000000"/>
          <w:lang w:bidi="en-US"/>
        </w:rPr>
      </w:pPr>
      <w:r w:rsidRPr="00CB0DA1">
        <w:rPr>
          <w:rFonts w:eastAsia="Calibri" w:cs="Times New Roman"/>
          <w:iCs/>
          <w:color w:val="0F1419"/>
          <w:lang w:bidi="en-US"/>
        </w:rPr>
        <w:t xml:space="preserve">Infine, </w:t>
      </w:r>
      <w:r>
        <w:rPr>
          <w:rFonts w:eastAsia="Calibri" w:cs="Times New Roman"/>
          <w:iCs/>
          <w:color w:val="0F1419"/>
          <w:lang w:bidi="en-US"/>
        </w:rPr>
        <w:t>si tenga presente il</w:t>
      </w:r>
      <w:r w:rsidRPr="00357876">
        <w:rPr>
          <w:rFonts w:eastAsia="Calibri" w:cs="Times New Roman"/>
          <w:b/>
          <w:bCs/>
          <w:i/>
          <w:iCs/>
          <w:color w:val="1F4E79" w:themeColor="accent1" w:themeShade="80"/>
          <w:lang w:bidi="en-US"/>
        </w:rPr>
        <w:t xml:space="preserve"> sostegno alla gestione </w:t>
      </w:r>
      <w:r w:rsidRPr="008D317A">
        <w:rPr>
          <w:rFonts w:eastAsia="Calibri" w:cs="Times New Roman"/>
          <w:b/>
          <w:bCs/>
          <w:i/>
          <w:iCs/>
          <w:color w:val="1F4E79" w:themeColor="accent1" w:themeShade="80"/>
          <w:lang w:bidi="en-US"/>
        </w:rPr>
        <w:t>del rischio</w:t>
      </w:r>
      <w:r>
        <w:rPr>
          <w:rFonts w:eastAsia="Calibri" w:cs="Times New Roman"/>
          <w:iCs/>
          <w:color w:val="0F1419"/>
          <w:lang w:bidi="en-US"/>
        </w:rPr>
        <w:t xml:space="preserve"> per il quale </w:t>
      </w:r>
      <w:r w:rsidRPr="00CB0DA1">
        <w:rPr>
          <w:rFonts w:eastAsia="Calibri" w:cs="Times New Roman"/>
          <w:iCs/>
          <w:color w:val="0F1419"/>
          <w:lang w:bidi="en-US"/>
        </w:rPr>
        <w:t>(artt. 38, 39 e 40)</w:t>
      </w:r>
      <w:r>
        <w:rPr>
          <w:rFonts w:eastAsia="Calibri" w:cs="Times New Roman"/>
          <w:iCs/>
          <w:color w:val="0F1419"/>
          <w:lang w:bidi="en-US"/>
        </w:rPr>
        <w:t xml:space="preserve"> si consente agli agricoltori </w:t>
      </w:r>
      <w:r w:rsidRPr="00CB0DA1">
        <w:rPr>
          <w:rFonts w:eastAsia="Calibri" w:cs="Times New Roman"/>
          <w:iCs/>
          <w:color w:val="0F1419"/>
          <w:lang w:bidi="en-US"/>
        </w:rPr>
        <w:t xml:space="preserve">e alle agricoltrici, di ricevere un </w:t>
      </w:r>
      <w:r>
        <w:rPr>
          <w:rFonts w:eastAsia="Calibri" w:cs="Times New Roman"/>
          <w:iCs/>
          <w:color w:val="0F1419"/>
          <w:lang w:bidi="en-US"/>
        </w:rPr>
        <w:t>aiuto economico</w:t>
      </w:r>
      <w:r w:rsidRPr="00CB0DA1">
        <w:rPr>
          <w:rFonts w:eastAsia="Calibri" w:cs="Times New Roman"/>
          <w:iCs/>
          <w:color w:val="0F1419"/>
          <w:lang w:bidi="en-US"/>
        </w:rPr>
        <w:t xml:space="preserve"> </w:t>
      </w:r>
      <w:r>
        <w:rPr>
          <w:rFonts w:eastAsia="Calibri" w:cs="Times New Roman"/>
          <w:iCs/>
          <w:color w:val="0F1419"/>
          <w:lang w:bidi="en-US"/>
        </w:rPr>
        <w:t xml:space="preserve">qualora si presentino </w:t>
      </w:r>
      <w:r w:rsidRPr="00CB0DA1">
        <w:rPr>
          <w:rFonts w:eastAsia="Calibri" w:cs="Times New Roman"/>
          <w:iCs/>
          <w:color w:val="0F1419"/>
          <w:lang w:bidi="en-US"/>
        </w:rPr>
        <w:t xml:space="preserve">difficoltà </w:t>
      </w:r>
      <w:r>
        <w:rPr>
          <w:rFonts w:eastAsia="Calibri" w:cs="Times New Roman"/>
          <w:iCs/>
          <w:color w:val="0F1419"/>
          <w:lang w:bidi="en-US"/>
        </w:rPr>
        <w:t>potenzialmente derivanti d</w:t>
      </w:r>
      <w:r w:rsidRPr="00CB0DA1">
        <w:rPr>
          <w:rFonts w:eastAsia="Calibri" w:cs="Times New Roman"/>
          <w:iCs/>
          <w:color w:val="0F1419"/>
          <w:lang w:bidi="en-US"/>
        </w:rPr>
        <w:t xml:space="preserve">ai cambiamenti climatici o </w:t>
      </w:r>
      <w:r>
        <w:rPr>
          <w:rFonts w:eastAsia="Calibri" w:cs="Times New Roman"/>
          <w:iCs/>
          <w:color w:val="0F1419"/>
          <w:lang w:bidi="en-US"/>
        </w:rPr>
        <w:t>d</w:t>
      </w:r>
      <w:r w:rsidRPr="00CB0DA1">
        <w:rPr>
          <w:rFonts w:eastAsia="Calibri" w:cs="Times New Roman"/>
          <w:iCs/>
          <w:color w:val="0F1419"/>
          <w:lang w:bidi="en-US"/>
        </w:rPr>
        <w:t>alla volatilità dei prezzi.</w:t>
      </w:r>
    </w:p>
    <w:p w14:paraId="3E178B7C" w14:textId="41F73A43" w:rsidR="00570BC7" w:rsidRPr="00CB735A" w:rsidRDefault="00570BC7" w:rsidP="00570BC7">
      <w:pPr>
        <w:spacing w:before="0" w:after="160"/>
        <w:rPr>
          <w:rFonts w:eastAsia="Calibri" w:cs="Times New Roman"/>
          <w:lang w:bidi="en-US"/>
        </w:rPr>
      </w:pPr>
      <w:r>
        <w:rPr>
          <w:rFonts w:eastAsia="Calibri" w:cs="Times New Roman"/>
          <w:iCs/>
          <w:color w:val="0F1419"/>
          <w:lang w:bidi="en-US"/>
        </w:rPr>
        <w:t>Per</w:t>
      </w:r>
      <w:r w:rsidRPr="00CB0DA1">
        <w:rPr>
          <w:rFonts w:eastAsia="Calibri" w:cs="Times New Roman"/>
          <w:iCs/>
          <w:color w:val="0F1419"/>
          <w:lang w:bidi="en-US"/>
        </w:rPr>
        <w:t xml:space="preserve"> stimolare</w:t>
      </w:r>
      <w:r w:rsidRPr="00CB0DA1">
        <w:rPr>
          <w:rFonts w:eastAsia="Calibri" w:cs="Times New Roman"/>
          <w:iCs/>
          <w:color w:val="000000"/>
          <w:lang w:bidi="en-US"/>
        </w:rPr>
        <w:t xml:space="preserve"> e rafforzare </w:t>
      </w:r>
      <w:r>
        <w:rPr>
          <w:rFonts w:eastAsia="Calibri" w:cs="Times New Roman"/>
          <w:iCs/>
          <w:color w:val="000000"/>
          <w:lang w:bidi="en-US"/>
        </w:rPr>
        <w:t xml:space="preserve">il </w:t>
      </w:r>
      <w:r w:rsidRPr="00CB0DA1">
        <w:rPr>
          <w:rFonts w:eastAsia="Calibri" w:cs="Times New Roman"/>
          <w:iCs/>
          <w:color w:val="000000"/>
          <w:lang w:bidi="en-US"/>
        </w:rPr>
        <w:t xml:space="preserve">coinvolgimento </w:t>
      </w:r>
      <w:r>
        <w:rPr>
          <w:rFonts w:eastAsia="Calibri" w:cs="Times New Roman"/>
          <w:iCs/>
          <w:color w:val="000000"/>
          <w:lang w:bidi="en-US"/>
        </w:rPr>
        <w:t>femminile nei settori economici delle aree rurali</w:t>
      </w:r>
      <w:r w:rsidRPr="00CB0DA1">
        <w:rPr>
          <w:rFonts w:eastAsia="Calibri" w:cs="Times New Roman"/>
          <w:iCs/>
          <w:color w:val="000000"/>
          <w:lang w:bidi="en-US"/>
        </w:rPr>
        <w:t xml:space="preserve">, il </w:t>
      </w:r>
      <w:r w:rsidRPr="00CB0DA1">
        <w:rPr>
          <w:rFonts w:eastAsia="Calibri" w:cs="Times New Roman"/>
          <w:iCs/>
          <w:color w:val="000000"/>
          <w:u w:val="single"/>
          <w:bdr w:val="dotted" w:sz="2" w:space="1" w:color="008800"/>
          <w:lang w:bidi="en-US"/>
        </w:rPr>
        <w:t>Regolamento</w:t>
      </w:r>
      <w:r w:rsidRPr="00CB0DA1">
        <w:rPr>
          <w:rFonts w:eastAsia="Calibri" w:cs="Times New Roman"/>
          <w:i/>
          <w:iCs/>
          <w:color w:val="000000"/>
          <w:bdr w:val="dotted" w:sz="2" w:space="1" w:color="008800"/>
          <w:lang w:bidi="en-US"/>
        </w:rPr>
        <w:t xml:space="preserve"> </w:t>
      </w:r>
      <w:r>
        <w:rPr>
          <w:rFonts w:eastAsia="Calibri" w:cs="Times New Roman"/>
          <w:iCs/>
          <w:color w:val="0F1419"/>
          <w:lang w:bidi="en-US"/>
        </w:rPr>
        <w:t>prevede</w:t>
      </w:r>
      <w:r w:rsidRPr="00CB0DA1">
        <w:rPr>
          <w:rFonts w:eastAsia="Calibri" w:cs="Times New Roman"/>
          <w:iCs/>
          <w:color w:val="0F1419"/>
          <w:lang w:bidi="en-US"/>
        </w:rPr>
        <w:t xml:space="preserve"> la possibilità di attuare interventi volti a: a</w:t>
      </w:r>
      <w:r w:rsidRPr="00BA4B13">
        <w:rPr>
          <w:rFonts w:eastAsia="Calibri" w:cs="Times New Roman"/>
          <w:b/>
          <w:i/>
          <w:iCs/>
          <w:color w:val="1F4E79" w:themeColor="accent1" w:themeShade="80"/>
          <w:lang w:bidi="en-US"/>
        </w:rPr>
        <w:t>) migliorare la sostenibilità ambientale e socio-economica delle aree rurali attraverso il sostegno alla creazione e ampliamento dei servizi locali di base per la popolazione (art. 21</w:t>
      </w:r>
      <w:r w:rsidRPr="00435DEC">
        <w:rPr>
          <w:rFonts w:eastAsia="Calibri" w:cs="Times New Roman"/>
          <w:b/>
          <w:i/>
          <w:iCs/>
          <w:color w:val="1F4E79" w:themeColor="accent1" w:themeShade="80"/>
          <w:lang w:bidi="en-US"/>
        </w:rPr>
        <w:t xml:space="preserve">); </w:t>
      </w:r>
      <w:r w:rsidRPr="00435DEC">
        <w:rPr>
          <w:rFonts w:eastAsia="Calibri" w:cs="Times New Roman"/>
          <w:b/>
          <w:bCs/>
          <w:i/>
          <w:iCs/>
          <w:color w:val="1F4E79" w:themeColor="accent1" w:themeShade="80"/>
          <w:lang w:bidi="en-US"/>
        </w:rPr>
        <w:t xml:space="preserve"> favorire l’inclusione sociale, la riduzione della povertà e lo sviluppo economico delle aree rurali attraverso l’approccio </w:t>
      </w:r>
      <w:hyperlink r:id="rId23">
        <w:r w:rsidRPr="00435DEC">
          <w:rPr>
            <w:rFonts w:eastAsia="Calibri" w:cs="Times New Roman"/>
            <w:b/>
            <w:i/>
            <w:color w:val="1F4E79" w:themeColor="accent1" w:themeShade="80"/>
            <w:u w:val="single"/>
            <w:lang w:bidi="en-US"/>
          </w:rPr>
          <w:t>Leader</w:t>
        </w:r>
      </w:hyperlink>
      <w:r w:rsidRPr="00435DEC">
        <w:rPr>
          <w:rFonts w:eastAsia="Calibri" w:cs="Times New Roman"/>
          <w:b/>
          <w:bCs/>
          <w:i/>
          <w:iCs/>
          <w:color w:val="1F4E79" w:themeColor="accent1" w:themeShade="80"/>
          <w:bdr w:val="dotted" w:sz="2" w:space="1" w:color="008800"/>
          <w:lang w:bidi="en-US"/>
        </w:rPr>
        <w:t xml:space="preserve"> </w:t>
      </w:r>
      <w:r w:rsidRPr="00435DEC">
        <w:rPr>
          <w:rFonts w:eastAsia="Calibri" w:cs="Times New Roman"/>
          <w:b/>
          <w:bCs/>
          <w:i/>
          <w:iCs/>
          <w:color w:val="1F4E79" w:themeColor="accent1" w:themeShade="80"/>
          <w:lang w:bidi="en-US"/>
        </w:rPr>
        <w:t>(art. 42</w:t>
      </w:r>
      <w:r>
        <w:rPr>
          <w:rFonts w:eastAsia="Calibri" w:cs="Times New Roman"/>
          <w:b/>
          <w:bCs/>
          <w:i/>
          <w:iCs/>
          <w:color w:val="003300"/>
          <w:lang w:bidi="en-US"/>
        </w:rPr>
        <w:t>).</w:t>
      </w:r>
      <w:r w:rsidRPr="00CB0DA1">
        <w:rPr>
          <w:rFonts w:eastAsia="Calibri" w:cs="Times New Roman"/>
          <w:iCs/>
          <w:color w:val="0F1419"/>
          <w:lang w:bidi="en-US"/>
        </w:rPr>
        <w:t xml:space="preserve"> </w:t>
      </w:r>
      <w:r>
        <w:rPr>
          <w:rFonts w:eastAsia="Calibri" w:cs="Times New Roman"/>
          <w:iCs/>
          <w:color w:val="0F1419"/>
          <w:lang w:bidi="en-US"/>
        </w:rPr>
        <w:t xml:space="preserve">Essendo </w:t>
      </w:r>
      <w:r w:rsidRPr="00CB0DA1">
        <w:rPr>
          <w:rFonts w:eastAsia="Calibri" w:cs="Times New Roman"/>
          <w:iCs/>
          <w:color w:val="0F1419"/>
          <w:lang w:bidi="en-US"/>
        </w:rPr>
        <w:t>misure</w:t>
      </w:r>
      <w:r>
        <w:rPr>
          <w:rFonts w:eastAsia="Calibri" w:cs="Times New Roman"/>
          <w:iCs/>
          <w:color w:val="0F1419"/>
          <w:lang w:bidi="en-US"/>
        </w:rPr>
        <w:t xml:space="preserve"> finalizzate all’aumento del</w:t>
      </w:r>
      <w:r w:rsidRPr="00CB0DA1">
        <w:rPr>
          <w:rFonts w:eastAsia="Calibri" w:cs="Times New Roman"/>
          <w:iCs/>
          <w:color w:val="0F1419"/>
          <w:lang w:bidi="en-US"/>
        </w:rPr>
        <w:t xml:space="preserve"> benessere della collettività rurale </w:t>
      </w:r>
      <w:r>
        <w:rPr>
          <w:rFonts w:eastAsia="Calibri" w:cs="Times New Roman"/>
          <w:iCs/>
          <w:color w:val="0F1419"/>
          <w:lang w:bidi="en-US"/>
        </w:rPr>
        <w:t>e al supporto del</w:t>
      </w:r>
      <w:r w:rsidRPr="00CB0DA1">
        <w:rPr>
          <w:rFonts w:eastAsia="Calibri" w:cs="Times New Roman"/>
          <w:iCs/>
          <w:color w:val="0F1419"/>
          <w:lang w:bidi="en-US"/>
        </w:rPr>
        <w:t xml:space="preserve">l’imprenditorialità femminile, </w:t>
      </w:r>
      <w:r>
        <w:rPr>
          <w:rFonts w:eastAsia="Calibri" w:cs="Times New Roman"/>
          <w:iCs/>
          <w:color w:val="0F1419"/>
          <w:lang w:bidi="en-US"/>
        </w:rPr>
        <w:t xml:space="preserve">emerge la necessità di poter accedere ai servizi di base che consentono la conciliazione con gli ambiti della vita familiare che richiedono più risorse personali (e.g. gli asili nido). A tal proposito, specifica attenzione è stata data </w:t>
      </w:r>
      <w:r w:rsidRPr="00BA4B13">
        <w:rPr>
          <w:rFonts w:eastAsia="Calibri" w:cs="Times New Roman"/>
          <w:bCs/>
          <w:iCs/>
          <w:color w:val="000000" w:themeColor="text1"/>
          <w:lang w:bidi="en-US"/>
        </w:rPr>
        <w:t>all’</w:t>
      </w:r>
      <w:r w:rsidRPr="00435DEC">
        <w:rPr>
          <w:rFonts w:eastAsia="Calibri" w:cs="Times New Roman"/>
          <w:b/>
          <w:bCs/>
          <w:i/>
          <w:iCs/>
          <w:color w:val="1F4E79" w:themeColor="accent1" w:themeShade="80"/>
          <w:lang w:bidi="en-US"/>
        </w:rPr>
        <w:t>uso delle tecnologie dell’informazione e della comunicazione (</w:t>
      </w:r>
      <w:r w:rsidR="00A31BDF" w:rsidRPr="00435DEC">
        <w:rPr>
          <w:rFonts w:eastAsia="Calibri" w:cs="Times New Roman"/>
          <w:b/>
          <w:bCs/>
          <w:i/>
          <w:iCs/>
          <w:color w:val="1F4E79" w:themeColor="accent1" w:themeShade="80"/>
          <w:lang w:bidi="en-US"/>
        </w:rPr>
        <w:t>ITC</w:t>
      </w:r>
      <w:r w:rsidRPr="00435DEC">
        <w:rPr>
          <w:rFonts w:eastAsia="Calibri" w:cs="Times New Roman"/>
          <w:b/>
          <w:bCs/>
          <w:i/>
          <w:iCs/>
          <w:color w:val="1F4E79" w:themeColor="accent1" w:themeShade="80"/>
          <w:lang w:bidi="en-US"/>
        </w:rPr>
        <w:t>) nonché dei sistemi informatici in agricoltura (programmi di gestione aziendale)</w:t>
      </w:r>
      <w:r w:rsidRPr="00435DEC">
        <w:rPr>
          <w:rFonts w:eastAsia="Calibri" w:cs="Times New Roman"/>
          <w:iCs/>
          <w:color w:val="1F4E79" w:themeColor="accent1" w:themeShade="80"/>
          <w:lang w:bidi="en-US"/>
        </w:rPr>
        <w:t xml:space="preserve"> </w:t>
      </w:r>
    </w:p>
    <w:p w14:paraId="284EE173" w14:textId="77777777" w:rsidR="00570BC7" w:rsidRPr="00CB0DA1" w:rsidRDefault="00570BC7" w:rsidP="00570BC7">
      <w:pPr>
        <w:spacing w:before="0" w:after="160"/>
        <w:rPr>
          <w:rFonts w:eastAsia="Calibri" w:cs="Times New Roman"/>
          <w:lang w:bidi="en-US"/>
        </w:rPr>
      </w:pPr>
      <w:r>
        <w:rPr>
          <w:rFonts w:eastAsia="Calibri" w:cs="Times New Roman"/>
          <w:iCs/>
          <w:color w:val="0F1419"/>
          <w:lang w:bidi="en-US"/>
        </w:rPr>
        <w:t>Il regolamento, come nella programmazione precedente, prevede l</w:t>
      </w:r>
      <w:r w:rsidRPr="00CB0DA1">
        <w:rPr>
          <w:rFonts w:eastAsia="Calibri" w:cs="Times New Roman"/>
          <w:b/>
          <w:bCs/>
          <w:i/>
          <w:iCs/>
          <w:color w:val="003300"/>
          <w:lang w:bidi="en-US"/>
        </w:rPr>
        <w:t>’</w:t>
      </w:r>
      <w:r w:rsidRPr="00435DEC">
        <w:rPr>
          <w:rFonts w:eastAsia="Calibri" w:cs="Times New Roman"/>
          <w:b/>
          <w:bCs/>
          <w:i/>
          <w:iCs/>
          <w:color w:val="1F4E79" w:themeColor="accent1" w:themeShade="80"/>
          <w:lang w:bidi="en-US"/>
        </w:rPr>
        <w:t xml:space="preserve">approccio </w:t>
      </w:r>
      <w:hyperlink r:id="rId24">
        <w:r w:rsidRPr="00435DEC">
          <w:rPr>
            <w:rFonts w:eastAsia="Calibri" w:cs="Times New Roman"/>
            <w:b/>
            <w:i/>
            <w:color w:val="1F4E79" w:themeColor="accent1" w:themeShade="80"/>
            <w:u w:val="single"/>
            <w:lang w:bidi="en-US"/>
          </w:rPr>
          <w:t>Leader</w:t>
        </w:r>
      </w:hyperlink>
      <w:r w:rsidRPr="00395369">
        <w:rPr>
          <w:rFonts w:eastAsia="Calibri" w:cs="Times New Roman"/>
          <w:color w:val="000000" w:themeColor="text1"/>
          <w:lang w:bidi="en-US"/>
        </w:rPr>
        <w:t>,</w:t>
      </w:r>
      <w:r>
        <w:rPr>
          <w:rFonts w:eastAsia="Calibri" w:cs="Times New Roman"/>
          <w:iCs/>
          <w:color w:val="000000"/>
          <w:lang w:bidi="en-US"/>
        </w:rPr>
        <w:t xml:space="preserve"> con l’intento di promuovere azioni di</w:t>
      </w:r>
      <w:r w:rsidRPr="00CB0DA1">
        <w:rPr>
          <w:rFonts w:eastAsia="Calibri" w:cs="Times New Roman"/>
          <w:iCs/>
          <w:color w:val="000000"/>
          <w:lang w:bidi="en-US"/>
        </w:rPr>
        <w:t xml:space="preserve"> animazione territoriale</w:t>
      </w:r>
      <w:r>
        <w:rPr>
          <w:rFonts w:eastAsia="Calibri" w:cs="Times New Roman"/>
          <w:iCs/>
          <w:color w:val="000000"/>
          <w:lang w:bidi="en-US"/>
        </w:rPr>
        <w:t xml:space="preserve"> e</w:t>
      </w:r>
      <w:r w:rsidRPr="00CB0DA1">
        <w:rPr>
          <w:rFonts w:eastAsia="Calibri" w:cs="Times New Roman"/>
          <w:iCs/>
          <w:color w:val="000000"/>
          <w:lang w:bidi="en-US"/>
        </w:rPr>
        <w:t xml:space="preserve"> strategie volte a valorizzare il contributo femminile allo </w:t>
      </w:r>
      <w:r w:rsidRPr="00CB0DA1">
        <w:rPr>
          <w:rFonts w:eastAsia="Calibri" w:cs="Times New Roman"/>
          <w:iCs/>
          <w:color w:val="000000"/>
          <w:lang w:bidi="en-US"/>
        </w:rPr>
        <w:lastRenderedPageBreak/>
        <w:t>sviluppo delle aree rurali</w:t>
      </w:r>
      <w:r>
        <w:rPr>
          <w:rFonts w:eastAsia="Calibri" w:cs="Times New Roman"/>
          <w:iCs/>
          <w:color w:val="000000"/>
          <w:lang w:bidi="en-US"/>
        </w:rPr>
        <w:t xml:space="preserve"> e ad affrontare le dinamiche socio-culturali che pre-condizionano il loro potenziale ruolo nello sviluppo rurale.</w:t>
      </w:r>
    </w:p>
    <w:p w14:paraId="752BC49A" w14:textId="4CD4B830" w:rsidR="00570BC7" w:rsidRPr="00CB0DA1" w:rsidRDefault="00570BC7" w:rsidP="00570BC7">
      <w:pPr>
        <w:spacing w:before="0" w:after="160"/>
        <w:rPr>
          <w:rFonts w:eastAsia="Calibri" w:cs="Times New Roman"/>
          <w:lang w:bidi="en-US"/>
        </w:rPr>
      </w:pPr>
      <w:r w:rsidRPr="00DB53BA">
        <w:rPr>
          <w:rFonts w:eastAsia="Calibri" w:cs="Times New Roman"/>
          <w:iCs/>
          <w:color w:val="000000"/>
          <w:highlight w:val="yellow"/>
          <w:lang w:bidi="en-US"/>
        </w:rPr>
        <w:t xml:space="preserve">All’interno del Regolamento non si prevedono per le donne importi o aliquote specifiche finalizzate a favorire l’accesso alle misure previste, tuttavia si introduce la possibilità di attivare </w:t>
      </w:r>
      <w:r w:rsidRPr="00DB53BA">
        <w:rPr>
          <w:rFonts w:eastAsia="Calibri" w:cs="Times New Roman"/>
          <w:bCs/>
          <w:iCs/>
          <w:color w:val="000000" w:themeColor="text1"/>
          <w:highlight w:val="yellow"/>
          <w:lang w:bidi="en-US"/>
        </w:rPr>
        <w:t>il</w:t>
      </w:r>
      <w:r w:rsidRPr="00DB53BA">
        <w:rPr>
          <w:rFonts w:eastAsia="Calibri" w:cs="Times New Roman"/>
          <w:b/>
          <w:bCs/>
          <w:i/>
          <w:iCs/>
          <w:color w:val="1F4E79" w:themeColor="accent1" w:themeShade="80"/>
          <w:highlight w:val="yellow"/>
          <w:lang w:bidi="en-US"/>
        </w:rPr>
        <w:t xml:space="preserve"> sottoprogramma nazionale “donne nelle aree rurali”</w:t>
      </w:r>
      <w:r w:rsidRPr="00DB53BA">
        <w:rPr>
          <w:rFonts w:eastAsia="Calibri" w:cs="Times New Roman"/>
          <w:iCs/>
          <w:color w:val="0F1419"/>
          <w:highlight w:val="yellow"/>
          <w:lang w:bidi="en-US"/>
        </w:rPr>
        <w:t>.</w:t>
      </w:r>
      <w:r>
        <w:rPr>
          <w:rFonts w:eastAsia="Calibri" w:cs="Times New Roman"/>
          <w:iCs/>
          <w:color w:val="0F1419"/>
          <w:lang w:bidi="en-US"/>
        </w:rPr>
        <w:t xml:space="preserve"> </w:t>
      </w:r>
    </w:p>
    <w:p w14:paraId="2B224141" w14:textId="77777777" w:rsidR="00570BC7" w:rsidRPr="00CB0DA1" w:rsidRDefault="00570BC7" w:rsidP="00570BC7">
      <w:pPr>
        <w:rPr>
          <w:rFonts w:cs="Times New Roman"/>
        </w:rPr>
      </w:pPr>
    </w:p>
    <w:p w14:paraId="5C2E3773" w14:textId="77777777" w:rsidR="00570BC7" w:rsidRPr="00CB0DA1" w:rsidRDefault="00570BC7" w:rsidP="00570BC7">
      <w:pPr>
        <w:pStyle w:val="Titolo2"/>
        <w:rPr>
          <w:rFonts w:cs="Times New Roman"/>
          <w:szCs w:val="22"/>
        </w:rPr>
      </w:pPr>
      <w:bookmarkStart w:id="9" w:name="_Toc534027311"/>
      <w:r w:rsidRPr="00CB0DA1">
        <w:rPr>
          <w:rFonts w:cs="Times New Roman"/>
          <w:szCs w:val="22"/>
        </w:rPr>
        <w:t>2</w:t>
      </w:r>
      <w:r>
        <w:rPr>
          <w:rFonts w:cs="Times New Roman"/>
          <w:szCs w:val="22"/>
        </w:rPr>
        <w:t>.4</w:t>
      </w:r>
      <w:r w:rsidRPr="00CB0DA1">
        <w:rPr>
          <w:rFonts w:cs="Times New Roman"/>
          <w:szCs w:val="22"/>
        </w:rPr>
        <w:tab/>
        <w:t>L’imprenditoria femminile in genere e agricola in Italia</w:t>
      </w:r>
      <w:bookmarkEnd w:id="9"/>
    </w:p>
    <w:p w14:paraId="741212A3" w14:textId="77777777" w:rsidR="00570BC7" w:rsidRPr="00195529" w:rsidRDefault="00570BC7" w:rsidP="00907EA1">
      <w:pPr>
        <w:rPr>
          <w:b/>
          <w:bCs/>
          <w:i/>
          <w:iCs/>
          <w:color w:val="000066"/>
          <w:lang w:bidi="en-US"/>
        </w:rPr>
      </w:pPr>
      <w:r w:rsidRPr="0072401B">
        <w:rPr>
          <w:lang w:bidi="en-US"/>
        </w:rPr>
        <w:t xml:space="preserve">Secondo quanto riportato </w:t>
      </w:r>
      <w:r w:rsidRPr="00D34D45">
        <w:rPr>
          <w:b/>
          <w:color w:val="1F4E79" w:themeColor="accent1" w:themeShade="80"/>
          <w:lang w:bidi="en-US"/>
        </w:rPr>
        <w:t>dall’Osservatorio per l’imprenditorialità femminile di Unioncamere e InfoCamere</w:t>
      </w:r>
      <w:r w:rsidRPr="0072401B">
        <w:rPr>
          <w:rStyle w:val="Rimandonotaapidipagina"/>
          <w:rFonts w:eastAsia="Calibri" w:cs="Times New Roman"/>
          <w:color w:val="000000"/>
          <w:sz w:val="20"/>
          <w:vertAlign w:val="superscript"/>
          <w:lang w:bidi="en-US"/>
        </w:rPr>
        <w:footnoteReference w:id="9"/>
      </w:r>
      <w:r>
        <w:rPr>
          <w:lang w:bidi="en-US"/>
        </w:rPr>
        <w:t>, nel 2017</w:t>
      </w:r>
      <w:r w:rsidRPr="00CB0DA1">
        <w:rPr>
          <w:lang w:bidi="en-US"/>
        </w:rPr>
        <w:t xml:space="preserve"> </w:t>
      </w:r>
      <w:r>
        <w:rPr>
          <w:lang w:bidi="en-US"/>
        </w:rPr>
        <w:t xml:space="preserve">le </w:t>
      </w:r>
      <w:r w:rsidRPr="00CB0DA1">
        <w:rPr>
          <w:lang w:bidi="en-US"/>
        </w:rPr>
        <w:t>imprese femminili iscritte al Registro delle camere di commercio</w:t>
      </w:r>
      <w:r>
        <w:rPr>
          <w:lang w:bidi="en-US"/>
        </w:rPr>
        <w:t xml:space="preserve"> risultano aumentate di 10.000 unità</w:t>
      </w:r>
      <w:r w:rsidRPr="00CB0DA1">
        <w:rPr>
          <w:lang w:bidi="en-US"/>
        </w:rPr>
        <w:t xml:space="preserve"> rispetto </w:t>
      </w:r>
      <w:r>
        <w:rPr>
          <w:lang w:bidi="en-US"/>
        </w:rPr>
        <w:t xml:space="preserve">al 2016 e quasi di </w:t>
      </w:r>
      <w:r w:rsidRPr="00CB0DA1">
        <w:rPr>
          <w:lang w:bidi="en-US"/>
        </w:rPr>
        <w:t xml:space="preserve">30mila </w:t>
      </w:r>
      <w:r>
        <w:rPr>
          <w:lang w:bidi="en-US"/>
        </w:rPr>
        <w:t>rispetto al</w:t>
      </w:r>
      <w:r w:rsidRPr="00CB0DA1">
        <w:rPr>
          <w:lang w:bidi="en-US"/>
        </w:rPr>
        <w:t xml:space="preserve"> 2014. </w:t>
      </w:r>
      <w:r>
        <w:rPr>
          <w:lang w:bidi="en-US"/>
        </w:rPr>
        <w:t>Le attività produttive a conduzione femminile sono dunque</w:t>
      </w:r>
      <w:r w:rsidRPr="00CB0DA1">
        <w:rPr>
          <w:lang w:bidi="en-US"/>
        </w:rPr>
        <w:t xml:space="preserve"> 1 milione e 331mila, </w:t>
      </w:r>
      <w:r>
        <w:rPr>
          <w:lang w:bidi="en-US"/>
        </w:rPr>
        <w:t>rappresentando il 21,86% del totale.</w:t>
      </w:r>
    </w:p>
    <w:p w14:paraId="6B976A0D" w14:textId="597288EC" w:rsidR="00570BC7" w:rsidRPr="00CC4221" w:rsidRDefault="00570BC7" w:rsidP="00907EA1">
      <w:pPr>
        <w:rPr>
          <w:lang w:bidi="en-US"/>
        </w:rPr>
      </w:pPr>
      <w:r w:rsidRPr="00CB0DA1">
        <w:rPr>
          <w:lang w:bidi="en-US"/>
        </w:rPr>
        <w:t xml:space="preserve">Le </w:t>
      </w:r>
      <w:r w:rsidRPr="00D34D45">
        <w:rPr>
          <w:b/>
          <w:color w:val="1F4E79" w:themeColor="accent1" w:themeShade="80"/>
          <w:lang w:bidi="en-US"/>
        </w:rPr>
        <w:t>società di capitali condotte da donne</w:t>
      </w:r>
      <w:r w:rsidRPr="00CB0DA1">
        <w:rPr>
          <w:lang w:bidi="en-US"/>
        </w:rPr>
        <w:t xml:space="preserve">, </w:t>
      </w:r>
      <w:r>
        <w:rPr>
          <w:lang w:bidi="en-US"/>
        </w:rPr>
        <w:t xml:space="preserve">nel 2017, </w:t>
      </w:r>
      <w:r w:rsidRPr="00CB0DA1">
        <w:rPr>
          <w:lang w:bidi="en-US"/>
        </w:rPr>
        <w:t>hanno registrato</w:t>
      </w:r>
      <w:r w:rsidRPr="00CB0DA1">
        <w:rPr>
          <w:color w:val="3B3B3D"/>
          <w:lang w:bidi="en-US"/>
        </w:rPr>
        <w:t xml:space="preserve"> </w:t>
      </w:r>
      <w:r w:rsidRPr="00CB0DA1">
        <w:rPr>
          <w:lang w:bidi="en-US"/>
        </w:rPr>
        <w:t xml:space="preserve">un incremento di quasi il 17% rispetto ai tre anni </w:t>
      </w:r>
      <w:r>
        <w:rPr>
          <w:lang w:bidi="en-US"/>
        </w:rPr>
        <w:t>p</w:t>
      </w:r>
      <w:r w:rsidRPr="00CB0DA1">
        <w:rPr>
          <w:lang w:bidi="en-US"/>
        </w:rPr>
        <w:t xml:space="preserve">recedenti. </w:t>
      </w:r>
      <w:r>
        <w:rPr>
          <w:lang w:bidi="en-US"/>
        </w:rPr>
        <w:t xml:space="preserve">Le società di persone e le imprese individuali </w:t>
      </w:r>
      <w:r w:rsidR="00907EA1">
        <w:rPr>
          <w:lang w:bidi="en-US"/>
        </w:rPr>
        <w:t xml:space="preserve">registrano invece un decremento. </w:t>
      </w:r>
      <w:r>
        <w:rPr>
          <w:lang w:bidi="en-US"/>
        </w:rPr>
        <w:t>Per quanto riguarda la distribuzione delle aziende femminili per regione, nelle prime tre posizioni troviamo tre regioni del meridione:</w:t>
      </w:r>
      <w:r w:rsidRPr="00CB0DA1">
        <w:rPr>
          <w:lang w:bidi="en-US"/>
        </w:rPr>
        <w:t xml:space="preserve"> il Molise con il 28,1%; la Basilicata con il 26,81% e l’Abruzzo con il 25,87%. </w:t>
      </w:r>
      <w:r>
        <w:rPr>
          <w:lang w:bidi="en-US"/>
        </w:rPr>
        <w:t>Nelle ultime posizioni</w:t>
      </w:r>
      <w:r w:rsidRPr="00CB0DA1">
        <w:rPr>
          <w:lang w:bidi="en-US"/>
        </w:rPr>
        <w:t>, invece, Trentino Alto Adige</w:t>
      </w:r>
      <w:r>
        <w:rPr>
          <w:lang w:bidi="en-US"/>
        </w:rPr>
        <w:t xml:space="preserve"> (con il 17,72%)</w:t>
      </w:r>
      <w:r w:rsidRPr="00CB0DA1">
        <w:rPr>
          <w:lang w:bidi="en-US"/>
        </w:rPr>
        <w:t xml:space="preserve">, Lombardia </w:t>
      </w:r>
      <w:r>
        <w:rPr>
          <w:lang w:bidi="en-US"/>
        </w:rPr>
        <w:t xml:space="preserve">(con il </w:t>
      </w:r>
      <w:r w:rsidRPr="00154963">
        <w:rPr>
          <w:lang w:bidi="en-US"/>
        </w:rPr>
        <w:t>18,54%</w:t>
      </w:r>
      <w:r>
        <w:rPr>
          <w:lang w:bidi="en-US"/>
        </w:rPr>
        <w:t>)</w:t>
      </w:r>
      <w:r w:rsidRPr="00154963">
        <w:rPr>
          <w:lang w:bidi="en-US"/>
        </w:rPr>
        <w:t xml:space="preserve"> </w:t>
      </w:r>
      <w:r w:rsidRPr="00CB0DA1">
        <w:rPr>
          <w:lang w:bidi="en-US"/>
        </w:rPr>
        <w:t xml:space="preserve">e </w:t>
      </w:r>
      <w:r>
        <w:rPr>
          <w:lang w:bidi="en-US"/>
        </w:rPr>
        <w:t>il Veneto (con il 19,83%).</w:t>
      </w:r>
      <w:r w:rsidRPr="00CB0DA1">
        <w:rPr>
          <w:lang w:bidi="en-US"/>
        </w:rPr>
        <w:t xml:space="preserve"> </w:t>
      </w:r>
      <w:r>
        <w:rPr>
          <w:lang w:bidi="en-US"/>
        </w:rPr>
        <w:t xml:space="preserve">Risultano positivi i saldi di Lazio, Campania e Sicilia, il cui saldo di 2.522 imprese femminili la porta ad essere la prima regione italiana. </w:t>
      </w:r>
    </w:p>
    <w:p w14:paraId="2C90DD4F" w14:textId="5FE67B91" w:rsidR="00570BC7" w:rsidRPr="00907EA1" w:rsidRDefault="00570BC7" w:rsidP="00907EA1">
      <w:pPr>
        <w:rPr>
          <w:b/>
          <w:bCs/>
          <w:i/>
          <w:iCs/>
          <w:lang w:bidi="en-US"/>
        </w:rPr>
      </w:pPr>
      <w:r>
        <w:rPr>
          <w:lang w:bidi="en-US"/>
        </w:rPr>
        <w:t>Per quanto riguarda</w:t>
      </w:r>
      <w:r w:rsidRPr="00CB0DA1">
        <w:rPr>
          <w:lang w:bidi="en-US"/>
        </w:rPr>
        <w:t xml:space="preserve"> le statistiche </w:t>
      </w:r>
      <w:r>
        <w:rPr>
          <w:lang w:bidi="en-US"/>
        </w:rPr>
        <w:t>sulle imprese femminili under35, Unioncamere e Infocamere esaminano</w:t>
      </w:r>
      <w:r w:rsidRPr="00CB0DA1">
        <w:rPr>
          <w:lang w:bidi="en-US"/>
        </w:rPr>
        <w:t xml:space="preserve"> le percentuali delle aziende più giovani su quelle totali. </w:t>
      </w:r>
      <w:r>
        <w:rPr>
          <w:lang w:bidi="en-US"/>
        </w:rPr>
        <w:t>Nel</w:t>
      </w:r>
      <w:r w:rsidRPr="00CB0DA1">
        <w:rPr>
          <w:lang w:bidi="en-US"/>
        </w:rPr>
        <w:t xml:space="preserve"> settore delle altre attività di servizi, le imprese under35 </w:t>
      </w:r>
      <w:r>
        <w:rPr>
          <w:lang w:bidi="en-US"/>
        </w:rPr>
        <w:t>sono</w:t>
      </w:r>
      <w:r w:rsidRPr="00CB0DA1">
        <w:rPr>
          <w:lang w:bidi="en-US"/>
        </w:rPr>
        <w:t xml:space="preserve"> il 61,78% del totale delle imprese femminili</w:t>
      </w:r>
      <w:r>
        <w:rPr>
          <w:lang w:bidi="en-US"/>
        </w:rPr>
        <w:t xml:space="preserve">; nella </w:t>
      </w:r>
      <w:r w:rsidRPr="00CB0DA1">
        <w:rPr>
          <w:lang w:bidi="en-US"/>
        </w:rPr>
        <w:t>sanità e</w:t>
      </w:r>
      <w:r w:rsidR="00FF10E0">
        <w:rPr>
          <w:lang w:bidi="en-US"/>
        </w:rPr>
        <w:t xml:space="preserve"> nell’assistenza sociale</w:t>
      </w:r>
      <w:r>
        <w:rPr>
          <w:lang w:bidi="en-US"/>
        </w:rPr>
        <w:t xml:space="preserve"> il 55,04%</w:t>
      </w:r>
      <w:r w:rsidRPr="00CB0DA1">
        <w:rPr>
          <w:lang w:bidi="en-US"/>
        </w:rPr>
        <w:t xml:space="preserve"> e </w:t>
      </w:r>
      <w:r>
        <w:rPr>
          <w:lang w:bidi="en-US"/>
        </w:rPr>
        <w:t>nell’istruzione il 46,64%</w:t>
      </w:r>
      <w:r w:rsidRPr="00CB0DA1">
        <w:rPr>
          <w:vertAlign w:val="superscript"/>
          <w:lang w:val="en-US" w:bidi="en-US"/>
        </w:rPr>
        <w:footnoteReference w:id="10"/>
      </w:r>
      <w:r w:rsidR="00FF10E0">
        <w:rPr>
          <w:lang w:bidi="en-US"/>
        </w:rPr>
        <w:t>.</w:t>
      </w:r>
    </w:p>
    <w:p w14:paraId="4C86F3C5" w14:textId="4164200D" w:rsidR="00570BC7" w:rsidRDefault="00570BC7" w:rsidP="00907EA1">
      <w:pPr>
        <w:rPr>
          <w:lang w:bidi="en-US"/>
        </w:rPr>
      </w:pPr>
      <w:r w:rsidRPr="00CB0DA1">
        <w:rPr>
          <w:lang w:bidi="en-US"/>
        </w:rPr>
        <w:t>Da quanto emerge dal grafico, la quota di donne che fanno impresa nelle varie regioni, è superiore nelle regioni del centro Sud, piuttosto che in regioni quali Lombardia e Trentino Alto Adige. In queste regioni, infatti, la quota femminile si attesta intorno al 23,4% per il Trentino e al 24,8% per la Lombardia. Virtuose risultano es</w:t>
      </w:r>
      <w:r w:rsidR="00FF10E0">
        <w:rPr>
          <w:lang w:bidi="en-US"/>
        </w:rPr>
        <w:t>sere Valle d'Aosta con il 30,2%</w:t>
      </w:r>
      <w:r w:rsidRPr="00CB0DA1">
        <w:rPr>
          <w:lang w:bidi="en-US"/>
        </w:rPr>
        <w:t>, Molise con il 29,8% e l</w:t>
      </w:r>
      <w:r w:rsidRPr="006C5654">
        <w:rPr>
          <w:b/>
          <w:color w:val="1F4E79" w:themeColor="accent1" w:themeShade="80"/>
          <w:lang w:bidi="en-US"/>
        </w:rPr>
        <w:t>'Umbria</w:t>
      </w:r>
      <w:r w:rsidR="00FF10E0">
        <w:rPr>
          <w:lang w:bidi="en-US"/>
        </w:rPr>
        <w:t xml:space="preserve"> con il </w:t>
      </w:r>
      <w:r w:rsidR="00FF10E0" w:rsidRPr="00907EA1">
        <w:rPr>
          <w:rStyle w:val="Enfasigrassetto"/>
        </w:rPr>
        <w:t>29,7%</w:t>
      </w:r>
      <w:r w:rsidR="00FF10E0">
        <w:rPr>
          <w:lang w:bidi="en-US"/>
        </w:rPr>
        <w:t>.</w:t>
      </w:r>
      <w:r w:rsidRPr="00CB0DA1">
        <w:rPr>
          <w:lang w:bidi="en-US"/>
        </w:rPr>
        <w:t xml:space="preserve"> </w:t>
      </w:r>
    </w:p>
    <w:p w14:paraId="11799B14" w14:textId="77777777" w:rsidR="00907EA1" w:rsidRPr="00CB0DA1" w:rsidRDefault="00907EA1" w:rsidP="00907EA1">
      <w:pPr>
        <w:suppressAutoHyphens/>
        <w:rPr>
          <w:rFonts w:eastAsia="Calibri" w:cs="Times New Roman"/>
          <w:b/>
          <w:bCs/>
          <w:i/>
          <w:iCs/>
          <w:color w:val="000000"/>
          <w:lang w:bidi="en-US"/>
        </w:rPr>
      </w:pPr>
      <w:r w:rsidRPr="00FF10E0">
        <w:rPr>
          <w:noProof/>
          <w:lang w:eastAsia="it-IT"/>
        </w:rPr>
        <w:drawing>
          <wp:anchor distT="0" distB="0" distL="114300" distR="114300" simplePos="0" relativeHeight="251708416" behindDoc="0" locked="0" layoutInCell="1" allowOverlap="1" wp14:anchorId="013F1574" wp14:editId="487363F9">
            <wp:simplePos x="0" y="0"/>
            <wp:positionH relativeFrom="column">
              <wp:posOffset>630581</wp:posOffset>
            </wp:positionH>
            <wp:positionV relativeFrom="paragraph">
              <wp:posOffset>180340</wp:posOffset>
            </wp:positionV>
            <wp:extent cx="4444365" cy="2910840"/>
            <wp:effectExtent l="0" t="0" r="0"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444365" cy="2910840"/>
                    </a:xfrm>
                    <a:prstGeom prst="rect">
                      <a:avLst/>
                    </a:prstGeom>
                  </pic:spPr>
                </pic:pic>
              </a:graphicData>
            </a:graphic>
            <wp14:sizeRelH relativeFrom="margin">
              <wp14:pctWidth>0</wp14:pctWidth>
            </wp14:sizeRelH>
            <wp14:sizeRelV relativeFrom="margin">
              <wp14:pctHeight>0</wp14:pctHeight>
            </wp14:sizeRelV>
          </wp:anchor>
        </w:drawing>
      </w:r>
      <w:r>
        <w:rPr>
          <w:rFonts w:eastAsia="SimSun" w:cs="Arial"/>
          <w:b/>
          <w:bCs/>
          <w:color w:val="7F7F7F" w:themeColor="text1" w:themeTint="80"/>
          <w:sz w:val="20"/>
          <w:szCs w:val="20"/>
        </w:rPr>
        <w:t>Figura 7</w:t>
      </w:r>
    </w:p>
    <w:p w14:paraId="70429EC3" w14:textId="7AA4BF36" w:rsidR="00570BC7" w:rsidRPr="00CB0DA1" w:rsidRDefault="00570BC7" w:rsidP="00570BC7">
      <w:pPr>
        <w:spacing w:before="0" w:after="0"/>
        <w:rPr>
          <w:rFonts w:eastAsia="Calibri" w:cs="Times New Roman"/>
          <w:color w:val="000000"/>
          <w:lang w:bidi="en-US"/>
        </w:rPr>
      </w:pPr>
    </w:p>
    <w:p w14:paraId="46D182A5" w14:textId="77777777" w:rsidR="00570BC7" w:rsidRPr="006C5654" w:rsidRDefault="00570BC7" w:rsidP="00570BC7">
      <w:pPr>
        <w:spacing w:before="0" w:after="0"/>
        <w:rPr>
          <w:rFonts w:eastAsia="Calibri" w:cs="Times New Roman"/>
          <w:b/>
          <w:bCs/>
          <w:i/>
          <w:iCs/>
          <w:color w:val="1F4E79" w:themeColor="accent1" w:themeShade="80"/>
          <w:lang w:bidi="en-US"/>
        </w:rPr>
      </w:pPr>
      <w:r>
        <w:rPr>
          <w:rFonts w:eastAsia="Calibri" w:cs="Times New Roman"/>
          <w:b/>
          <w:bCs/>
          <w:i/>
          <w:iCs/>
          <w:color w:val="1F4E79" w:themeColor="accent1" w:themeShade="80"/>
          <w:lang w:bidi="en-US"/>
        </w:rPr>
        <w:t>C</w:t>
      </w:r>
      <w:r w:rsidRPr="006C5654">
        <w:rPr>
          <w:rFonts w:eastAsia="Calibri" w:cs="Times New Roman"/>
          <w:b/>
          <w:bCs/>
          <w:i/>
          <w:iCs/>
          <w:color w:val="1F4E79" w:themeColor="accent1" w:themeShade="80"/>
          <w:lang w:bidi="en-US"/>
        </w:rPr>
        <w:t>onciliazione</w:t>
      </w:r>
      <w:r>
        <w:rPr>
          <w:rFonts w:eastAsia="Calibri" w:cs="Times New Roman"/>
          <w:b/>
          <w:bCs/>
          <w:i/>
          <w:iCs/>
          <w:color w:val="1F4E79" w:themeColor="accent1" w:themeShade="80"/>
          <w:lang w:bidi="en-US"/>
        </w:rPr>
        <w:t xml:space="preserve"> tra</w:t>
      </w:r>
      <w:r w:rsidRPr="006C5654">
        <w:rPr>
          <w:rFonts w:eastAsia="Calibri" w:cs="Times New Roman"/>
          <w:b/>
          <w:bCs/>
          <w:i/>
          <w:iCs/>
          <w:color w:val="1F4E79" w:themeColor="accent1" w:themeShade="80"/>
          <w:lang w:bidi="en-US"/>
        </w:rPr>
        <w:t xml:space="preserve"> lavoro e vita privata</w:t>
      </w:r>
    </w:p>
    <w:p w14:paraId="6E8DCBAE" w14:textId="4AE063B7" w:rsidR="00570BC7" w:rsidRDefault="00570BC7" w:rsidP="00570BC7">
      <w:pPr>
        <w:spacing w:before="0" w:after="0"/>
        <w:rPr>
          <w:rFonts w:eastAsia="Calibri" w:cs="Times New Roman"/>
          <w:color w:val="000000"/>
          <w:lang w:bidi="en-US"/>
        </w:rPr>
      </w:pPr>
      <w:r w:rsidRPr="006C5654">
        <w:rPr>
          <w:rFonts w:eastAsia="Calibri" w:cs="Times New Roman"/>
          <w:iCs/>
          <w:color w:val="000000"/>
          <w:lang w:bidi="en-US"/>
        </w:rPr>
        <w:t>Secondo l’</w:t>
      </w:r>
      <w:r>
        <w:rPr>
          <w:rFonts w:eastAsia="Calibri" w:cs="Times New Roman"/>
          <w:iCs/>
          <w:color w:val="000000"/>
          <w:lang w:bidi="en-US"/>
        </w:rPr>
        <w:t>ISTAT, l</w:t>
      </w:r>
      <w:r w:rsidRPr="00CB0DA1">
        <w:rPr>
          <w:rFonts w:eastAsia="Calibri" w:cs="Times New Roman"/>
          <w:color w:val="000000"/>
          <w:lang w:bidi="en-US"/>
        </w:rPr>
        <w:t xml:space="preserve">a percentuale del </w:t>
      </w:r>
      <w:r w:rsidRPr="006C5654">
        <w:rPr>
          <w:rFonts w:eastAsia="Calibri" w:cs="Times New Roman"/>
          <w:b/>
          <w:color w:val="1F4E79" w:themeColor="accent1" w:themeShade="80"/>
          <w:lang w:bidi="en-US"/>
        </w:rPr>
        <w:t>carico di lavoro familiare</w:t>
      </w:r>
      <w:r w:rsidRPr="006C5654">
        <w:rPr>
          <w:rFonts w:eastAsia="Calibri" w:cs="Times New Roman"/>
          <w:color w:val="1F4E79" w:themeColor="accent1" w:themeShade="80"/>
          <w:lang w:bidi="en-US"/>
        </w:rPr>
        <w:t xml:space="preserve"> </w:t>
      </w:r>
      <w:r w:rsidRPr="00CB0DA1">
        <w:rPr>
          <w:rFonts w:eastAsia="Calibri" w:cs="Times New Roman"/>
          <w:color w:val="000000"/>
          <w:lang w:bidi="en-US"/>
        </w:rPr>
        <w:t>svolto dalla donna (25-44 anni) sul totale del carico di lavoro familiare della coppia</w:t>
      </w:r>
      <w:r>
        <w:rPr>
          <w:rFonts w:eastAsia="Calibri" w:cs="Times New Roman"/>
          <w:color w:val="000000"/>
          <w:lang w:bidi="en-US"/>
        </w:rPr>
        <w:t xml:space="preserve"> di lavoratori </w:t>
      </w:r>
      <w:r w:rsidRPr="00CB0DA1">
        <w:rPr>
          <w:rFonts w:eastAsia="Calibri" w:cs="Times New Roman"/>
          <w:color w:val="000000"/>
          <w:lang w:bidi="en-US"/>
        </w:rPr>
        <w:t>d</w:t>
      </w:r>
      <w:r>
        <w:rPr>
          <w:rFonts w:eastAsia="Calibri" w:cs="Times New Roman"/>
          <w:color w:val="000000"/>
          <w:lang w:bidi="en-US"/>
        </w:rPr>
        <w:t>ecresce</w:t>
      </w:r>
      <w:r w:rsidRPr="00CB0DA1">
        <w:rPr>
          <w:rFonts w:eastAsia="Calibri" w:cs="Times New Roman"/>
          <w:color w:val="000000"/>
          <w:lang w:bidi="en-US"/>
        </w:rPr>
        <w:t xml:space="preserve"> dal 71,9% del 2008-2009 al 67% nel 2013-2014</w:t>
      </w:r>
      <w:r w:rsidRPr="006C5654">
        <w:rPr>
          <w:rStyle w:val="Rimandonotaapidipagina"/>
          <w:rFonts w:eastAsia="Calibri" w:cs="Times New Roman"/>
          <w:color w:val="000000"/>
          <w:vertAlign w:val="superscript"/>
          <w:lang w:bidi="en-US"/>
        </w:rPr>
        <w:footnoteReference w:id="11"/>
      </w:r>
      <w:r w:rsidR="000B3BAD">
        <w:rPr>
          <w:rFonts w:eastAsia="Calibri" w:cs="Times New Roman"/>
          <w:color w:val="000000"/>
          <w:lang w:bidi="en-US"/>
        </w:rPr>
        <w:t>.</w:t>
      </w:r>
      <w:r>
        <w:rPr>
          <w:rFonts w:eastAsia="Calibri" w:cs="Times New Roman"/>
          <w:color w:val="000000"/>
          <w:lang w:bidi="en-US"/>
        </w:rPr>
        <w:t xml:space="preserve"> Più</w:t>
      </w:r>
      <w:r w:rsidRPr="00CB0DA1">
        <w:rPr>
          <w:rFonts w:eastAsia="Calibri" w:cs="Times New Roman"/>
          <w:color w:val="000000"/>
          <w:lang w:bidi="en-US"/>
        </w:rPr>
        <w:t xml:space="preserve"> della metà delle donne occupate (54,1%) svolge oltre 60 ore settimanali di </w:t>
      </w:r>
      <w:r>
        <w:rPr>
          <w:rFonts w:eastAsia="Calibri" w:cs="Times New Roman"/>
          <w:color w:val="000000"/>
          <w:lang w:bidi="en-US"/>
        </w:rPr>
        <w:t>lavoro retribuito e/o familiare contro il 46,6% gli uomini</w:t>
      </w:r>
      <w:r w:rsidRPr="00CB0DA1">
        <w:rPr>
          <w:rFonts w:eastAsia="Calibri" w:cs="Times New Roman"/>
          <w:color w:val="000000"/>
          <w:lang w:bidi="en-US"/>
        </w:rPr>
        <w:t xml:space="preserve">. Il rapporto tra il tasso di occupazione delle donne di 25-49 anni con figli in età prescolare e il tasso di quelle senza figli, nel 2016 è diminuito di 1,8 punti: su 100 occupate senza figli le madri lavoratrici con bambini piccoli sono circa 76. Il </w:t>
      </w:r>
      <w:r w:rsidRPr="006C5654">
        <w:rPr>
          <w:rFonts w:eastAsia="Calibri" w:cs="Times New Roman"/>
          <w:b/>
          <w:color w:val="1F4E79" w:themeColor="accent1" w:themeShade="80"/>
          <w:lang w:bidi="en-US"/>
        </w:rPr>
        <w:t>livello di istruzione</w:t>
      </w:r>
      <w:r w:rsidRPr="00CB0DA1">
        <w:rPr>
          <w:rFonts w:eastAsia="Calibri" w:cs="Times New Roman"/>
          <w:color w:val="000000"/>
          <w:lang w:bidi="en-US"/>
        </w:rPr>
        <w:t xml:space="preserve"> ha </w:t>
      </w:r>
      <w:r>
        <w:rPr>
          <w:rFonts w:eastAsia="Calibri" w:cs="Times New Roman"/>
          <w:color w:val="000000"/>
          <w:lang w:bidi="en-US"/>
        </w:rPr>
        <w:t>un ruolo decisivo</w:t>
      </w:r>
      <w:r w:rsidRPr="00CB0DA1">
        <w:rPr>
          <w:rFonts w:eastAsia="Calibri" w:cs="Times New Roman"/>
          <w:color w:val="000000"/>
          <w:lang w:bidi="en-US"/>
        </w:rPr>
        <w:t xml:space="preserve"> nella mancata partecipazione delle donn</w:t>
      </w:r>
      <w:r>
        <w:rPr>
          <w:rFonts w:eastAsia="Calibri" w:cs="Times New Roman"/>
          <w:color w:val="000000"/>
          <w:lang w:bidi="en-US"/>
        </w:rPr>
        <w:t xml:space="preserve">e con responsabilità familiari, il </w:t>
      </w:r>
      <w:r w:rsidRPr="00B27E33">
        <w:rPr>
          <w:rFonts w:eastAsia="Calibri" w:cs="Times New Roman"/>
          <w:b/>
          <w:color w:val="1F4E79" w:themeColor="accent1" w:themeShade="80"/>
          <w:lang w:bidi="en-US"/>
        </w:rPr>
        <w:t>divario rispetto alle donne senza figli è infatti inversamente proporzionale al crescere del titolo di studio</w:t>
      </w:r>
      <w:r>
        <w:rPr>
          <w:rFonts w:eastAsia="Calibri" w:cs="Times New Roman"/>
          <w:color w:val="000000"/>
          <w:lang w:bidi="en-US"/>
        </w:rPr>
        <w:t xml:space="preserve"> (</w:t>
      </w:r>
      <w:r w:rsidRPr="00CB0DA1">
        <w:rPr>
          <w:rFonts w:eastAsia="Calibri" w:cs="Times New Roman"/>
          <w:color w:val="000000"/>
          <w:lang w:bidi="en-US"/>
        </w:rPr>
        <w:t xml:space="preserve">55,6% per le donne con </w:t>
      </w:r>
      <w:r>
        <w:rPr>
          <w:rFonts w:eastAsia="Calibri" w:cs="Times New Roman"/>
          <w:color w:val="000000"/>
          <w:lang w:bidi="en-US"/>
        </w:rPr>
        <w:t xml:space="preserve">al massimo la licenza media, </w:t>
      </w:r>
      <w:r w:rsidRPr="00CB0DA1">
        <w:rPr>
          <w:rFonts w:eastAsia="Calibri" w:cs="Times New Roman"/>
          <w:color w:val="000000"/>
          <w:lang w:bidi="en-US"/>
        </w:rPr>
        <w:t>76,3% per le diplomate, 90,1% per le laureate</w:t>
      </w:r>
      <w:r>
        <w:rPr>
          <w:rFonts w:eastAsia="Calibri" w:cs="Times New Roman"/>
          <w:color w:val="000000"/>
          <w:lang w:bidi="en-US"/>
        </w:rPr>
        <w:t>)</w:t>
      </w:r>
      <w:r w:rsidRPr="00CB0DA1">
        <w:rPr>
          <w:rFonts w:eastAsia="Calibri" w:cs="Times New Roman"/>
          <w:color w:val="000000"/>
          <w:lang w:bidi="en-US"/>
        </w:rPr>
        <w:t xml:space="preserve">. </w:t>
      </w:r>
      <w:r>
        <w:rPr>
          <w:rFonts w:eastAsia="Calibri" w:cs="Times New Roman"/>
          <w:color w:val="000000"/>
          <w:lang w:bidi="en-US"/>
        </w:rPr>
        <w:t>I</w:t>
      </w:r>
      <w:r w:rsidRPr="00CB0DA1">
        <w:rPr>
          <w:rFonts w:eastAsia="Calibri" w:cs="Times New Roman"/>
          <w:color w:val="000000"/>
          <w:lang w:bidi="en-US"/>
        </w:rPr>
        <w:t>l tasso di occupazione delle donne con un titolo di studio</w:t>
      </w:r>
      <w:r>
        <w:rPr>
          <w:rFonts w:eastAsia="Calibri" w:cs="Times New Roman"/>
          <w:color w:val="000000"/>
          <w:lang w:bidi="en-US"/>
        </w:rPr>
        <w:t xml:space="preserve"> elevato</w:t>
      </w:r>
      <w:r w:rsidRPr="00CB0DA1">
        <w:rPr>
          <w:rFonts w:eastAsia="Calibri" w:cs="Times New Roman"/>
          <w:color w:val="000000"/>
          <w:lang w:bidi="en-US"/>
        </w:rPr>
        <w:t xml:space="preserve"> è superiore al 70% indipendentemente dal ruolo in famiglia</w:t>
      </w:r>
      <w:r>
        <w:rPr>
          <w:rFonts w:eastAsia="Calibri" w:cs="Times New Roman"/>
          <w:color w:val="000000"/>
          <w:lang w:bidi="en-US"/>
        </w:rPr>
        <w:t>. Risulta dunque una situazione molto variegata,</w:t>
      </w:r>
      <w:r w:rsidRPr="00CB0DA1">
        <w:rPr>
          <w:rFonts w:eastAsia="Calibri" w:cs="Times New Roman"/>
          <w:color w:val="000000"/>
          <w:lang w:bidi="en-US"/>
        </w:rPr>
        <w:t xml:space="preserve"> con il tasso 25-49 anni che varia da un minimo di 21,9% delle </w:t>
      </w:r>
      <w:r>
        <w:rPr>
          <w:rFonts w:eastAsia="Calibri" w:cs="Times New Roman"/>
          <w:color w:val="000000"/>
          <w:lang w:bidi="en-US"/>
        </w:rPr>
        <w:t>donne con figli delle regioni del Sud Italia</w:t>
      </w:r>
      <w:r w:rsidRPr="00CB0DA1">
        <w:rPr>
          <w:rFonts w:eastAsia="Calibri" w:cs="Times New Roman"/>
          <w:color w:val="000000"/>
          <w:lang w:bidi="en-US"/>
        </w:rPr>
        <w:t xml:space="preserve"> con basso titolo di studio ad un massimo di 92,8% delle donne laureate che vivono da sole</w:t>
      </w:r>
      <w:r>
        <w:rPr>
          <w:rFonts w:eastAsia="Calibri" w:cs="Times New Roman"/>
          <w:color w:val="000000"/>
          <w:lang w:bidi="en-US"/>
        </w:rPr>
        <w:t xml:space="preserve"> nelle regioni del Centro Italia.</w:t>
      </w:r>
      <w:r w:rsidRPr="00CB0DA1">
        <w:rPr>
          <w:rFonts w:eastAsia="Calibri" w:cs="Times New Roman"/>
          <w:color w:val="000000"/>
          <w:vertAlign w:val="superscript"/>
          <w:lang w:val="en-US" w:bidi="en-US"/>
        </w:rPr>
        <w:footnoteReference w:id="12"/>
      </w:r>
    </w:p>
    <w:p w14:paraId="50CBC6F3" w14:textId="77777777" w:rsidR="00570BC7" w:rsidRPr="00CB0DA1" w:rsidRDefault="00570BC7" w:rsidP="00570BC7">
      <w:pPr>
        <w:spacing w:before="0" w:after="0"/>
        <w:rPr>
          <w:rFonts w:eastAsia="Calibri" w:cs="Times New Roman"/>
          <w:color w:val="000066"/>
          <w:lang w:bidi="en-US"/>
        </w:rPr>
      </w:pPr>
    </w:p>
    <w:p w14:paraId="349C321E" w14:textId="77777777" w:rsidR="00570BC7" w:rsidRDefault="00570BC7" w:rsidP="00570BC7">
      <w:pPr>
        <w:spacing w:before="0" w:after="160"/>
        <w:rPr>
          <w:rFonts w:eastAsia="Calibri" w:cs="Times New Roman"/>
          <w:iCs/>
          <w:color w:val="1A1A1A"/>
          <w:lang w:bidi="en-US"/>
        </w:rPr>
      </w:pPr>
      <w:r>
        <w:rPr>
          <w:rFonts w:eastAsia="Calibri" w:cs="Times New Roman"/>
          <w:iCs/>
          <w:color w:val="1A1A1A"/>
          <w:lang w:bidi="en-US"/>
        </w:rPr>
        <w:t>Il</w:t>
      </w:r>
      <w:r w:rsidRPr="00B27E33">
        <w:rPr>
          <w:rFonts w:eastAsia="Calibri" w:cs="Times New Roman"/>
          <w:b/>
          <w:iCs/>
          <w:color w:val="1F4E79" w:themeColor="accent1" w:themeShade="80"/>
          <w:lang w:bidi="en-US"/>
        </w:rPr>
        <w:t xml:space="preserve"> Rapporto ImpresaInGenere</w:t>
      </w:r>
      <w:r w:rsidRPr="0007514E">
        <w:rPr>
          <w:rFonts w:eastAsia="Calibri" w:cs="Times New Roman"/>
          <w:iCs/>
          <w:color w:val="1A1A1A"/>
          <w:lang w:bidi="en-US"/>
        </w:rPr>
        <w:t xml:space="preserve">, realizzato da Unioncamere </w:t>
      </w:r>
      <w:r w:rsidRPr="00CB0DA1">
        <w:rPr>
          <w:rFonts w:eastAsia="Calibri" w:cs="Times New Roman"/>
          <w:iCs/>
          <w:color w:val="1A1A1A"/>
          <w:lang w:bidi="en-US"/>
        </w:rPr>
        <w:t>In Italia,</w:t>
      </w:r>
      <w:r>
        <w:rPr>
          <w:rFonts w:eastAsia="Calibri" w:cs="Times New Roman"/>
          <w:iCs/>
          <w:color w:val="1A1A1A"/>
          <w:lang w:bidi="en-US"/>
        </w:rPr>
        <w:t xml:space="preserve"> rivela che</w:t>
      </w:r>
      <w:r w:rsidRPr="00CB0DA1">
        <w:rPr>
          <w:rFonts w:eastAsia="Calibri" w:cs="Times New Roman"/>
          <w:iCs/>
          <w:color w:val="1A1A1A"/>
          <w:lang w:bidi="en-US"/>
        </w:rPr>
        <w:t xml:space="preserve"> il 9,3% delle aziende c</w:t>
      </w:r>
      <w:r>
        <w:rPr>
          <w:rFonts w:eastAsia="Calibri" w:cs="Times New Roman"/>
          <w:iCs/>
          <w:color w:val="1A1A1A"/>
          <w:lang w:bidi="en-US"/>
        </w:rPr>
        <w:t>ondotte da una donna (i.e.</w:t>
      </w:r>
      <w:r w:rsidRPr="00CB0DA1">
        <w:rPr>
          <w:rFonts w:eastAsia="Calibri" w:cs="Times New Roman"/>
          <w:iCs/>
          <w:color w:val="1A1A1A"/>
          <w:lang w:bidi="en-US"/>
        </w:rPr>
        <w:t xml:space="preserve"> 121 mila unità)</w:t>
      </w:r>
      <w:r>
        <w:rPr>
          <w:rFonts w:eastAsia="Calibri" w:cs="Times New Roman"/>
          <w:iCs/>
          <w:color w:val="1A1A1A"/>
          <w:lang w:bidi="en-US"/>
        </w:rPr>
        <w:t xml:space="preserve"> è straniero, c</w:t>
      </w:r>
      <w:r w:rsidRPr="00CB0DA1">
        <w:rPr>
          <w:rFonts w:eastAsia="Calibri" w:cs="Times New Roman"/>
          <w:iCs/>
          <w:color w:val="1A1A1A"/>
          <w:lang w:bidi="en-US"/>
        </w:rPr>
        <w:t xml:space="preserve">ontro una percentuale dell’8,5% tra quelle maschili. </w:t>
      </w:r>
      <w:r>
        <w:rPr>
          <w:rFonts w:eastAsia="Calibri" w:cs="Times New Roman"/>
          <w:iCs/>
          <w:color w:val="1A1A1A"/>
          <w:lang w:bidi="en-US"/>
        </w:rPr>
        <w:t xml:space="preserve">Le </w:t>
      </w:r>
      <w:r w:rsidRPr="00CB0DA1">
        <w:rPr>
          <w:rFonts w:eastAsia="Calibri" w:cs="Times New Roman"/>
          <w:iCs/>
          <w:color w:val="1A1A1A"/>
          <w:lang w:bidi="en-US"/>
        </w:rPr>
        <w:t>i</w:t>
      </w:r>
      <w:r>
        <w:rPr>
          <w:rFonts w:eastAsia="Calibri" w:cs="Times New Roman"/>
          <w:iCs/>
          <w:color w:val="1A1A1A"/>
          <w:lang w:bidi="en-US"/>
        </w:rPr>
        <w:t xml:space="preserve">mprenditrici immigrate sono maggiormente attive nel settore della </w:t>
      </w:r>
      <w:r w:rsidRPr="00CB0DA1">
        <w:rPr>
          <w:rFonts w:eastAsia="Calibri" w:cs="Times New Roman"/>
          <w:iCs/>
          <w:color w:val="1A1A1A"/>
          <w:lang w:bidi="en-US"/>
        </w:rPr>
        <w:t xml:space="preserve">moda (quasi 30 imprese su 100, fra quelle femminili, sono straniere, circa 10mila in valori assoluti). </w:t>
      </w:r>
      <w:r>
        <w:rPr>
          <w:rFonts w:eastAsia="Calibri" w:cs="Times New Roman"/>
          <w:iCs/>
          <w:color w:val="1A1A1A"/>
          <w:lang w:bidi="en-US"/>
        </w:rPr>
        <w:t>In Italia, q</w:t>
      </w:r>
      <w:r w:rsidRPr="00CB0DA1">
        <w:rPr>
          <w:rFonts w:eastAsia="Calibri" w:cs="Times New Roman"/>
          <w:iCs/>
          <w:color w:val="1A1A1A"/>
          <w:lang w:bidi="en-US"/>
        </w:rPr>
        <w:t xml:space="preserve">uasi 14 imprese femminili su 100 sono guidate da </w:t>
      </w:r>
      <w:r w:rsidRPr="00B27E33">
        <w:rPr>
          <w:rFonts w:eastAsia="Calibri" w:cs="Times New Roman"/>
          <w:b/>
          <w:iCs/>
          <w:color w:val="1A1A1A"/>
          <w:lang w:bidi="en-US"/>
        </w:rPr>
        <w:t>under 35</w:t>
      </w:r>
      <w:r w:rsidRPr="00CB0DA1">
        <w:rPr>
          <w:rFonts w:eastAsia="Calibri" w:cs="Times New Roman"/>
          <w:iCs/>
          <w:color w:val="1A1A1A"/>
          <w:lang w:bidi="en-US"/>
        </w:rPr>
        <w:t xml:space="preserve">, </w:t>
      </w:r>
      <w:r>
        <w:rPr>
          <w:rFonts w:eastAsia="Calibri" w:cs="Times New Roman"/>
          <w:iCs/>
          <w:color w:val="1A1A1A"/>
          <w:lang w:bidi="en-US"/>
        </w:rPr>
        <w:t>(solo</w:t>
      </w:r>
      <w:r w:rsidRPr="00CB0DA1">
        <w:rPr>
          <w:rFonts w:eastAsia="Calibri" w:cs="Times New Roman"/>
          <w:iCs/>
          <w:color w:val="1A1A1A"/>
          <w:lang w:bidi="en-US"/>
        </w:rPr>
        <w:t xml:space="preserve"> 10 </w:t>
      </w:r>
      <w:r>
        <w:rPr>
          <w:rFonts w:eastAsia="Calibri" w:cs="Times New Roman"/>
          <w:iCs/>
          <w:color w:val="1A1A1A"/>
          <w:lang w:bidi="en-US"/>
        </w:rPr>
        <w:t xml:space="preserve">su 100 tra le imprese maschili). Le imprese femminili sono anche </w:t>
      </w:r>
      <w:r w:rsidRPr="00B27E33">
        <w:rPr>
          <w:rFonts w:eastAsia="Calibri" w:cs="Times New Roman"/>
          <w:b/>
          <w:iCs/>
          <w:color w:val="1F4E79" w:themeColor="accent1" w:themeShade="80"/>
          <w:lang w:bidi="en-US"/>
        </w:rPr>
        <w:t>più dinamiche</w:t>
      </w:r>
      <w:r w:rsidRPr="00B27E33">
        <w:rPr>
          <w:rFonts w:eastAsia="Calibri" w:cs="Times New Roman"/>
          <w:iCs/>
          <w:color w:val="1F4E79" w:themeColor="accent1" w:themeShade="80"/>
          <w:lang w:bidi="en-US"/>
        </w:rPr>
        <w:t xml:space="preserve"> </w:t>
      </w:r>
      <w:r>
        <w:rPr>
          <w:rFonts w:eastAsia="Calibri" w:cs="Times New Roman"/>
          <w:iCs/>
          <w:color w:val="1A1A1A"/>
          <w:lang w:bidi="en-US"/>
        </w:rPr>
        <w:t xml:space="preserve">con un tasso di crescita del </w:t>
      </w:r>
      <w:r w:rsidRPr="00CB0DA1">
        <w:rPr>
          <w:rFonts w:eastAsia="Calibri" w:cs="Times New Roman"/>
          <w:iCs/>
          <w:color w:val="1A1A1A"/>
          <w:lang w:bidi="en-US"/>
        </w:rPr>
        <w:t xml:space="preserve">+3,1% tra il 2010 e il 2015 </w:t>
      </w:r>
      <w:r>
        <w:rPr>
          <w:rFonts w:eastAsia="Calibri" w:cs="Times New Roman"/>
          <w:iCs/>
          <w:color w:val="1A1A1A"/>
          <w:lang w:bidi="en-US"/>
        </w:rPr>
        <w:t>(</w:t>
      </w:r>
      <w:r w:rsidRPr="00CB0DA1">
        <w:rPr>
          <w:rFonts w:eastAsia="Calibri" w:cs="Times New Roman"/>
          <w:iCs/>
          <w:color w:val="1A1A1A"/>
          <w:lang w:bidi="en-US"/>
        </w:rPr>
        <w:t>+0,5% degli impren</w:t>
      </w:r>
      <w:r>
        <w:rPr>
          <w:rFonts w:eastAsia="Calibri" w:cs="Times New Roman"/>
          <w:iCs/>
          <w:color w:val="1A1A1A"/>
          <w:lang w:bidi="en-US"/>
        </w:rPr>
        <w:t xml:space="preserve">ditori uomini) e </w:t>
      </w:r>
      <w:r w:rsidRPr="00B27E33">
        <w:rPr>
          <w:rFonts w:eastAsia="Calibri" w:cs="Times New Roman"/>
          <w:b/>
          <w:iCs/>
          <w:color w:val="1F4E79" w:themeColor="accent1" w:themeShade="80"/>
          <w:lang w:bidi="en-US"/>
        </w:rPr>
        <w:t>più innovative</w:t>
      </w:r>
      <w:r>
        <w:rPr>
          <w:rFonts w:eastAsia="Calibri" w:cs="Times New Roman"/>
          <w:iCs/>
          <w:color w:val="1A1A1A"/>
          <w:lang w:bidi="en-US"/>
        </w:rPr>
        <w:t>, con un aumento del 9,5% contro il +3% del totale di imprese legate al mondo digitale nel 2015.</w:t>
      </w:r>
      <w:r w:rsidRPr="00CB0DA1">
        <w:rPr>
          <w:rFonts w:eastAsia="Calibri" w:cs="Times New Roman"/>
          <w:i/>
          <w:iCs/>
          <w:color w:val="000066"/>
          <w:vertAlign w:val="superscript"/>
          <w:lang w:val="en-US" w:bidi="en-US"/>
        </w:rPr>
        <w:footnoteReference w:id="13"/>
      </w:r>
    </w:p>
    <w:p w14:paraId="673B7A91" w14:textId="699901A0" w:rsidR="00570BC7" w:rsidRPr="00B27E33" w:rsidRDefault="00570BC7" w:rsidP="00570BC7">
      <w:pPr>
        <w:spacing w:before="0" w:after="160"/>
        <w:rPr>
          <w:rFonts w:eastAsia="Calibri" w:cs="Times New Roman"/>
          <w:b/>
          <w:bCs/>
          <w:i/>
          <w:iCs/>
          <w:color w:val="000000"/>
          <w:lang w:bidi="en-US"/>
        </w:rPr>
      </w:pPr>
      <w:r>
        <w:rPr>
          <w:rFonts w:eastAsia="Times New Roman" w:cs="Times New Roman"/>
          <w:lang w:bidi="en-US"/>
        </w:rPr>
        <w:t>In generale, i dati Unioncamere mostrano che nel</w:t>
      </w:r>
      <w:r w:rsidR="00FF10E0">
        <w:rPr>
          <w:rFonts w:eastAsia="Times New Roman" w:cs="Times New Roman"/>
          <w:lang w:bidi="en-US"/>
        </w:rPr>
        <w:t xml:space="preserve"> M</w:t>
      </w:r>
      <w:r w:rsidR="00A31BDF">
        <w:rPr>
          <w:rFonts w:eastAsia="Times New Roman" w:cs="Times New Roman"/>
          <w:lang w:bidi="en-US"/>
        </w:rPr>
        <w:t>eri</w:t>
      </w:r>
      <w:r>
        <w:rPr>
          <w:rFonts w:eastAsia="Times New Roman" w:cs="Times New Roman"/>
          <w:lang w:bidi="en-US"/>
        </w:rPr>
        <w:t>dione, l</w:t>
      </w:r>
      <w:r w:rsidRPr="00CB0DA1">
        <w:rPr>
          <w:rFonts w:eastAsia="Times New Roman" w:cs="Times New Roman"/>
          <w:lang w:bidi="en-US"/>
        </w:rPr>
        <w:t>'</w:t>
      </w:r>
      <w:r w:rsidRPr="002A1D67">
        <w:rPr>
          <w:rFonts w:eastAsia="Times New Roman" w:cs="Times New Roman"/>
          <w:b/>
          <w:color w:val="1F4E79" w:themeColor="accent1" w:themeShade="80"/>
          <w:lang w:bidi="en-US"/>
        </w:rPr>
        <w:t>incidenza delle imprese agricole femminili</w:t>
      </w:r>
      <w:r w:rsidRPr="00CB0DA1">
        <w:rPr>
          <w:rFonts w:eastAsia="Times New Roman" w:cs="Times New Roman"/>
          <w:lang w:bidi="en-US"/>
        </w:rPr>
        <w:t xml:space="preserve"> sul totale </w:t>
      </w:r>
      <w:r w:rsidRPr="00D6585A">
        <w:rPr>
          <w:rFonts w:eastAsia="Times New Roman" w:cs="Times New Roman"/>
          <w:color w:val="FF0000"/>
          <w:lang w:bidi="en-US"/>
        </w:rPr>
        <w:t xml:space="preserve">delle </w:t>
      </w:r>
      <w:r w:rsidRPr="00D6585A">
        <w:rPr>
          <w:rFonts w:eastAsia="Times New Roman" w:cs="Times New Roman"/>
          <w:b/>
          <w:color w:val="FF0000"/>
          <w:lang w:bidi="en-US"/>
        </w:rPr>
        <w:t>imprese agricole femminili</w:t>
      </w:r>
      <w:r w:rsidRPr="00D6585A">
        <w:rPr>
          <w:rFonts w:eastAsia="Times New Roman" w:cs="Times New Roman"/>
          <w:color w:val="FF0000"/>
          <w:lang w:bidi="en-US"/>
        </w:rPr>
        <w:t xml:space="preserve"> </w:t>
      </w:r>
      <w:r w:rsidRPr="00CB0DA1">
        <w:rPr>
          <w:rFonts w:eastAsia="Times New Roman" w:cs="Times New Roman"/>
          <w:lang w:bidi="en-US"/>
        </w:rPr>
        <w:t xml:space="preserve">mostra livelli generalmente più alti, con il picco della Basilicata in cui tale peso supera il 40% e con </w:t>
      </w:r>
      <w:r>
        <w:rPr>
          <w:rFonts w:eastAsia="Times New Roman" w:cs="Times New Roman"/>
          <w:lang w:bidi="en-US"/>
        </w:rPr>
        <w:t>i</w:t>
      </w:r>
      <w:r w:rsidRPr="00CB0DA1">
        <w:rPr>
          <w:rFonts w:eastAsia="Times New Roman" w:cs="Times New Roman"/>
          <w:lang w:bidi="en-US"/>
        </w:rPr>
        <w:t xml:space="preserve">l Molise, che </w:t>
      </w:r>
      <w:r>
        <w:rPr>
          <w:rFonts w:eastAsia="Times New Roman" w:cs="Times New Roman"/>
          <w:lang w:bidi="en-US"/>
        </w:rPr>
        <w:t>registra</w:t>
      </w:r>
      <w:r w:rsidRPr="00CB0DA1">
        <w:rPr>
          <w:rFonts w:eastAsia="Times New Roman" w:cs="Times New Roman"/>
          <w:lang w:bidi="en-US"/>
        </w:rPr>
        <w:t xml:space="preserve"> una percentuale superiore al 39% di imprese femminili in agricoltura rispetto a quelle (femminili) complessive.</w:t>
      </w:r>
      <w:r>
        <w:rPr>
          <w:rFonts w:eastAsia="Times New Roman" w:cs="Times New Roman"/>
          <w:lang w:bidi="en-US"/>
        </w:rPr>
        <w:t xml:space="preserve"> l’</w:t>
      </w:r>
      <w:r w:rsidRPr="002A1D67">
        <w:rPr>
          <w:rFonts w:eastAsia="Times New Roman" w:cs="Times New Roman"/>
          <w:b/>
          <w:color w:val="1F4E79" w:themeColor="accent1" w:themeShade="80"/>
          <w:lang w:bidi="en-US"/>
        </w:rPr>
        <w:t>Umbria</w:t>
      </w:r>
      <w:r>
        <w:rPr>
          <w:rFonts w:eastAsia="Times New Roman" w:cs="Times New Roman"/>
          <w:lang w:bidi="en-US"/>
        </w:rPr>
        <w:t xml:space="preserve"> si attesta su </w:t>
      </w:r>
      <w:r w:rsidRPr="002A1D67">
        <w:rPr>
          <w:rFonts w:eastAsia="Times New Roman" w:cs="Times New Roman"/>
          <w:b/>
          <w:color w:val="1F4E79" w:themeColor="accent1" w:themeShade="80"/>
          <w:lang w:bidi="en-US"/>
        </w:rPr>
        <w:t>valori intermedi</w:t>
      </w:r>
      <w:r>
        <w:rPr>
          <w:rFonts w:eastAsia="Times New Roman" w:cs="Times New Roman"/>
          <w:lang w:bidi="en-US"/>
        </w:rPr>
        <w:t>, con una percentuale del 2,6% sul totale delle imprese e del 24,20% sul totale dei settori.</w:t>
      </w:r>
    </w:p>
    <w:p w14:paraId="6FDA0C6D" w14:textId="77777777" w:rsidR="00570BC7" w:rsidRPr="00CB0DA1" w:rsidRDefault="00570BC7" w:rsidP="00570BC7">
      <w:pPr>
        <w:spacing w:before="0" w:after="160"/>
        <w:ind w:left="100"/>
        <w:jc w:val="left"/>
        <w:rPr>
          <w:rFonts w:eastAsia="Times New Roman" w:cs="Times New Roman"/>
          <w:i/>
          <w:iCs/>
          <w:lang w:bidi="en-US"/>
        </w:rPr>
      </w:pPr>
      <w:r w:rsidRPr="00CB0DA1">
        <w:rPr>
          <w:rFonts w:eastAsia="Calibri" w:cs="Times New Roman"/>
          <w:noProof/>
          <w:lang w:eastAsia="it-IT"/>
        </w:rPr>
        <w:lastRenderedPageBreak/>
        <w:drawing>
          <wp:anchor distT="0" distB="0" distL="0" distR="0" simplePos="0" relativeHeight="251697152" behindDoc="0" locked="0" layoutInCell="1" allowOverlap="1" wp14:anchorId="0611E971" wp14:editId="41D81894">
            <wp:simplePos x="0" y="0"/>
            <wp:positionH relativeFrom="column">
              <wp:posOffset>-140056</wp:posOffset>
            </wp:positionH>
            <wp:positionV relativeFrom="paragraph">
              <wp:posOffset>104775</wp:posOffset>
            </wp:positionV>
            <wp:extent cx="6056630" cy="4159885"/>
            <wp:effectExtent l="0" t="0" r="1270" b="0"/>
            <wp:wrapTopAndBottom/>
            <wp:docPr id="85" name="Immag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agine10"/>
                    <pic:cNvPicPr>
                      <a:picLocks noChangeAspect="1" noChangeArrowheads="1"/>
                    </pic:cNvPicPr>
                  </pic:nvPicPr>
                  <pic:blipFill>
                    <a:blip r:embed="rId26"/>
                    <a:stretch>
                      <a:fillRect/>
                    </a:stretch>
                  </pic:blipFill>
                  <pic:spPr bwMode="auto">
                    <a:xfrm>
                      <a:off x="0" y="0"/>
                      <a:ext cx="6056630" cy="4159885"/>
                    </a:xfrm>
                    <a:prstGeom prst="rect">
                      <a:avLst/>
                    </a:prstGeom>
                  </pic:spPr>
                </pic:pic>
              </a:graphicData>
            </a:graphic>
          </wp:anchor>
        </w:drawing>
      </w:r>
      <w:r w:rsidRPr="00CB0DA1">
        <w:rPr>
          <w:rFonts w:eastAsia="Times New Roman" w:cs="Times New Roman"/>
          <w:i/>
          <w:iCs/>
          <w:lang w:bidi="en-US"/>
        </w:rPr>
        <w:t>Fonte: elaborazioni Ismea su dati SI Camera – Unioncamere.</w:t>
      </w:r>
    </w:p>
    <w:p w14:paraId="1B1BA630" w14:textId="77777777" w:rsidR="00570BC7" w:rsidRDefault="00570BC7" w:rsidP="00570BC7">
      <w:pPr>
        <w:spacing w:before="0" w:after="160"/>
        <w:rPr>
          <w:rFonts w:eastAsia="Times New Roman" w:cs="Times New Roman"/>
          <w:lang w:bidi="en-US"/>
        </w:rPr>
      </w:pPr>
      <w:r w:rsidRPr="00CB0DA1">
        <w:rPr>
          <w:rFonts w:eastAsia="Times New Roman" w:cs="Times New Roman"/>
          <w:lang w:bidi="en-US"/>
        </w:rPr>
        <w:t xml:space="preserve"> </w:t>
      </w:r>
    </w:p>
    <w:p w14:paraId="0EC34B31" w14:textId="77777777" w:rsidR="00570BC7" w:rsidRDefault="00570BC7" w:rsidP="00570BC7">
      <w:pPr>
        <w:spacing w:before="0" w:after="160" w:line="259" w:lineRule="auto"/>
        <w:jc w:val="left"/>
        <w:rPr>
          <w:rFonts w:eastAsia="Times New Roman" w:cs="Times New Roman"/>
          <w:lang w:bidi="en-US"/>
        </w:rPr>
      </w:pPr>
      <w:r>
        <w:rPr>
          <w:rFonts w:eastAsia="Times New Roman" w:cs="Times New Roman"/>
          <w:lang w:bidi="en-US"/>
        </w:rPr>
        <w:br w:type="page"/>
      </w:r>
    </w:p>
    <w:p w14:paraId="3C28C101" w14:textId="7E60294D" w:rsidR="00D32A79" w:rsidRDefault="00D32A79" w:rsidP="00552DB9">
      <w:pPr>
        <w:pStyle w:val="CapitoloTitolo"/>
      </w:pPr>
      <w:bookmarkStart w:id="10" w:name="_Toc534027312"/>
      <w:r>
        <w:lastRenderedPageBreak/>
        <w:t>La strategia del</w:t>
      </w:r>
      <w:r w:rsidR="00E5112D">
        <w:t xml:space="preserve"> </w:t>
      </w:r>
      <w:r w:rsidR="00552DB9" w:rsidRPr="008118DE">
        <w:t xml:space="preserve">PSR </w:t>
      </w:r>
      <w:r w:rsidR="00E5112D">
        <w:t xml:space="preserve">della Regione Umbria </w:t>
      </w:r>
      <w:r w:rsidR="003B44A6">
        <w:t>sulle politiche di genere e, in particolare, a favore dell’imprenditoria femminile in agricoltura</w:t>
      </w:r>
      <w:bookmarkEnd w:id="10"/>
    </w:p>
    <w:p w14:paraId="4A1D64FC" w14:textId="77777777" w:rsidR="00CD1294" w:rsidRPr="00CD1294" w:rsidRDefault="00CD1294" w:rsidP="003730A0">
      <w:pPr>
        <w:spacing w:before="0" w:after="0" w:line="240" w:lineRule="auto"/>
      </w:pPr>
    </w:p>
    <w:p w14:paraId="6D112621" w14:textId="6FA93540" w:rsidR="005B1CF5" w:rsidRPr="005B1CF5" w:rsidRDefault="003B44A6" w:rsidP="005B1CF5">
      <w:pPr>
        <w:pStyle w:val="Titolo2"/>
      </w:pPr>
      <w:bookmarkStart w:id="11" w:name="_Toc534027313"/>
      <w:r>
        <w:t>3</w:t>
      </w:r>
      <w:r w:rsidR="00D32A79">
        <w:t>.1</w:t>
      </w:r>
      <w:r w:rsidR="00D32A79">
        <w:tab/>
        <w:t>L’evoluzione del</w:t>
      </w:r>
      <w:r w:rsidR="00E5112D">
        <w:t xml:space="preserve"> contesto</w:t>
      </w:r>
      <w:r w:rsidR="00552DB9" w:rsidRPr="008118DE">
        <w:t xml:space="preserve"> </w:t>
      </w:r>
      <w:r w:rsidR="00D32A79">
        <w:t>regionale in merito al</w:t>
      </w:r>
      <w:r w:rsidR="00552DB9" w:rsidRPr="008118DE">
        <w:t>l'imprenditoria agricola femminile</w:t>
      </w:r>
      <w:r w:rsidR="00D32A79">
        <w:t xml:space="preserve"> tra la precedente e l’attuale programmazione</w:t>
      </w:r>
      <w:bookmarkEnd w:id="11"/>
    </w:p>
    <w:p w14:paraId="24FBB909" w14:textId="77777777" w:rsidR="00CD1294" w:rsidRDefault="00CD1294" w:rsidP="00CD1294">
      <w:pPr>
        <w:rPr>
          <w:lang w:bidi="en-US"/>
        </w:rPr>
      </w:pPr>
      <w:r w:rsidRPr="00C5324D">
        <w:rPr>
          <w:lang w:bidi="en-US"/>
        </w:rPr>
        <w:t xml:space="preserve">Anche se in Umbria </w:t>
      </w:r>
      <w:r w:rsidRPr="000B3BAD">
        <w:rPr>
          <w:rStyle w:val="Enfasigrassetto"/>
        </w:rPr>
        <w:t>la situazione occupazionale e di rappresentatività femminile, specialmente nel settore agricolo, è significativa</w:t>
      </w:r>
      <w:r>
        <w:rPr>
          <w:lang w:bidi="en-US"/>
        </w:rPr>
        <w:t>, soprattutto se posta in relazione ad altre realtà regionali,</w:t>
      </w:r>
      <w:r w:rsidRPr="00C5324D">
        <w:rPr>
          <w:lang w:bidi="en-US"/>
        </w:rPr>
        <w:t xml:space="preserve"> esistono comunque elementi di </w:t>
      </w:r>
      <w:r w:rsidRPr="00000789">
        <w:rPr>
          <w:lang w:bidi="en-US"/>
        </w:rPr>
        <w:t xml:space="preserve">disparità che rendono le donne, ancora oggi, la parte debole del mercato del lavoro. I numerosi ostacoli che le donne si trovano ad affrontare – soprattutto nelle zone svantaggiate – sono legati in primis ad aspetti pratici, peculiari della vita nei territori agricoli e rurali. In seconda battuta, le difficoltà nell’accesso e disponibilità delle informazioni disponibili sull’imprenditoria femminile in agricoltura, evidenziano </w:t>
      </w:r>
      <w:r w:rsidRPr="000B3BAD">
        <w:rPr>
          <w:rStyle w:val="Enfasigrassetto"/>
        </w:rPr>
        <w:t>scollamenti fra una significativa presenza settoriale e la presenza della “voce femminile” nei tavoli e negli strumenti di programmazione settoriale</w:t>
      </w:r>
      <w:r w:rsidRPr="00000789">
        <w:rPr>
          <w:lang w:bidi="en-US"/>
        </w:rPr>
        <w:t>. Tale assenza si accompagna anche alla mancanza di significativi livelli di informazione e collegamento sia all’interno che all’esterno della comunità professionale nella quale operano le imprenditrici agricole.</w:t>
      </w:r>
    </w:p>
    <w:p w14:paraId="67F65A52" w14:textId="77777777" w:rsidR="00CD1294" w:rsidRPr="00FD2D12" w:rsidRDefault="00CD1294" w:rsidP="00CD1294">
      <w:pPr>
        <w:rPr>
          <w:highlight w:val="yellow"/>
          <w:lang w:bidi="en-US"/>
        </w:rPr>
      </w:pPr>
      <w:r>
        <w:rPr>
          <w:lang w:bidi="en-US"/>
        </w:rPr>
        <w:t>Di pari passo, anche la situazione occupazionale dei giovani negli ultimi anni ha subìto una certa contrazione, in linea con la congiuntura economica sfavorevole che ha rallentato la crescita del sistema Italia.</w:t>
      </w:r>
    </w:p>
    <w:p w14:paraId="70F3E3A3" w14:textId="77777777" w:rsidR="00CD1294" w:rsidRDefault="00CD1294" w:rsidP="007D4B0C">
      <w:pPr>
        <w:rPr>
          <w:lang w:bidi="en-US"/>
        </w:rPr>
      </w:pPr>
      <w:r>
        <w:rPr>
          <w:lang w:bidi="en-US"/>
        </w:rPr>
        <w:t>Analizzando i dati forniti dall’</w:t>
      </w:r>
      <w:r w:rsidRPr="00A80CDD">
        <w:rPr>
          <w:lang w:bidi="en-US"/>
        </w:rPr>
        <w:t xml:space="preserve">Osservatorio </w:t>
      </w:r>
      <w:r>
        <w:rPr>
          <w:lang w:bidi="en-US"/>
        </w:rPr>
        <w:t>Economico dell’Umbria</w:t>
      </w:r>
      <w:r w:rsidRPr="00A80CDD">
        <w:rPr>
          <w:lang w:bidi="en-US"/>
        </w:rPr>
        <w:t xml:space="preserve"> </w:t>
      </w:r>
      <w:r>
        <w:rPr>
          <w:lang w:bidi="en-US"/>
        </w:rPr>
        <w:t xml:space="preserve">di </w:t>
      </w:r>
      <w:r w:rsidRPr="00A80CDD">
        <w:rPr>
          <w:lang w:bidi="en-US"/>
        </w:rPr>
        <w:t xml:space="preserve">Unioncamere </w:t>
      </w:r>
      <w:r>
        <w:rPr>
          <w:lang w:bidi="en-US"/>
        </w:rPr>
        <w:t>è possibile evidenziare l’evoluzione del numero di imprese a conduzione femminile e giovanile sul territorio regionale tra la precedente e l’attuale periodo programmatorio.</w:t>
      </w:r>
    </w:p>
    <w:p w14:paraId="5770DAFA" w14:textId="77777777" w:rsidR="00CD1294" w:rsidRDefault="00CD1294" w:rsidP="003730A0">
      <w:pPr>
        <w:spacing w:before="0" w:after="0" w:line="240" w:lineRule="auto"/>
        <w:rPr>
          <w:lang w:bidi="en-US"/>
        </w:rPr>
      </w:pPr>
    </w:p>
    <w:p w14:paraId="1F8D7EEA" w14:textId="5D5FF423" w:rsidR="00CD1294" w:rsidRDefault="00CD1294" w:rsidP="007D4B0C">
      <w:pPr>
        <w:pStyle w:val="Titolotabella"/>
        <w:ind w:left="993" w:hanging="993"/>
      </w:pPr>
      <w:r>
        <w:t xml:space="preserve">Tabella </w:t>
      </w:r>
      <w:r w:rsidR="002A0777">
        <w:rPr>
          <w:noProof/>
        </w:rPr>
        <w:fldChar w:fldCharType="begin"/>
      </w:r>
      <w:r w:rsidR="002A0777">
        <w:rPr>
          <w:noProof/>
        </w:rPr>
        <w:instrText xml:space="preserve"> SEQ Tabella \* ARABIC </w:instrText>
      </w:r>
      <w:r w:rsidR="002A0777">
        <w:rPr>
          <w:noProof/>
        </w:rPr>
        <w:fldChar w:fldCharType="separate"/>
      </w:r>
      <w:r w:rsidR="00295319">
        <w:rPr>
          <w:noProof/>
        </w:rPr>
        <w:t>1</w:t>
      </w:r>
      <w:r w:rsidR="002A0777">
        <w:rPr>
          <w:noProof/>
        </w:rPr>
        <w:fldChar w:fldCharType="end"/>
      </w:r>
      <w:r>
        <w:t xml:space="preserve"> – Imprese registrate al 31 dicembre 2013 per regioni – Totale imprese e imprese femminili</w:t>
      </w:r>
    </w:p>
    <w:tbl>
      <w:tblPr>
        <w:tblStyle w:val="Grigliatabel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63"/>
        <w:gridCol w:w="2265"/>
        <w:gridCol w:w="2265"/>
        <w:gridCol w:w="2267"/>
      </w:tblGrid>
      <w:tr w:rsidR="003730A0" w:rsidRPr="003730A0" w14:paraId="7A6826C2" w14:textId="77777777" w:rsidTr="003730A0">
        <w:trPr>
          <w:cantSplit/>
          <w:tblHeader/>
        </w:trPr>
        <w:tc>
          <w:tcPr>
            <w:tcW w:w="1249" w:type="pct"/>
            <w:vMerge w:val="restart"/>
            <w:shd w:val="clear" w:color="auto" w:fill="1F4E79" w:themeFill="accent1" w:themeFillShade="80"/>
            <w:vAlign w:val="center"/>
          </w:tcPr>
          <w:p w14:paraId="124AA589"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Regioni</w:t>
            </w:r>
          </w:p>
        </w:tc>
        <w:tc>
          <w:tcPr>
            <w:tcW w:w="3751" w:type="pct"/>
            <w:gridSpan w:val="3"/>
            <w:shd w:val="clear" w:color="auto" w:fill="1F4E79" w:themeFill="accent1" w:themeFillShade="80"/>
            <w:vAlign w:val="center"/>
          </w:tcPr>
          <w:p w14:paraId="54BD3A08"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Imprese registrate</w:t>
            </w:r>
          </w:p>
        </w:tc>
      </w:tr>
      <w:tr w:rsidR="003730A0" w:rsidRPr="003730A0" w14:paraId="5130F705" w14:textId="77777777" w:rsidTr="003730A0">
        <w:trPr>
          <w:cantSplit/>
          <w:tblHeader/>
        </w:trPr>
        <w:tc>
          <w:tcPr>
            <w:tcW w:w="1249" w:type="pct"/>
            <w:vMerge/>
            <w:shd w:val="clear" w:color="auto" w:fill="1F4E79" w:themeFill="accent1" w:themeFillShade="80"/>
            <w:vAlign w:val="center"/>
          </w:tcPr>
          <w:p w14:paraId="08A3E939" w14:textId="77777777" w:rsidR="00CD1294" w:rsidRPr="003730A0" w:rsidRDefault="00CD1294" w:rsidP="0047755C">
            <w:pPr>
              <w:widowControl w:val="0"/>
              <w:tabs>
                <w:tab w:val="left" w:pos="7936"/>
              </w:tabs>
              <w:spacing w:before="0" w:after="0"/>
              <w:rPr>
                <w:rFonts w:eastAsia="Times New Roman" w:cs="Times New Roman"/>
                <w:b/>
                <w:color w:val="FFFFFF" w:themeColor="background1"/>
                <w:lang w:bidi="en-US"/>
              </w:rPr>
            </w:pPr>
          </w:p>
        </w:tc>
        <w:tc>
          <w:tcPr>
            <w:tcW w:w="1250" w:type="pct"/>
            <w:shd w:val="clear" w:color="auto" w:fill="1F4E79" w:themeFill="accent1" w:themeFillShade="80"/>
            <w:vAlign w:val="center"/>
          </w:tcPr>
          <w:p w14:paraId="1336F638"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Imprese femminili</w:t>
            </w:r>
          </w:p>
        </w:tc>
        <w:tc>
          <w:tcPr>
            <w:tcW w:w="1250" w:type="pct"/>
            <w:shd w:val="clear" w:color="auto" w:fill="1F4E79" w:themeFill="accent1" w:themeFillShade="80"/>
            <w:vAlign w:val="center"/>
          </w:tcPr>
          <w:p w14:paraId="3E9072E6"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Totale imprese</w:t>
            </w:r>
          </w:p>
        </w:tc>
        <w:tc>
          <w:tcPr>
            <w:tcW w:w="1251" w:type="pct"/>
            <w:shd w:val="clear" w:color="auto" w:fill="1F4E79" w:themeFill="accent1" w:themeFillShade="80"/>
            <w:vAlign w:val="center"/>
          </w:tcPr>
          <w:p w14:paraId="4694B001" w14:textId="3DBE6AD1" w:rsidR="00CD1294" w:rsidRPr="003730A0" w:rsidRDefault="00CD1294" w:rsidP="003730A0">
            <w:pPr>
              <w:widowControl w:val="0"/>
              <w:tabs>
                <w:tab w:val="left" w:pos="7936"/>
              </w:tabs>
              <w:spacing w:before="0" w:after="0"/>
              <w:ind w:left="-97" w:right="-108"/>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Tasso di impr</w:t>
            </w:r>
            <w:r w:rsidR="003730A0">
              <w:rPr>
                <w:rFonts w:eastAsia="Times New Roman" w:cs="Times New Roman"/>
                <w:b/>
                <w:color w:val="FFFFFF" w:themeColor="background1"/>
                <w:lang w:bidi="en-US"/>
              </w:rPr>
              <w:t>enditoria</w:t>
            </w:r>
            <w:r w:rsidRPr="003730A0">
              <w:rPr>
                <w:rFonts w:eastAsia="Times New Roman" w:cs="Times New Roman"/>
                <w:b/>
                <w:color w:val="FFFFFF" w:themeColor="background1"/>
                <w:lang w:bidi="en-US"/>
              </w:rPr>
              <w:t xml:space="preserve"> femminile</w:t>
            </w:r>
          </w:p>
        </w:tc>
      </w:tr>
      <w:tr w:rsidR="00CD1294" w:rsidRPr="00583F7E" w14:paraId="2BC24DA2" w14:textId="77777777" w:rsidTr="003730A0">
        <w:tc>
          <w:tcPr>
            <w:tcW w:w="1249" w:type="pct"/>
            <w:vAlign w:val="center"/>
          </w:tcPr>
          <w:p w14:paraId="5E8160CB"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Abruzzo</w:t>
            </w:r>
          </w:p>
        </w:tc>
        <w:tc>
          <w:tcPr>
            <w:tcW w:w="1250" w:type="pct"/>
            <w:vAlign w:val="center"/>
          </w:tcPr>
          <w:p w14:paraId="246B2DC1"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41.518</w:t>
            </w:r>
          </w:p>
        </w:tc>
        <w:tc>
          <w:tcPr>
            <w:tcW w:w="1250" w:type="pct"/>
            <w:vAlign w:val="center"/>
          </w:tcPr>
          <w:p w14:paraId="3EC70F11"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149.334</w:t>
            </w:r>
          </w:p>
        </w:tc>
        <w:tc>
          <w:tcPr>
            <w:tcW w:w="1251" w:type="pct"/>
            <w:vAlign w:val="center"/>
          </w:tcPr>
          <w:p w14:paraId="7599E3B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27,8%</w:t>
            </w:r>
          </w:p>
        </w:tc>
      </w:tr>
      <w:tr w:rsidR="00CD1294" w:rsidRPr="00583F7E" w14:paraId="5E78A717" w14:textId="77777777" w:rsidTr="003730A0">
        <w:tc>
          <w:tcPr>
            <w:tcW w:w="1249" w:type="pct"/>
            <w:vAlign w:val="center"/>
          </w:tcPr>
          <w:p w14:paraId="58290B74"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Basilicata</w:t>
            </w:r>
          </w:p>
        </w:tc>
        <w:tc>
          <w:tcPr>
            <w:tcW w:w="1250" w:type="pct"/>
            <w:vAlign w:val="center"/>
          </w:tcPr>
          <w:p w14:paraId="39A9458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16.665</w:t>
            </w:r>
          </w:p>
        </w:tc>
        <w:tc>
          <w:tcPr>
            <w:tcW w:w="1250" w:type="pct"/>
            <w:vAlign w:val="center"/>
          </w:tcPr>
          <w:p w14:paraId="2DDDCE9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60.260</w:t>
            </w:r>
          </w:p>
        </w:tc>
        <w:tc>
          <w:tcPr>
            <w:tcW w:w="1251" w:type="pct"/>
            <w:vAlign w:val="center"/>
          </w:tcPr>
          <w:p w14:paraId="314C7D8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27,7%</w:t>
            </w:r>
          </w:p>
        </w:tc>
      </w:tr>
      <w:tr w:rsidR="00CD1294" w:rsidRPr="00583F7E" w14:paraId="4CAA35C6" w14:textId="77777777" w:rsidTr="003730A0">
        <w:tc>
          <w:tcPr>
            <w:tcW w:w="1249" w:type="pct"/>
            <w:vAlign w:val="center"/>
          </w:tcPr>
          <w:p w14:paraId="55AF11A5"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Calabria</w:t>
            </w:r>
          </w:p>
        </w:tc>
        <w:tc>
          <w:tcPr>
            <w:tcW w:w="1250" w:type="pct"/>
            <w:vAlign w:val="center"/>
          </w:tcPr>
          <w:p w14:paraId="3844BD2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45.001</w:t>
            </w:r>
          </w:p>
        </w:tc>
        <w:tc>
          <w:tcPr>
            <w:tcW w:w="1250" w:type="pct"/>
            <w:vAlign w:val="center"/>
          </w:tcPr>
          <w:p w14:paraId="401A908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178.789</w:t>
            </w:r>
          </w:p>
        </w:tc>
        <w:tc>
          <w:tcPr>
            <w:tcW w:w="1251" w:type="pct"/>
            <w:vAlign w:val="center"/>
          </w:tcPr>
          <w:p w14:paraId="5627B727"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25,2%</w:t>
            </w:r>
          </w:p>
        </w:tc>
      </w:tr>
      <w:tr w:rsidR="00CD1294" w:rsidRPr="00583F7E" w14:paraId="000DABEA" w14:textId="77777777" w:rsidTr="003730A0">
        <w:tc>
          <w:tcPr>
            <w:tcW w:w="1249" w:type="pct"/>
            <w:vAlign w:val="center"/>
          </w:tcPr>
          <w:p w14:paraId="38DDC845"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Campania</w:t>
            </w:r>
          </w:p>
        </w:tc>
        <w:tc>
          <w:tcPr>
            <w:tcW w:w="1250" w:type="pct"/>
            <w:vAlign w:val="center"/>
          </w:tcPr>
          <w:p w14:paraId="2F58C2A7"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149.244</w:t>
            </w:r>
          </w:p>
        </w:tc>
        <w:tc>
          <w:tcPr>
            <w:tcW w:w="1250" w:type="pct"/>
            <w:vAlign w:val="center"/>
          </w:tcPr>
          <w:p w14:paraId="7B30545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561.732</w:t>
            </w:r>
          </w:p>
        </w:tc>
        <w:tc>
          <w:tcPr>
            <w:tcW w:w="1251" w:type="pct"/>
            <w:vAlign w:val="center"/>
          </w:tcPr>
          <w:p w14:paraId="0821498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26,6%</w:t>
            </w:r>
          </w:p>
        </w:tc>
      </w:tr>
      <w:tr w:rsidR="00CD1294" w:rsidRPr="00583F7E" w14:paraId="4EDF9C7A" w14:textId="77777777" w:rsidTr="003730A0">
        <w:tc>
          <w:tcPr>
            <w:tcW w:w="1249" w:type="pct"/>
            <w:vAlign w:val="center"/>
          </w:tcPr>
          <w:p w14:paraId="2788DF84"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Emilia Romagna</w:t>
            </w:r>
          </w:p>
        </w:tc>
        <w:tc>
          <w:tcPr>
            <w:tcW w:w="1250" w:type="pct"/>
            <w:vAlign w:val="center"/>
          </w:tcPr>
          <w:p w14:paraId="48F3849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98.144</w:t>
            </w:r>
          </w:p>
        </w:tc>
        <w:tc>
          <w:tcPr>
            <w:tcW w:w="1250" w:type="pct"/>
            <w:vAlign w:val="center"/>
          </w:tcPr>
          <w:p w14:paraId="4131D6A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468.318</w:t>
            </w:r>
          </w:p>
        </w:tc>
        <w:tc>
          <w:tcPr>
            <w:tcW w:w="1251" w:type="pct"/>
            <w:vAlign w:val="center"/>
          </w:tcPr>
          <w:p w14:paraId="30051AB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21,0%</w:t>
            </w:r>
          </w:p>
        </w:tc>
      </w:tr>
      <w:tr w:rsidR="00CD1294" w:rsidRPr="00583F7E" w14:paraId="0F8E56B0" w14:textId="77777777" w:rsidTr="003730A0">
        <w:tc>
          <w:tcPr>
            <w:tcW w:w="1249" w:type="pct"/>
            <w:vAlign w:val="center"/>
          </w:tcPr>
          <w:p w14:paraId="7382C9A9" w14:textId="54AFFC09" w:rsidR="00CD1294" w:rsidRPr="00583F7E" w:rsidRDefault="003730A0" w:rsidP="0047755C">
            <w:pPr>
              <w:widowControl w:val="0"/>
              <w:tabs>
                <w:tab w:val="left" w:pos="7936"/>
              </w:tabs>
              <w:spacing w:before="0" w:after="0"/>
              <w:rPr>
                <w:rFonts w:eastAsia="Times New Roman" w:cs="Times New Roman"/>
                <w:color w:val="000000"/>
                <w:lang w:bidi="en-US"/>
              </w:rPr>
            </w:pPr>
            <w:r>
              <w:rPr>
                <w:rFonts w:eastAsia="Times New Roman" w:cs="Times New Roman"/>
                <w:color w:val="000000"/>
                <w:lang w:bidi="en-US"/>
              </w:rPr>
              <w:t xml:space="preserve">Friuli </w:t>
            </w:r>
            <w:r w:rsidR="00CD1294" w:rsidRPr="00583F7E">
              <w:rPr>
                <w:rFonts w:eastAsia="Times New Roman" w:cs="Times New Roman"/>
                <w:color w:val="000000"/>
                <w:lang w:bidi="en-US"/>
              </w:rPr>
              <w:t>Venezia Giulia</w:t>
            </w:r>
          </w:p>
        </w:tc>
        <w:tc>
          <w:tcPr>
            <w:tcW w:w="1250" w:type="pct"/>
            <w:vAlign w:val="center"/>
          </w:tcPr>
          <w:p w14:paraId="7B7F545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25.611</w:t>
            </w:r>
          </w:p>
        </w:tc>
        <w:tc>
          <w:tcPr>
            <w:tcW w:w="1250" w:type="pct"/>
            <w:vAlign w:val="center"/>
          </w:tcPr>
          <w:p w14:paraId="5ED2DEC6"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107.418</w:t>
            </w:r>
          </w:p>
        </w:tc>
        <w:tc>
          <w:tcPr>
            <w:tcW w:w="1251" w:type="pct"/>
            <w:vAlign w:val="center"/>
          </w:tcPr>
          <w:p w14:paraId="5AB93E0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23,8%</w:t>
            </w:r>
          </w:p>
        </w:tc>
      </w:tr>
      <w:tr w:rsidR="00CD1294" w:rsidRPr="00583F7E" w14:paraId="0498842D" w14:textId="77777777" w:rsidTr="003730A0">
        <w:tc>
          <w:tcPr>
            <w:tcW w:w="1249" w:type="pct"/>
            <w:vAlign w:val="center"/>
          </w:tcPr>
          <w:p w14:paraId="62A048DF"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Lazio</w:t>
            </w:r>
          </w:p>
        </w:tc>
        <w:tc>
          <w:tcPr>
            <w:tcW w:w="1250" w:type="pct"/>
            <w:vAlign w:val="center"/>
          </w:tcPr>
          <w:p w14:paraId="3A186FE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145.581</w:t>
            </w:r>
          </w:p>
        </w:tc>
        <w:tc>
          <w:tcPr>
            <w:tcW w:w="1250" w:type="pct"/>
            <w:vAlign w:val="center"/>
          </w:tcPr>
          <w:p w14:paraId="568A9390"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622.221</w:t>
            </w:r>
          </w:p>
        </w:tc>
        <w:tc>
          <w:tcPr>
            <w:tcW w:w="1251" w:type="pct"/>
            <w:vAlign w:val="center"/>
          </w:tcPr>
          <w:p w14:paraId="1D4BEB8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23,4%</w:t>
            </w:r>
          </w:p>
        </w:tc>
      </w:tr>
      <w:tr w:rsidR="00CD1294" w:rsidRPr="00583F7E" w14:paraId="37E9F73D" w14:textId="77777777" w:rsidTr="003730A0">
        <w:tc>
          <w:tcPr>
            <w:tcW w:w="1249" w:type="pct"/>
            <w:vAlign w:val="center"/>
          </w:tcPr>
          <w:p w14:paraId="6A1360CD"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Liguria</w:t>
            </w:r>
          </w:p>
        </w:tc>
        <w:tc>
          <w:tcPr>
            <w:tcW w:w="1250" w:type="pct"/>
            <w:vAlign w:val="center"/>
          </w:tcPr>
          <w:p w14:paraId="047589F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40.272</w:t>
            </w:r>
          </w:p>
        </w:tc>
        <w:tc>
          <w:tcPr>
            <w:tcW w:w="1250" w:type="pct"/>
            <w:vAlign w:val="center"/>
          </w:tcPr>
          <w:p w14:paraId="2C3B8FD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164.901</w:t>
            </w:r>
          </w:p>
        </w:tc>
        <w:tc>
          <w:tcPr>
            <w:tcW w:w="1251" w:type="pct"/>
            <w:vAlign w:val="center"/>
          </w:tcPr>
          <w:p w14:paraId="040B1324"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24,4%</w:t>
            </w:r>
          </w:p>
        </w:tc>
      </w:tr>
      <w:tr w:rsidR="00CD1294" w:rsidRPr="00583F7E" w14:paraId="54D6D0DA" w14:textId="77777777" w:rsidTr="003730A0">
        <w:tc>
          <w:tcPr>
            <w:tcW w:w="1249" w:type="pct"/>
            <w:vAlign w:val="center"/>
          </w:tcPr>
          <w:p w14:paraId="25BEAA9D"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Lombardia</w:t>
            </w:r>
          </w:p>
        </w:tc>
        <w:tc>
          <w:tcPr>
            <w:tcW w:w="1250" w:type="pct"/>
            <w:vAlign w:val="center"/>
          </w:tcPr>
          <w:p w14:paraId="1EA41F81"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194.535</w:t>
            </w:r>
          </w:p>
        </w:tc>
        <w:tc>
          <w:tcPr>
            <w:tcW w:w="1250" w:type="pct"/>
            <w:vAlign w:val="center"/>
          </w:tcPr>
          <w:p w14:paraId="195962D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949.631</w:t>
            </w:r>
          </w:p>
        </w:tc>
        <w:tc>
          <w:tcPr>
            <w:tcW w:w="1251" w:type="pct"/>
            <w:vAlign w:val="center"/>
          </w:tcPr>
          <w:p w14:paraId="1532B1A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20,5%</w:t>
            </w:r>
          </w:p>
        </w:tc>
      </w:tr>
      <w:tr w:rsidR="00CD1294" w:rsidRPr="00583F7E" w14:paraId="283D4E67" w14:textId="77777777" w:rsidTr="003730A0">
        <w:tc>
          <w:tcPr>
            <w:tcW w:w="1249" w:type="pct"/>
            <w:vAlign w:val="center"/>
          </w:tcPr>
          <w:p w14:paraId="50170BF8"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Marche</w:t>
            </w:r>
          </w:p>
        </w:tc>
        <w:tc>
          <w:tcPr>
            <w:tcW w:w="1250" w:type="pct"/>
            <w:vAlign w:val="center"/>
          </w:tcPr>
          <w:p w14:paraId="1F32FB9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42.603</w:t>
            </w:r>
          </w:p>
        </w:tc>
        <w:tc>
          <w:tcPr>
            <w:tcW w:w="1250" w:type="pct"/>
            <w:vAlign w:val="center"/>
          </w:tcPr>
          <w:p w14:paraId="01EAA92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175.617</w:t>
            </w:r>
          </w:p>
        </w:tc>
        <w:tc>
          <w:tcPr>
            <w:tcW w:w="1251" w:type="pct"/>
            <w:vAlign w:val="center"/>
          </w:tcPr>
          <w:p w14:paraId="2268C43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24,3%</w:t>
            </w:r>
          </w:p>
        </w:tc>
      </w:tr>
      <w:tr w:rsidR="00CD1294" w:rsidRPr="00583F7E" w14:paraId="2D0292D4" w14:textId="77777777" w:rsidTr="003730A0">
        <w:tc>
          <w:tcPr>
            <w:tcW w:w="1249" w:type="pct"/>
            <w:vAlign w:val="center"/>
          </w:tcPr>
          <w:p w14:paraId="52F581A9"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Molise</w:t>
            </w:r>
          </w:p>
        </w:tc>
        <w:tc>
          <w:tcPr>
            <w:tcW w:w="1250" w:type="pct"/>
            <w:vAlign w:val="center"/>
          </w:tcPr>
          <w:p w14:paraId="2F7C0BB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10.387</w:t>
            </w:r>
          </w:p>
        </w:tc>
        <w:tc>
          <w:tcPr>
            <w:tcW w:w="1250" w:type="pct"/>
            <w:vAlign w:val="center"/>
          </w:tcPr>
          <w:p w14:paraId="44DAEEE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35.019</w:t>
            </w:r>
          </w:p>
        </w:tc>
        <w:tc>
          <w:tcPr>
            <w:tcW w:w="1251" w:type="pct"/>
            <w:vAlign w:val="center"/>
          </w:tcPr>
          <w:p w14:paraId="1E0B27C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29,7%</w:t>
            </w:r>
          </w:p>
        </w:tc>
      </w:tr>
      <w:tr w:rsidR="00CD1294" w:rsidRPr="00583F7E" w14:paraId="2DCDC81E" w14:textId="77777777" w:rsidTr="003730A0">
        <w:tc>
          <w:tcPr>
            <w:tcW w:w="1249" w:type="pct"/>
            <w:vAlign w:val="center"/>
          </w:tcPr>
          <w:p w14:paraId="56C7A110"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Piemonte</w:t>
            </w:r>
          </w:p>
        </w:tc>
        <w:tc>
          <w:tcPr>
            <w:tcW w:w="1250" w:type="pct"/>
            <w:vAlign w:val="center"/>
          </w:tcPr>
          <w:p w14:paraId="437AB8A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110.025</w:t>
            </w:r>
          </w:p>
        </w:tc>
        <w:tc>
          <w:tcPr>
            <w:tcW w:w="1250" w:type="pct"/>
            <w:vAlign w:val="center"/>
          </w:tcPr>
          <w:p w14:paraId="560BCB31"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454.613</w:t>
            </w:r>
          </w:p>
        </w:tc>
        <w:tc>
          <w:tcPr>
            <w:tcW w:w="1251" w:type="pct"/>
            <w:vAlign w:val="center"/>
          </w:tcPr>
          <w:p w14:paraId="1D7F0AC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24,2%</w:t>
            </w:r>
          </w:p>
        </w:tc>
      </w:tr>
      <w:tr w:rsidR="00CD1294" w:rsidRPr="00583F7E" w14:paraId="313BBE2B" w14:textId="77777777" w:rsidTr="003730A0">
        <w:tc>
          <w:tcPr>
            <w:tcW w:w="1249" w:type="pct"/>
            <w:vAlign w:val="center"/>
          </w:tcPr>
          <w:p w14:paraId="4A82ED7B"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Puglia</w:t>
            </w:r>
          </w:p>
        </w:tc>
        <w:tc>
          <w:tcPr>
            <w:tcW w:w="1250" w:type="pct"/>
            <w:vAlign w:val="center"/>
          </w:tcPr>
          <w:p w14:paraId="1BDD659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92.604</w:t>
            </w:r>
          </w:p>
        </w:tc>
        <w:tc>
          <w:tcPr>
            <w:tcW w:w="1250" w:type="pct"/>
            <w:vAlign w:val="center"/>
          </w:tcPr>
          <w:p w14:paraId="178E5C5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380.243</w:t>
            </w:r>
          </w:p>
        </w:tc>
        <w:tc>
          <w:tcPr>
            <w:tcW w:w="1251" w:type="pct"/>
            <w:vAlign w:val="center"/>
          </w:tcPr>
          <w:p w14:paraId="4B7A632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24,4%</w:t>
            </w:r>
          </w:p>
        </w:tc>
      </w:tr>
      <w:tr w:rsidR="00CD1294" w:rsidRPr="00583F7E" w14:paraId="03BCA2C9" w14:textId="77777777" w:rsidTr="003730A0">
        <w:tc>
          <w:tcPr>
            <w:tcW w:w="1249" w:type="pct"/>
            <w:vAlign w:val="center"/>
          </w:tcPr>
          <w:p w14:paraId="5BFB4505"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Sardegna</w:t>
            </w:r>
          </w:p>
        </w:tc>
        <w:tc>
          <w:tcPr>
            <w:tcW w:w="1250" w:type="pct"/>
            <w:vAlign w:val="center"/>
          </w:tcPr>
          <w:p w14:paraId="5193C30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40.703</w:t>
            </w:r>
          </w:p>
        </w:tc>
        <w:tc>
          <w:tcPr>
            <w:tcW w:w="1250" w:type="pct"/>
            <w:vAlign w:val="center"/>
          </w:tcPr>
          <w:p w14:paraId="2CACF6A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167.755</w:t>
            </w:r>
          </w:p>
        </w:tc>
        <w:tc>
          <w:tcPr>
            <w:tcW w:w="1251" w:type="pct"/>
            <w:vAlign w:val="center"/>
          </w:tcPr>
          <w:p w14:paraId="02800140"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24,3%</w:t>
            </w:r>
          </w:p>
        </w:tc>
      </w:tr>
      <w:tr w:rsidR="00CD1294" w:rsidRPr="00583F7E" w14:paraId="458BA4D2" w14:textId="77777777" w:rsidTr="003730A0">
        <w:tc>
          <w:tcPr>
            <w:tcW w:w="1249" w:type="pct"/>
            <w:vAlign w:val="center"/>
          </w:tcPr>
          <w:p w14:paraId="76BDA4C7"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Sicilia</w:t>
            </w:r>
          </w:p>
        </w:tc>
        <w:tc>
          <w:tcPr>
            <w:tcW w:w="1250" w:type="pct"/>
            <w:vAlign w:val="center"/>
          </w:tcPr>
          <w:p w14:paraId="64675A1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115.958</w:t>
            </w:r>
          </w:p>
        </w:tc>
        <w:tc>
          <w:tcPr>
            <w:tcW w:w="1250" w:type="pct"/>
            <w:vAlign w:val="center"/>
          </w:tcPr>
          <w:p w14:paraId="6BF9414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459.967</w:t>
            </w:r>
          </w:p>
        </w:tc>
        <w:tc>
          <w:tcPr>
            <w:tcW w:w="1251" w:type="pct"/>
            <w:vAlign w:val="center"/>
          </w:tcPr>
          <w:p w14:paraId="544A682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25,2%</w:t>
            </w:r>
          </w:p>
        </w:tc>
      </w:tr>
      <w:tr w:rsidR="00CD1294" w:rsidRPr="00583F7E" w14:paraId="388EA7BE" w14:textId="77777777" w:rsidTr="003730A0">
        <w:tc>
          <w:tcPr>
            <w:tcW w:w="1249" w:type="pct"/>
            <w:vAlign w:val="center"/>
          </w:tcPr>
          <w:p w14:paraId="193EECA6"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Toscana</w:t>
            </w:r>
          </w:p>
        </w:tc>
        <w:tc>
          <w:tcPr>
            <w:tcW w:w="1250" w:type="pct"/>
            <w:vAlign w:val="center"/>
          </w:tcPr>
          <w:p w14:paraId="1E09666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101.076</w:t>
            </w:r>
          </w:p>
        </w:tc>
        <w:tc>
          <w:tcPr>
            <w:tcW w:w="1250" w:type="pct"/>
            <w:vAlign w:val="center"/>
          </w:tcPr>
          <w:p w14:paraId="69AA9645"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414.563</w:t>
            </w:r>
          </w:p>
        </w:tc>
        <w:tc>
          <w:tcPr>
            <w:tcW w:w="1251" w:type="pct"/>
            <w:vAlign w:val="center"/>
          </w:tcPr>
          <w:p w14:paraId="5053C3E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24,4%</w:t>
            </w:r>
          </w:p>
        </w:tc>
      </w:tr>
      <w:tr w:rsidR="00CD1294" w:rsidRPr="00583F7E" w14:paraId="5F58A805" w14:textId="77777777" w:rsidTr="003730A0">
        <w:tc>
          <w:tcPr>
            <w:tcW w:w="1249" w:type="pct"/>
            <w:vAlign w:val="center"/>
          </w:tcPr>
          <w:p w14:paraId="53C5FA6A"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Trentino Alto Adige</w:t>
            </w:r>
          </w:p>
        </w:tc>
        <w:tc>
          <w:tcPr>
            <w:tcW w:w="1250" w:type="pct"/>
            <w:vAlign w:val="center"/>
          </w:tcPr>
          <w:p w14:paraId="6D249EE7"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22.771</w:t>
            </w:r>
          </w:p>
        </w:tc>
        <w:tc>
          <w:tcPr>
            <w:tcW w:w="1250" w:type="pct"/>
            <w:vAlign w:val="center"/>
          </w:tcPr>
          <w:p w14:paraId="30F1016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109.366</w:t>
            </w:r>
          </w:p>
        </w:tc>
        <w:tc>
          <w:tcPr>
            <w:tcW w:w="1251" w:type="pct"/>
            <w:vAlign w:val="center"/>
          </w:tcPr>
          <w:p w14:paraId="28D06FA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20,8%</w:t>
            </w:r>
          </w:p>
        </w:tc>
      </w:tr>
      <w:tr w:rsidR="003730A0" w:rsidRPr="003730A0" w14:paraId="315B83DF" w14:textId="77777777" w:rsidTr="003730A0">
        <w:tc>
          <w:tcPr>
            <w:tcW w:w="1249" w:type="pct"/>
            <w:shd w:val="clear" w:color="auto" w:fill="BDD6EE" w:themeFill="accent1" w:themeFillTint="66"/>
            <w:vAlign w:val="center"/>
          </w:tcPr>
          <w:p w14:paraId="6732AACB" w14:textId="77777777" w:rsidR="00CD1294" w:rsidRPr="003730A0" w:rsidRDefault="00CD1294" w:rsidP="0047755C">
            <w:pPr>
              <w:widowControl w:val="0"/>
              <w:tabs>
                <w:tab w:val="left" w:pos="7936"/>
              </w:tabs>
              <w:spacing w:before="0" w:after="0"/>
              <w:rPr>
                <w:rFonts w:eastAsia="Times New Roman" w:cs="Times New Roman"/>
                <w:b/>
                <w:color w:val="000000"/>
                <w:lang w:bidi="en-US"/>
              </w:rPr>
            </w:pPr>
            <w:r w:rsidRPr="003730A0">
              <w:rPr>
                <w:rFonts w:eastAsia="Times New Roman" w:cs="Times New Roman"/>
                <w:b/>
                <w:color w:val="000000"/>
                <w:lang w:bidi="en-US"/>
              </w:rPr>
              <w:t>Umbria</w:t>
            </w:r>
          </w:p>
        </w:tc>
        <w:tc>
          <w:tcPr>
            <w:tcW w:w="1250" w:type="pct"/>
            <w:shd w:val="clear" w:color="auto" w:fill="BDD6EE" w:themeFill="accent1" w:themeFillTint="66"/>
            <w:vAlign w:val="center"/>
          </w:tcPr>
          <w:p w14:paraId="1DCF2BEE"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rFonts w:eastAsia="Times New Roman" w:cs="Times New Roman"/>
                <w:b/>
                <w:color w:val="000000"/>
                <w:lang w:bidi="en-US"/>
              </w:rPr>
              <w:t>25.111</w:t>
            </w:r>
          </w:p>
        </w:tc>
        <w:tc>
          <w:tcPr>
            <w:tcW w:w="1250" w:type="pct"/>
            <w:shd w:val="clear" w:color="auto" w:fill="BDD6EE" w:themeFill="accent1" w:themeFillTint="66"/>
            <w:vAlign w:val="center"/>
          </w:tcPr>
          <w:p w14:paraId="2FD4F871"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rFonts w:eastAsia="Times New Roman" w:cs="Times New Roman"/>
                <w:b/>
                <w:color w:val="000000"/>
                <w:lang w:bidi="en-US"/>
              </w:rPr>
              <w:t>95.493</w:t>
            </w:r>
          </w:p>
        </w:tc>
        <w:tc>
          <w:tcPr>
            <w:tcW w:w="1251" w:type="pct"/>
            <w:shd w:val="clear" w:color="auto" w:fill="BDD6EE" w:themeFill="accent1" w:themeFillTint="66"/>
            <w:vAlign w:val="center"/>
          </w:tcPr>
          <w:p w14:paraId="184BDC9F"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rFonts w:eastAsia="Times New Roman" w:cs="Times New Roman"/>
                <w:b/>
                <w:color w:val="000000"/>
                <w:lang w:bidi="en-US"/>
              </w:rPr>
              <w:t>26,3%</w:t>
            </w:r>
          </w:p>
        </w:tc>
      </w:tr>
      <w:tr w:rsidR="00CD1294" w:rsidRPr="00583F7E" w14:paraId="50CA75C8" w14:textId="77777777" w:rsidTr="003730A0">
        <w:tc>
          <w:tcPr>
            <w:tcW w:w="1249" w:type="pct"/>
            <w:vAlign w:val="center"/>
          </w:tcPr>
          <w:p w14:paraId="1EDEE020"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Valle d’Aosta</w:t>
            </w:r>
          </w:p>
        </w:tc>
        <w:tc>
          <w:tcPr>
            <w:tcW w:w="1250" w:type="pct"/>
            <w:vAlign w:val="center"/>
          </w:tcPr>
          <w:p w14:paraId="6748E47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3.246</w:t>
            </w:r>
          </w:p>
        </w:tc>
        <w:tc>
          <w:tcPr>
            <w:tcW w:w="1250" w:type="pct"/>
            <w:vAlign w:val="center"/>
          </w:tcPr>
          <w:p w14:paraId="7272B0C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13.544</w:t>
            </w:r>
          </w:p>
        </w:tc>
        <w:tc>
          <w:tcPr>
            <w:tcW w:w="1251" w:type="pct"/>
            <w:vAlign w:val="center"/>
          </w:tcPr>
          <w:p w14:paraId="34F5B26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24,0%</w:t>
            </w:r>
          </w:p>
        </w:tc>
      </w:tr>
      <w:tr w:rsidR="00CD1294" w:rsidRPr="00583F7E" w14:paraId="3B200469" w14:textId="77777777" w:rsidTr="003730A0">
        <w:tc>
          <w:tcPr>
            <w:tcW w:w="1249" w:type="pct"/>
            <w:vAlign w:val="center"/>
          </w:tcPr>
          <w:p w14:paraId="02155B5E"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Veneto</w:t>
            </w:r>
          </w:p>
        </w:tc>
        <w:tc>
          <w:tcPr>
            <w:tcW w:w="1250" w:type="pct"/>
            <w:vAlign w:val="center"/>
          </w:tcPr>
          <w:p w14:paraId="085ED33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108.842</w:t>
            </w:r>
          </w:p>
        </w:tc>
        <w:tc>
          <w:tcPr>
            <w:tcW w:w="1250" w:type="pct"/>
            <w:vAlign w:val="center"/>
          </w:tcPr>
          <w:p w14:paraId="38DA4D1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493.176</w:t>
            </w:r>
          </w:p>
        </w:tc>
        <w:tc>
          <w:tcPr>
            <w:tcW w:w="1251" w:type="pct"/>
            <w:vAlign w:val="center"/>
          </w:tcPr>
          <w:p w14:paraId="29CD115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22,1%</w:t>
            </w:r>
          </w:p>
        </w:tc>
      </w:tr>
      <w:tr w:rsidR="00CD1294" w:rsidRPr="003730A0" w14:paraId="5D50DDEA" w14:textId="77777777" w:rsidTr="003730A0">
        <w:tc>
          <w:tcPr>
            <w:tcW w:w="1249" w:type="pct"/>
            <w:vAlign w:val="center"/>
          </w:tcPr>
          <w:p w14:paraId="56561200" w14:textId="77777777" w:rsidR="00CD1294" w:rsidRPr="003730A0" w:rsidRDefault="00CD1294" w:rsidP="0047755C">
            <w:pPr>
              <w:widowControl w:val="0"/>
              <w:tabs>
                <w:tab w:val="left" w:pos="7936"/>
              </w:tabs>
              <w:spacing w:before="0" w:after="0"/>
              <w:rPr>
                <w:rFonts w:eastAsia="Times New Roman" w:cs="Times New Roman"/>
                <w:b/>
                <w:color w:val="000000"/>
                <w:lang w:bidi="en-US"/>
              </w:rPr>
            </w:pPr>
            <w:r w:rsidRPr="003730A0">
              <w:rPr>
                <w:rFonts w:eastAsia="Times New Roman" w:cs="Times New Roman"/>
                <w:b/>
                <w:color w:val="000000"/>
                <w:lang w:bidi="en-US"/>
              </w:rPr>
              <w:t>Italia</w:t>
            </w:r>
          </w:p>
        </w:tc>
        <w:tc>
          <w:tcPr>
            <w:tcW w:w="1250" w:type="pct"/>
            <w:vAlign w:val="center"/>
          </w:tcPr>
          <w:p w14:paraId="3EFD6C62"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rFonts w:eastAsia="Times New Roman" w:cs="Times New Roman"/>
                <w:b/>
                <w:color w:val="000000"/>
                <w:lang w:bidi="en-US"/>
              </w:rPr>
              <w:t>1.429.897</w:t>
            </w:r>
          </w:p>
        </w:tc>
        <w:tc>
          <w:tcPr>
            <w:tcW w:w="1250" w:type="pct"/>
            <w:vAlign w:val="center"/>
          </w:tcPr>
          <w:p w14:paraId="1B33B209"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rFonts w:eastAsia="Times New Roman" w:cs="Times New Roman"/>
                <w:b/>
                <w:color w:val="000000"/>
                <w:lang w:bidi="en-US"/>
              </w:rPr>
              <w:t>6.061.960</w:t>
            </w:r>
          </w:p>
        </w:tc>
        <w:tc>
          <w:tcPr>
            <w:tcW w:w="1251" w:type="pct"/>
            <w:vAlign w:val="center"/>
          </w:tcPr>
          <w:p w14:paraId="2941D338"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rFonts w:eastAsia="Times New Roman" w:cs="Times New Roman"/>
                <w:b/>
                <w:color w:val="000000"/>
                <w:lang w:bidi="en-US"/>
              </w:rPr>
              <w:t>23,6%</w:t>
            </w:r>
          </w:p>
        </w:tc>
      </w:tr>
    </w:tbl>
    <w:p w14:paraId="025E3A4B" w14:textId="77777777" w:rsidR="00CD1294" w:rsidRPr="00A80CDD" w:rsidRDefault="00CD1294" w:rsidP="00CD1294">
      <w:pPr>
        <w:widowControl w:val="0"/>
        <w:spacing w:before="0" w:after="0"/>
        <w:rPr>
          <w:rFonts w:eastAsia="Andale Sans UI" w:cs="Tahoma"/>
          <w:i/>
          <w:sz w:val="18"/>
          <w:szCs w:val="18"/>
          <w:lang w:bidi="en-US"/>
        </w:rPr>
      </w:pPr>
      <w:r w:rsidRPr="00A80CDD">
        <w:rPr>
          <w:rFonts w:eastAsia="Andale Sans UI" w:cs="Tahoma"/>
          <w:i/>
          <w:sz w:val="18"/>
          <w:szCs w:val="18"/>
          <w:lang w:bidi="en-US"/>
        </w:rPr>
        <w:t>Fonte: Osservatorio Imprenditoria femminile Unioncamere-InfoCamere 2013.</w:t>
      </w:r>
    </w:p>
    <w:p w14:paraId="35A109DA" w14:textId="77777777" w:rsidR="00CD1294" w:rsidRDefault="00CD1294" w:rsidP="003730A0">
      <w:pPr>
        <w:rPr>
          <w:lang w:bidi="en-US"/>
        </w:rPr>
      </w:pPr>
      <w:r>
        <w:rPr>
          <w:lang w:bidi="en-US"/>
        </w:rPr>
        <w:lastRenderedPageBreak/>
        <w:t>Al 31 dicembre 2013 i</w:t>
      </w:r>
      <w:r w:rsidRPr="0032511F">
        <w:rPr>
          <w:lang w:bidi="en-US"/>
        </w:rPr>
        <w:t xml:space="preserve">n Umbria il numero complessivo delle imprese registrate è </w:t>
      </w:r>
      <w:r>
        <w:rPr>
          <w:lang w:bidi="en-US"/>
        </w:rPr>
        <w:t xml:space="preserve">risultato </w:t>
      </w:r>
      <w:r w:rsidRPr="0032511F">
        <w:rPr>
          <w:lang w:bidi="en-US"/>
        </w:rPr>
        <w:t xml:space="preserve">pari a 95.493 unità, </w:t>
      </w:r>
      <w:r>
        <w:rPr>
          <w:lang w:bidi="en-US"/>
        </w:rPr>
        <w:t>di cui 25.111 (il 26,3%) condotte da donne</w:t>
      </w:r>
      <w:r w:rsidRPr="0032511F">
        <w:rPr>
          <w:lang w:bidi="en-US"/>
        </w:rPr>
        <w:t xml:space="preserve">. </w:t>
      </w:r>
      <w:r>
        <w:rPr>
          <w:lang w:bidi="en-US"/>
        </w:rPr>
        <w:t>La percentuale risulta di quasi 3 punti superiore alla media nazionale.</w:t>
      </w:r>
    </w:p>
    <w:p w14:paraId="7E03CF47" w14:textId="77777777" w:rsidR="00CD1294" w:rsidRDefault="00CD1294" w:rsidP="003730A0">
      <w:pPr>
        <w:rPr>
          <w:lang w:bidi="en-US"/>
        </w:rPr>
      </w:pPr>
    </w:p>
    <w:p w14:paraId="7333C3E3" w14:textId="6E5BC552" w:rsidR="00CD1294" w:rsidRDefault="00CD1294" w:rsidP="007D4B0C">
      <w:pPr>
        <w:pStyle w:val="Titolotabella"/>
        <w:ind w:left="993" w:hanging="993"/>
      </w:pPr>
      <w:r>
        <w:t xml:space="preserve">Tabella </w:t>
      </w:r>
      <w:r w:rsidR="00354A10">
        <w:rPr>
          <w:noProof/>
        </w:rPr>
        <w:fldChar w:fldCharType="begin"/>
      </w:r>
      <w:r w:rsidR="00354A10">
        <w:rPr>
          <w:noProof/>
        </w:rPr>
        <w:instrText xml:space="preserve"> SEQ Tabella \* ARABIC </w:instrText>
      </w:r>
      <w:r w:rsidR="00354A10">
        <w:rPr>
          <w:noProof/>
        </w:rPr>
        <w:fldChar w:fldCharType="separate"/>
      </w:r>
      <w:r w:rsidR="00295319">
        <w:rPr>
          <w:noProof/>
        </w:rPr>
        <w:t>2</w:t>
      </w:r>
      <w:r w:rsidR="00354A10">
        <w:rPr>
          <w:noProof/>
        </w:rPr>
        <w:fldChar w:fldCharType="end"/>
      </w:r>
      <w:r>
        <w:t xml:space="preserve"> – Imprese registrate al 31 dicembre 2013 per regioni – Totale imprese e imprese giovanili</w:t>
      </w:r>
    </w:p>
    <w:tbl>
      <w:tblPr>
        <w:tblStyle w:val="Grigliatabel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932"/>
        <w:gridCol w:w="2042"/>
        <w:gridCol w:w="2042"/>
        <w:gridCol w:w="2044"/>
      </w:tblGrid>
      <w:tr w:rsidR="003730A0" w:rsidRPr="003730A0" w14:paraId="7553A2BE" w14:textId="77777777" w:rsidTr="003730A0">
        <w:tc>
          <w:tcPr>
            <w:tcW w:w="1618" w:type="pct"/>
            <w:vMerge w:val="restart"/>
            <w:shd w:val="clear" w:color="auto" w:fill="1F4E79" w:themeFill="accent1" w:themeFillShade="80"/>
            <w:vAlign w:val="center"/>
          </w:tcPr>
          <w:p w14:paraId="23EEC74A"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Regioni</w:t>
            </w:r>
          </w:p>
        </w:tc>
        <w:tc>
          <w:tcPr>
            <w:tcW w:w="3382" w:type="pct"/>
            <w:gridSpan w:val="3"/>
            <w:shd w:val="clear" w:color="auto" w:fill="1F4E79" w:themeFill="accent1" w:themeFillShade="80"/>
            <w:vAlign w:val="center"/>
          </w:tcPr>
          <w:p w14:paraId="1A60240C"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Imprese registrate</w:t>
            </w:r>
          </w:p>
        </w:tc>
      </w:tr>
      <w:tr w:rsidR="003730A0" w:rsidRPr="003730A0" w14:paraId="788B4CB4" w14:textId="77777777" w:rsidTr="003730A0">
        <w:tc>
          <w:tcPr>
            <w:tcW w:w="1618" w:type="pct"/>
            <w:vMerge/>
            <w:shd w:val="clear" w:color="auto" w:fill="1F4E79" w:themeFill="accent1" w:themeFillShade="80"/>
            <w:vAlign w:val="center"/>
          </w:tcPr>
          <w:p w14:paraId="249750AE" w14:textId="77777777" w:rsidR="00CD1294" w:rsidRPr="003730A0" w:rsidRDefault="00CD1294" w:rsidP="0047755C">
            <w:pPr>
              <w:widowControl w:val="0"/>
              <w:tabs>
                <w:tab w:val="left" w:pos="7936"/>
              </w:tabs>
              <w:spacing w:before="0" w:after="0"/>
              <w:rPr>
                <w:rFonts w:eastAsia="Times New Roman" w:cs="Times New Roman"/>
                <w:b/>
                <w:color w:val="FFFFFF" w:themeColor="background1"/>
                <w:lang w:bidi="en-US"/>
              </w:rPr>
            </w:pPr>
          </w:p>
        </w:tc>
        <w:tc>
          <w:tcPr>
            <w:tcW w:w="1127" w:type="pct"/>
            <w:shd w:val="clear" w:color="auto" w:fill="1F4E79" w:themeFill="accent1" w:themeFillShade="80"/>
            <w:vAlign w:val="center"/>
          </w:tcPr>
          <w:p w14:paraId="5BFEEE36"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Imprese giovanili</w:t>
            </w:r>
          </w:p>
        </w:tc>
        <w:tc>
          <w:tcPr>
            <w:tcW w:w="1127" w:type="pct"/>
            <w:shd w:val="clear" w:color="auto" w:fill="1F4E79" w:themeFill="accent1" w:themeFillShade="80"/>
            <w:vAlign w:val="center"/>
          </w:tcPr>
          <w:p w14:paraId="5E058700"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Totale imprese</w:t>
            </w:r>
          </w:p>
        </w:tc>
        <w:tc>
          <w:tcPr>
            <w:tcW w:w="1127" w:type="pct"/>
            <w:shd w:val="clear" w:color="auto" w:fill="1F4E79" w:themeFill="accent1" w:themeFillShade="80"/>
            <w:vAlign w:val="center"/>
          </w:tcPr>
          <w:p w14:paraId="1518EEBC"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Tasso di giovani</w:t>
            </w:r>
          </w:p>
        </w:tc>
      </w:tr>
      <w:tr w:rsidR="00CD1294" w:rsidRPr="00583F7E" w14:paraId="26E275E9" w14:textId="77777777" w:rsidTr="003730A0">
        <w:tc>
          <w:tcPr>
            <w:tcW w:w="1618" w:type="pct"/>
            <w:vAlign w:val="center"/>
          </w:tcPr>
          <w:p w14:paraId="130A8E41"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Abruzzo</w:t>
            </w:r>
          </w:p>
        </w:tc>
        <w:tc>
          <w:tcPr>
            <w:tcW w:w="1127" w:type="pct"/>
            <w:vAlign w:val="center"/>
          </w:tcPr>
          <w:p w14:paraId="170006A4"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14.568</w:t>
            </w:r>
          </w:p>
        </w:tc>
        <w:tc>
          <w:tcPr>
            <w:tcW w:w="1127" w:type="pct"/>
            <w:vAlign w:val="center"/>
          </w:tcPr>
          <w:p w14:paraId="770B8FC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149.334</w:t>
            </w:r>
          </w:p>
        </w:tc>
        <w:tc>
          <w:tcPr>
            <w:tcW w:w="1127" w:type="pct"/>
            <w:vAlign w:val="center"/>
          </w:tcPr>
          <w:p w14:paraId="11989D97"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9,8%</w:t>
            </w:r>
          </w:p>
        </w:tc>
      </w:tr>
      <w:tr w:rsidR="00CD1294" w:rsidRPr="00583F7E" w14:paraId="61428202" w14:textId="77777777" w:rsidTr="003730A0">
        <w:tc>
          <w:tcPr>
            <w:tcW w:w="1618" w:type="pct"/>
            <w:vAlign w:val="center"/>
          </w:tcPr>
          <w:p w14:paraId="58D22D21"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Basilicata</w:t>
            </w:r>
          </w:p>
        </w:tc>
        <w:tc>
          <w:tcPr>
            <w:tcW w:w="1127" w:type="pct"/>
            <w:vAlign w:val="center"/>
          </w:tcPr>
          <w:p w14:paraId="121A41C1"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6.374</w:t>
            </w:r>
          </w:p>
        </w:tc>
        <w:tc>
          <w:tcPr>
            <w:tcW w:w="1127" w:type="pct"/>
            <w:vAlign w:val="center"/>
          </w:tcPr>
          <w:p w14:paraId="145938C5"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60.260</w:t>
            </w:r>
          </w:p>
        </w:tc>
        <w:tc>
          <w:tcPr>
            <w:tcW w:w="1127" w:type="pct"/>
            <w:vAlign w:val="center"/>
          </w:tcPr>
          <w:p w14:paraId="3DE3A520"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10,6%</w:t>
            </w:r>
          </w:p>
        </w:tc>
      </w:tr>
      <w:tr w:rsidR="00CD1294" w:rsidRPr="00583F7E" w14:paraId="15554BB8" w14:textId="77777777" w:rsidTr="003730A0">
        <w:tc>
          <w:tcPr>
            <w:tcW w:w="1618" w:type="pct"/>
            <w:vAlign w:val="center"/>
          </w:tcPr>
          <w:p w14:paraId="4F826835"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Calabria</w:t>
            </w:r>
          </w:p>
        </w:tc>
        <w:tc>
          <w:tcPr>
            <w:tcW w:w="1127" w:type="pct"/>
            <w:vAlign w:val="center"/>
          </w:tcPr>
          <w:p w14:paraId="58E49F2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24.837</w:t>
            </w:r>
          </w:p>
        </w:tc>
        <w:tc>
          <w:tcPr>
            <w:tcW w:w="1127" w:type="pct"/>
            <w:vAlign w:val="center"/>
          </w:tcPr>
          <w:p w14:paraId="55BA9C91"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178.789</w:t>
            </w:r>
          </w:p>
        </w:tc>
        <w:tc>
          <w:tcPr>
            <w:tcW w:w="1127" w:type="pct"/>
            <w:vAlign w:val="center"/>
          </w:tcPr>
          <w:p w14:paraId="73155B1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13,9%</w:t>
            </w:r>
          </w:p>
        </w:tc>
      </w:tr>
      <w:tr w:rsidR="00CD1294" w:rsidRPr="00583F7E" w14:paraId="164CE37D" w14:textId="77777777" w:rsidTr="003730A0">
        <w:tc>
          <w:tcPr>
            <w:tcW w:w="1618" w:type="pct"/>
            <w:vAlign w:val="center"/>
          </w:tcPr>
          <w:p w14:paraId="04467FC7"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Campania</w:t>
            </w:r>
          </w:p>
        </w:tc>
        <w:tc>
          <w:tcPr>
            <w:tcW w:w="1127" w:type="pct"/>
            <w:vAlign w:val="center"/>
          </w:tcPr>
          <w:p w14:paraId="1FA0B60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69.420</w:t>
            </w:r>
          </w:p>
        </w:tc>
        <w:tc>
          <w:tcPr>
            <w:tcW w:w="1127" w:type="pct"/>
            <w:vAlign w:val="center"/>
          </w:tcPr>
          <w:p w14:paraId="7374285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561.732</w:t>
            </w:r>
          </w:p>
        </w:tc>
        <w:tc>
          <w:tcPr>
            <w:tcW w:w="1127" w:type="pct"/>
            <w:vAlign w:val="center"/>
          </w:tcPr>
          <w:p w14:paraId="4A3CB73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12,4%</w:t>
            </w:r>
          </w:p>
        </w:tc>
      </w:tr>
      <w:tr w:rsidR="00CD1294" w:rsidRPr="00583F7E" w14:paraId="50FF8859" w14:textId="77777777" w:rsidTr="003730A0">
        <w:tc>
          <w:tcPr>
            <w:tcW w:w="1618" w:type="pct"/>
            <w:vAlign w:val="center"/>
          </w:tcPr>
          <w:p w14:paraId="1EC00296"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Emilia Romagna</w:t>
            </w:r>
          </w:p>
        </w:tc>
        <w:tc>
          <w:tcPr>
            <w:tcW w:w="1127" w:type="pct"/>
            <w:vAlign w:val="center"/>
          </w:tcPr>
          <w:p w14:paraId="472FF59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36.682</w:t>
            </w:r>
          </w:p>
        </w:tc>
        <w:tc>
          <w:tcPr>
            <w:tcW w:w="1127" w:type="pct"/>
            <w:vAlign w:val="center"/>
          </w:tcPr>
          <w:p w14:paraId="15EE0F3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468.318</w:t>
            </w:r>
          </w:p>
        </w:tc>
        <w:tc>
          <w:tcPr>
            <w:tcW w:w="1127" w:type="pct"/>
            <w:vAlign w:val="center"/>
          </w:tcPr>
          <w:p w14:paraId="68CB0EB1"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7,8%</w:t>
            </w:r>
          </w:p>
        </w:tc>
      </w:tr>
      <w:tr w:rsidR="00CD1294" w:rsidRPr="00583F7E" w14:paraId="1E28469A" w14:textId="77777777" w:rsidTr="003730A0">
        <w:tc>
          <w:tcPr>
            <w:tcW w:w="1618" w:type="pct"/>
            <w:vAlign w:val="center"/>
          </w:tcPr>
          <w:p w14:paraId="761E9552"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Friuli-Venezia Giulia</w:t>
            </w:r>
          </w:p>
        </w:tc>
        <w:tc>
          <w:tcPr>
            <w:tcW w:w="1127" w:type="pct"/>
            <w:vAlign w:val="center"/>
          </w:tcPr>
          <w:p w14:paraId="0E53669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7.831</w:t>
            </w:r>
          </w:p>
        </w:tc>
        <w:tc>
          <w:tcPr>
            <w:tcW w:w="1127" w:type="pct"/>
            <w:vAlign w:val="center"/>
          </w:tcPr>
          <w:p w14:paraId="3092CB94"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107.418</w:t>
            </w:r>
          </w:p>
        </w:tc>
        <w:tc>
          <w:tcPr>
            <w:tcW w:w="1127" w:type="pct"/>
            <w:vAlign w:val="center"/>
          </w:tcPr>
          <w:p w14:paraId="0A98ACC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7,3%</w:t>
            </w:r>
          </w:p>
        </w:tc>
      </w:tr>
      <w:tr w:rsidR="00CD1294" w:rsidRPr="00583F7E" w14:paraId="29AC682C" w14:textId="77777777" w:rsidTr="003730A0">
        <w:tc>
          <w:tcPr>
            <w:tcW w:w="1618" w:type="pct"/>
            <w:vAlign w:val="center"/>
          </w:tcPr>
          <w:p w14:paraId="0A29374C"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Lazio</w:t>
            </w:r>
          </w:p>
        </w:tc>
        <w:tc>
          <w:tcPr>
            <w:tcW w:w="1127" w:type="pct"/>
            <w:vAlign w:val="center"/>
          </w:tcPr>
          <w:p w14:paraId="6A3B1EA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53.405</w:t>
            </w:r>
          </w:p>
        </w:tc>
        <w:tc>
          <w:tcPr>
            <w:tcW w:w="1127" w:type="pct"/>
            <w:vAlign w:val="center"/>
          </w:tcPr>
          <w:p w14:paraId="791491E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622.221</w:t>
            </w:r>
          </w:p>
        </w:tc>
        <w:tc>
          <w:tcPr>
            <w:tcW w:w="1127" w:type="pct"/>
            <w:vAlign w:val="center"/>
          </w:tcPr>
          <w:p w14:paraId="252F7BC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8,6%</w:t>
            </w:r>
          </w:p>
        </w:tc>
      </w:tr>
      <w:tr w:rsidR="00CD1294" w:rsidRPr="00583F7E" w14:paraId="4D76C534" w14:textId="77777777" w:rsidTr="003730A0">
        <w:tc>
          <w:tcPr>
            <w:tcW w:w="1618" w:type="pct"/>
            <w:vAlign w:val="center"/>
          </w:tcPr>
          <w:p w14:paraId="56252285"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Liguria</w:t>
            </w:r>
          </w:p>
        </w:tc>
        <w:tc>
          <w:tcPr>
            <w:tcW w:w="1127" w:type="pct"/>
            <w:vAlign w:val="center"/>
          </w:tcPr>
          <w:p w14:paraId="69AA2D8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13.727</w:t>
            </w:r>
          </w:p>
        </w:tc>
        <w:tc>
          <w:tcPr>
            <w:tcW w:w="1127" w:type="pct"/>
            <w:vAlign w:val="center"/>
          </w:tcPr>
          <w:p w14:paraId="40A2168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164.901</w:t>
            </w:r>
          </w:p>
        </w:tc>
        <w:tc>
          <w:tcPr>
            <w:tcW w:w="1127" w:type="pct"/>
            <w:vAlign w:val="center"/>
          </w:tcPr>
          <w:p w14:paraId="2547C5A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8,3%</w:t>
            </w:r>
          </w:p>
        </w:tc>
      </w:tr>
      <w:tr w:rsidR="00CD1294" w:rsidRPr="00583F7E" w14:paraId="1DEF50CC" w14:textId="77777777" w:rsidTr="003730A0">
        <w:tc>
          <w:tcPr>
            <w:tcW w:w="1618" w:type="pct"/>
            <w:vAlign w:val="center"/>
          </w:tcPr>
          <w:p w14:paraId="60782971"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Lombardia</w:t>
            </w:r>
          </w:p>
        </w:tc>
        <w:tc>
          <w:tcPr>
            <w:tcW w:w="1127" w:type="pct"/>
            <w:vAlign w:val="center"/>
          </w:tcPr>
          <w:p w14:paraId="7CDAADD0"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80.897</w:t>
            </w:r>
          </w:p>
        </w:tc>
        <w:tc>
          <w:tcPr>
            <w:tcW w:w="1127" w:type="pct"/>
            <w:vAlign w:val="center"/>
          </w:tcPr>
          <w:p w14:paraId="6C4AF5A0"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949.631</w:t>
            </w:r>
          </w:p>
        </w:tc>
        <w:tc>
          <w:tcPr>
            <w:tcW w:w="1127" w:type="pct"/>
            <w:vAlign w:val="center"/>
          </w:tcPr>
          <w:p w14:paraId="12BDFF14"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8,5%</w:t>
            </w:r>
          </w:p>
        </w:tc>
      </w:tr>
      <w:tr w:rsidR="00CD1294" w:rsidRPr="00583F7E" w14:paraId="33646A4B" w14:textId="77777777" w:rsidTr="003730A0">
        <w:tc>
          <w:tcPr>
            <w:tcW w:w="1618" w:type="pct"/>
            <w:vAlign w:val="center"/>
          </w:tcPr>
          <w:p w14:paraId="00FB743C"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Marche</w:t>
            </w:r>
          </w:p>
        </w:tc>
        <w:tc>
          <w:tcPr>
            <w:tcW w:w="1127" w:type="pct"/>
            <w:vAlign w:val="center"/>
          </w:tcPr>
          <w:p w14:paraId="49A6D845"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15.184</w:t>
            </w:r>
          </w:p>
        </w:tc>
        <w:tc>
          <w:tcPr>
            <w:tcW w:w="1127" w:type="pct"/>
            <w:vAlign w:val="center"/>
          </w:tcPr>
          <w:p w14:paraId="20C3AAE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175.617</w:t>
            </w:r>
          </w:p>
        </w:tc>
        <w:tc>
          <w:tcPr>
            <w:tcW w:w="1127" w:type="pct"/>
            <w:vAlign w:val="center"/>
          </w:tcPr>
          <w:p w14:paraId="0D8145E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8,6%</w:t>
            </w:r>
          </w:p>
        </w:tc>
      </w:tr>
      <w:tr w:rsidR="00CD1294" w:rsidRPr="00583F7E" w14:paraId="012AB4FF" w14:textId="77777777" w:rsidTr="003730A0">
        <w:tc>
          <w:tcPr>
            <w:tcW w:w="1618" w:type="pct"/>
            <w:vAlign w:val="center"/>
          </w:tcPr>
          <w:p w14:paraId="2E4E86E1"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Molise</w:t>
            </w:r>
          </w:p>
        </w:tc>
        <w:tc>
          <w:tcPr>
            <w:tcW w:w="1127" w:type="pct"/>
            <w:vAlign w:val="center"/>
          </w:tcPr>
          <w:p w14:paraId="1599321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3.819</w:t>
            </w:r>
          </w:p>
        </w:tc>
        <w:tc>
          <w:tcPr>
            <w:tcW w:w="1127" w:type="pct"/>
            <w:vAlign w:val="center"/>
          </w:tcPr>
          <w:p w14:paraId="312379B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35.019</w:t>
            </w:r>
          </w:p>
        </w:tc>
        <w:tc>
          <w:tcPr>
            <w:tcW w:w="1127" w:type="pct"/>
            <w:vAlign w:val="center"/>
          </w:tcPr>
          <w:p w14:paraId="390147C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10,9%</w:t>
            </w:r>
          </w:p>
        </w:tc>
      </w:tr>
      <w:tr w:rsidR="00CD1294" w:rsidRPr="00583F7E" w14:paraId="1E48562B" w14:textId="77777777" w:rsidTr="003730A0">
        <w:tc>
          <w:tcPr>
            <w:tcW w:w="1618" w:type="pct"/>
            <w:vAlign w:val="center"/>
          </w:tcPr>
          <w:p w14:paraId="5E6E541B"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Piemonte</w:t>
            </w:r>
          </w:p>
        </w:tc>
        <w:tc>
          <w:tcPr>
            <w:tcW w:w="1127" w:type="pct"/>
            <w:vAlign w:val="center"/>
          </w:tcPr>
          <w:p w14:paraId="499D75D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43.686</w:t>
            </w:r>
          </w:p>
        </w:tc>
        <w:tc>
          <w:tcPr>
            <w:tcW w:w="1127" w:type="pct"/>
            <w:vAlign w:val="center"/>
          </w:tcPr>
          <w:p w14:paraId="38BF6D5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454.613</w:t>
            </w:r>
          </w:p>
        </w:tc>
        <w:tc>
          <w:tcPr>
            <w:tcW w:w="1127" w:type="pct"/>
            <w:vAlign w:val="center"/>
          </w:tcPr>
          <w:p w14:paraId="22D3469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9,6%</w:t>
            </w:r>
          </w:p>
        </w:tc>
      </w:tr>
      <w:tr w:rsidR="00CD1294" w:rsidRPr="00583F7E" w14:paraId="3F68F01B" w14:textId="77777777" w:rsidTr="003730A0">
        <w:tc>
          <w:tcPr>
            <w:tcW w:w="1618" w:type="pct"/>
            <w:vAlign w:val="center"/>
          </w:tcPr>
          <w:p w14:paraId="581E6964"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Puglia</w:t>
            </w:r>
          </w:p>
        </w:tc>
        <w:tc>
          <w:tcPr>
            <w:tcW w:w="1127" w:type="pct"/>
            <w:vAlign w:val="center"/>
          </w:tcPr>
          <w:p w14:paraId="21BDFCE5"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43.919</w:t>
            </w:r>
          </w:p>
        </w:tc>
        <w:tc>
          <w:tcPr>
            <w:tcW w:w="1127" w:type="pct"/>
            <w:vAlign w:val="center"/>
          </w:tcPr>
          <w:p w14:paraId="109B8F5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380.243</w:t>
            </w:r>
          </w:p>
        </w:tc>
        <w:tc>
          <w:tcPr>
            <w:tcW w:w="1127" w:type="pct"/>
            <w:vAlign w:val="center"/>
          </w:tcPr>
          <w:p w14:paraId="3AD6041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11,6%</w:t>
            </w:r>
          </w:p>
        </w:tc>
      </w:tr>
      <w:tr w:rsidR="00CD1294" w:rsidRPr="00583F7E" w14:paraId="29BDA7D2" w14:textId="77777777" w:rsidTr="003730A0">
        <w:tc>
          <w:tcPr>
            <w:tcW w:w="1618" w:type="pct"/>
            <w:vAlign w:val="center"/>
          </w:tcPr>
          <w:p w14:paraId="37D0034A"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Sardegna</w:t>
            </w:r>
          </w:p>
        </w:tc>
        <w:tc>
          <w:tcPr>
            <w:tcW w:w="1127" w:type="pct"/>
            <w:vAlign w:val="center"/>
          </w:tcPr>
          <w:p w14:paraId="421B12A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16.035</w:t>
            </w:r>
          </w:p>
        </w:tc>
        <w:tc>
          <w:tcPr>
            <w:tcW w:w="1127" w:type="pct"/>
            <w:vAlign w:val="center"/>
          </w:tcPr>
          <w:p w14:paraId="23A7C300"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167.755</w:t>
            </w:r>
          </w:p>
        </w:tc>
        <w:tc>
          <w:tcPr>
            <w:tcW w:w="1127" w:type="pct"/>
            <w:vAlign w:val="center"/>
          </w:tcPr>
          <w:p w14:paraId="75F0962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9,6%</w:t>
            </w:r>
          </w:p>
        </w:tc>
      </w:tr>
      <w:tr w:rsidR="00CD1294" w:rsidRPr="00583F7E" w14:paraId="34AC28A5" w14:textId="77777777" w:rsidTr="003730A0">
        <w:tc>
          <w:tcPr>
            <w:tcW w:w="1618" w:type="pct"/>
            <w:vAlign w:val="center"/>
          </w:tcPr>
          <w:p w14:paraId="6BDBDFC1"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Sicilia</w:t>
            </w:r>
          </w:p>
        </w:tc>
        <w:tc>
          <w:tcPr>
            <w:tcW w:w="1127" w:type="pct"/>
            <w:vAlign w:val="center"/>
          </w:tcPr>
          <w:p w14:paraId="6D23DF5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53.992</w:t>
            </w:r>
          </w:p>
        </w:tc>
        <w:tc>
          <w:tcPr>
            <w:tcW w:w="1127" w:type="pct"/>
            <w:vAlign w:val="center"/>
          </w:tcPr>
          <w:p w14:paraId="143C83C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459.967</w:t>
            </w:r>
          </w:p>
        </w:tc>
        <w:tc>
          <w:tcPr>
            <w:tcW w:w="1127" w:type="pct"/>
            <w:vAlign w:val="center"/>
          </w:tcPr>
          <w:p w14:paraId="7098E59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11,7%</w:t>
            </w:r>
          </w:p>
        </w:tc>
      </w:tr>
      <w:tr w:rsidR="00CD1294" w:rsidRPr="00583F7E" w14:paraId="3EE4342B" w14:textId="77777777" w:rsidTr="003730A0">
        <w:tc>
          <w:tcPr>
            <w:tcW w:w="1618" w:type="pct"/>
            <w:vAlign w:val="center"/>
          </w:tcPr>
          <w:p w14:paraId="4BA01FAD"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Toscana</w:t>
            </w:r>
          </w:p>
        </w:tc>
        <w:tc>
          <w:tcPr>
            <w:tcW w:w="1127" w:type="pct"/>
            <w:vAlign w:val="center"/>
          </w:tcPr>
          <w:p w14:paraId="58EC129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37.346</w:t>
            </w:r>
          </w:p>
        </w:tc>
        <w:tc>
          <w:tcPr>
            <w:tcW w:w="1127" w:type="pct"/>
            <w:vAlign w:val="center"/>
          </w:tcPr>
          <w:p w14:paraId="73928737"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414.563</w:t>
            </w:r>
          </w:p>
        </w:tc>
        <w:tc>
          <w:tcPr>
            <w:tcW w:w="1127" w:type="pct"/>
            <w:vAlign w:val="center"/>
          </w:tcPr>
          <w:p w14:paraId="575A510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9,0%</w:t>
            </w:r>
          </w:p>
        </w:tc>
      </w:tr>
      <w:tr w:rsidR="00CD1294" w:rsidRPr="00583F7E" w14:paraId="04082E0F" w14:textId="77777777" w:rsidTr="003730A0">
        <w:tc>
          <w:tcPr>
            <w:tcW w:w="1618" w:type="pct"/>
            <w:vAlign w:val="center"/>
          </w:tcPr>
          <w:p w14:paraId="53B2244C"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Trentino Alto Adige</w:t>
            </w:r>
          </w:p>
        </w:tc>
        <w:tc>
          <w:tcPr>
            <w:tcW w:w="1127" w:type="pct"/>
            <w:vAlign w:val="center"/>
          </w:tcPr>
          <w:p w14:paraId="742746C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8.691</w:t>
            </w:r>
          </w:p>
        </w:tc>
        <w:tc>
          <w:tcPr>
            <w:tcW w:w="1127" w:type="pct"/>
            <w:vAlign w:val="center"/>
          </w:tcPr>
          <w:p w14:paraId="21D44CD1"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109.366</w:t>
            </w:r>
          </w:p>
        </w:tc>
        <w:tc>
          <w:tcPr>
            <w:tcW w:w="1127" w:type="pct"/>
            <w:vAlign w:val="center"/>
          </w:tcPr>
          <w:p w14:paraId="6893AAB1"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7,9%</w:t>
            </w:r>
          </w:p>
        </w:tc>
      </w:tr>
      <w:tr w:rsidR="00CD1294" w:rsidRPr="000B3BAD" w14:paraId="61F18E75" w14:textId="77777777" w:rsidTr="003730A0">
        <w:tc>
          <w:tcPr>
            <w:tcW w:w="1618" w:type="pct"/>
            <w:shd w:val="clear" w:color="auto" w:fill="BDD6EE" w:themeFill="accent1" w:themeFillTint="66"/>
            <w:vAlign w:val="center"/>
          </w:tcPr>
          <w:p w14:paraId="48DB9C30" w14:textId="77777777" w:rsidR="00CD1294" w:rsidRPr="000B3BAD" w:rsidRDefault="00CD1294" w:rsidP="0047755C">
            <w:pPr>
              <w:widowControl w:val="0"/>
              <w:tabs>
                <w:tab w:val="left" w:pos="7936"/>
              </w:tabs>
              <w:spacing w:before="0" w:after="0"/>
              <w:rPr>
                <w:rFonts w:eastAsia="Times New Roman" w:cs="Times New Roman"/>
                <w:b/>
                <w:color w:val="000000"/>
                <w:lang w:bidi="en-US"/>
              </w:rPr>
            </w:pPr>
            <w:r w:rsidRPr="000B3BAD">
              <w:rPr>
                <w:rFonts w:eastAsia="Times New Roman" w:cs="Times New Roman"/>
                <w:b/>
                <w:color w:val="000000"/>
                <w:lang w:bidi="en-US"/>
              </w:rPr>
              <w:t>Umbria</w:t>
            </w:r>
          </w:p>
        </w:tc>
        <w:tc>
          <w:tcPr>
            <w:tcW w:w="1127" w:type="pct"/>
            <w:shd w:val="clear" w:color="auto" w:fill="BDD6EE" w:themeFill="accent1" w:themeFillTint="66"/>
            <w:vAlign w:val="center"/>
          </w:tcPr>
          <w:p w14:paraId="2C03B3C2" w14:textId="77777777" w:rsidR="00CD1294" w:rsidRPr="000B3BAD" w:rsidRDefault="00CD1294" w:rsidP="0047755C">
            <w:pPr>
              <w:widowControl w:val="0"/>
              <w:tabs>
                <w:tab w:val="left" w:pos="7936"/>
              </w:tabs>
              <w:spacing w:before="0" w:after="0"/>
              <w:jc w:val="right"/>
              <w:rPr>
                <w:rFonts w:eastAsia="Times New Roman" w:cs="Times New Roman"/>
                <w:b/>
                <w:color w:val="000000"/>
                <w:lang w:bidi="en-US"/>
              </w:rPr>
            </w:pPr>
            <w:r w:rsidRPr="000B3BAD">
              <w:rPr>
                <w:b/>
              </w:rPr>
              <w:t>8.273</w:t>
            </w:r>
          </w:p>
        </w:tc>
        <w:tc>
          <w:tcPr>
            <w:tcW w:w="1127" w:type="pct"/>
            <w:shd w:val="clear" w:color="auto" w:fill="BDD6EE" w:themeFill="accent1" w:themeFillTint="66"/>
            <w:vAlign w:val="center"/>
          </w:tcPr>
          <w:p w14:paraId="2513D68C" w14:textId="77777777" w:rsidR="00CD1294" w:rsidRPr="000B3BAD" w:rsidRDefault="00CD1294" w:rsidP="0047755C">
            <w:pPr>
              <w:widowControl w:val="0"/>
              <w:tabs>
                <w:tab w:val="left" w:pos="7936"/>
              </w:tabs>
              <w:spacing w:before="0" w:after="0"/>
              <w:jc w:val="right"/>
              <w:rPr>
                <w:rFonts w:eastAsia="Times New Roman" w:cs="Times New Roman"/>
                <w:b/>
                <w:color w:val="000000"/>
                <w:lang w:bidi="en-US"/>
              </w:rPr>
            </w:pPr>
            <w:r w:rsidRPr="000B3BAD">
              <w:rPr>
                <w:rFonts w:eastAsia="Times New Roman" w:cs="Times New Roman"/>
                <w:b/>
                <w:color w:val="000000"/>
                <w:lang w:bidi="en-US"/>
              </w:rPr>
              <w:t>95.493</w:t>
            </w:r>
          </w:p>
        </w:tc>
        <w:tc>
          <w:tcPr>
            <w:tcW w:w="1127" w:type="pct"/>
            <w:shd w:val="clear" w:color="auto" w:fill="BDD6EE" w:themeFill="accent1" w:themeFillTint="66"/>
            <w:vAlign w:val="center"/>
          </w:tcPr>
          <w:p w14:paraId="051A6DC3" w14:textId="77777777" w:rsidR="00CD1294" w:rsidRPr="000B3BAD" w:rsidRDefault="00CD1294" w:rsidP="0047755C">
            <w:pPr>
              <w:widowControl w:val="0"/>
              <w:tabs>
                <w:tab w:val="left" w:pos="7936"/>
              </w:tabs>
              <w:spacing w:before="0" w:after="0"/>
              <w:jc w:val="right"/>
              <w:rPr>
                <w:rFonts w:eastAsia="Times New Roman" w:cs="Times New Roman"/>
                <w:b/>
                <w:color w:val="000000"/>
                <w:lang w:bidi="en-US"/>
              </w:rPr>
            </w:pPr>
            <w:r w:rsidRPr="000B3BAD">
              <w:rPr>
                <w:b/>
              </w:rPr>
              <w:t>8,7%</w:t>
            </w:r>
          </w:p>
        </w:tc>
      </w:tr>
      <w:tr w:rsidR="00CD1294" w:rsidRPr="00583F7E" w14:paraId="16A5BF95" w14:textId="77777777" w:rsidTr="003730A0">
        <w:tc>
          <w:tcPr>
            <w:tcW w:w="1618" w:type="pct"/>
            <w:vAlign w:val="center"/>
          </w:tcPr>
          <w:p w14:paraId="0AF2F653"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Valle d’Aosta</w:t>
            </w:r>
          </w:p>
        </w:tc>
        <w:tc>
          <w:tcPr>
            <w:tcW w:w="1127" w:type="pct"/>
            <w:vAlign w:val="center"/>
          </w:tcPr>
          <w:p w14:paraId="25E07D2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1.165</w:t>
            </w:r>
          </w:p>
        </w:tc>
        <w:tc>
          <w:tcPr>
            <w:tcW w:w="1127" w:type="pct"/>
            <w:vAlign w:val="center"/>
          </w:tcPr>
          <w:p w14:paraId="302D56E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13.544</w:t>
            </w:r>
          </w:p>
        </w:tc>
        <w:tc>
          <w:tcPr>
            <w:tcW w:w="1127" w:type="pct"/>
            <w:vAlign w:val="center"/>
          </w:tcPr>
          <w:p w14:paraId="566C5FD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8,6%</w:t>
            </w:r>
          </w:p>
        </w:tc>
      </w:tr>
      <w:tr w:rsidR="00CD1294" w:rsidRPr="00583F7E" w14:paraId="645C1A97" w14:textId="77777777" w:rsidTr="003730A0">
        <w:tc>
          <w:tcPr>
            <w:tcW w:w="1618" w:type="pct"/>
            <w:vAlign w:val="center"/>
          </w:tcPr>
          <w:p w14:paraId="6FB36FFF"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Veneto</w:t>
            </w:r>
          </w:p>
        </w:tc>
        <w:tc>
          <w:tcPr>
            <w:tcW w:w="1127" w:type="pct"/>
            <w:vAlign w:val="center"/>
          </w:tcPr>
          <w:p w14:paraId="51DC84A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E05B0">
              <w:t>39.096</w:t>
            </w:r>
          </w:p>
        </w:tc>
        <w:tc>
          <w:tcPr>
            <w:tcW w:w="1127" w:type="pct"/>
            <w:vAlign w:val="center"/>
          </w:tcPr>
          <w:p w14:paraId="13DA77D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583F7E">
              <w:rPr>
                <w:rFonts w:eastAsia="Times New Roman" w:cs="Times New Roman"/>
                <w:color w:val="000000"/>
                <w:lang w:bidi="en-US"/>
              </w:rPr>
              <w:t>493.176</w:t>
            </w:r>
          </w:p>
        </w:tc>
        <w:tc>
          <w:tcPr>
            <w:tcW w:w="1127" w:type="pct"/>
            <w:vAlign w:val="center"/>
          </w:tcPr>
          <w:p w14:paraId="3F34B6F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352733">
              <w:t>7,9%</w:t>
            </w:r>
          </w:p>
        </w:tc>
      </w:tr>
      <w:tr w:rsidR="00CD1294" w:rsidRPr="000B3BAD" w14:paraId="77E5062C" w14:textId="77777777" w:rsidTr="003730A0">
        <w:tc>
          <w:tcPr>
            <w:tcW w:w="1618" w:type="pct"/>
            <w:vAlign w:val="center"/>
          </w:tcPr>
          <w:p w14:paraId="3C74EC2C" w14:textId="77777777" w:rsidR="00CD1294" w:rsidRPr="000B3BAD" w:rsidRDefault="00CD1294" w:rsidP="0047755C">
            <w:pPr>
              <w:widowControl w:val="0"/>
              <w:tabs>
                <w:tab w:val="left" w:pos="7936"/>
              </w:tabs>
              <w:spacing w:before="0" w:after="0"/>
              <w:rPr>
                <w:rFonts w:eastAsia="Times New Roman" w:cs="Times New Roman"/>
                <w:b/>
                <w:color w:val="000000"/>
                <w:lang w:bidi="en-US"/>
              </w:rPr>
            </w:pPr>
            <w:r w:rsidRPr="000B3BAD">
              <w:rPr>
                <w:rFonts w:eastAsia="Times New Roman" w:cs="Times New Roman"/>
                <w:b/>
                <w:color w:val="000000"/>
                <w:lang w:bidi="en-US"/>
              </w:rPr>
              <w:t>Italia</w:t>
            </w:r>
          </w:p>
        </w:tc>
        <w:tc>
          <w:tcPr>
            <w:tcW w:w="1127" w:type="pct"/>
            <w:vAlign w:val="center"/>
          </w:tcPr>
          <w:p w14:paraId="6C951B3D" w14:textId="77777777" w:rsidR="00CD1294" w:rsidRPr="000B3BAD" w:rsidRDefault="00CD1294" w:rsidP="0047755C">
            <w:pPr>
              <w:widowControl w:val="0"/>
              <w:tabs>
                <w:tab w:val="left" w:pos="7936"/>
              </w:tabs>
              <w:spacing w:before="0" w:after="0"/>
              <w:jc w:val="right"/>
              <w:rPr>
                <w:rFonts w:eastAsia="Times New Roman" w:cs="Times New Roman"/>
                <w:b/>
                <w:color w:val="000000"/>
                <w:lang w:bidi="en-US"/>
              </w:rPr>
            </w:pPr>
            <w:r w:rsidRPr="000B3BAD">
              <w:rPr>
                <w:b/>
              </w:rPr>
              <w:t>578.947</w:t>
            </w:r>
          </w:p>
        </w:tc>
        <w:tc>
          <w:tcPr>
            <w:tcW w:w="1127" w:type="pct"/>
            <w:vAlign w:val="center"/>
          </w:tcPr>
          <w:p w14:paraId="2F42E966" w14:textId="77777777" w:rsidR="00CD1294" w:rsidRPr="000B3BAD" w:rsidRDefault="00CD1294" w:rsidP="0047755C">
            <w:pPr>
              <w:widowControl w:val="0"/>
              <w:tabs>
                <w:tab w:val="left" w:pos="7936"/>
              </w:tabs>
              <w:spacing w:before="0" w:after="0"/>
              <w:jc w:val="right"/>
              <w:rPr>
                <w:rFonts w:eastAsia="Times New Roman" w:cs="Times New Roman"/>
                <w:b/>
                <w:color w:val="000000"/>
                <w:lang w:bidi="en-US"/>
              </w:rPr>
            </w:pPr>
            <w:r w:rsidRPr="000B3BAD">
              <w:rPr>
                <w:rFonts w:eastAsia="Times New Roman" w:cs="Times New Roman"/>
                <w:b/>
                <w:color w:val="000000"/>
                <w:lang w:bidi="en-US"/>
              </w:rPr>
              <w:t>6.061.960</w:t>
            </w:r>
          </w:p>
        </w:tc>
        <w:tc>
          <w:tcPr>
            <w:tcW w:w="1127" w:type="pct"/>
            <w:vAlign w:val="center"/>
          </w:tcPr>
          <w:p w14:paraId="3500B9CF" w14:textId="77777777" w:rsidR="00CD1294" w:rsidRPr="000B3BAD" w:rsidRDefault="00CD1294" w:rsidP="0047755C">
            <w:pPr>
              <w:widowControl w:val="0"/>
              <w:tabs>
                <w:tab w:val="left" w:pos="7936"/>
              </w:tabs>
              <w:spacing w:before="0" w:after="0"/>
              <w:jc w:val="right"/>
              <w:rPr>
                <w:rFonts w:eastAsia="Times New Roman" w:cs="Times New Roman"/>
                <w:b/>
                <w:color w:val="000000"/>
                <w:lang w:bidi="en-US"/>
              </w:rPr>
            </w:pPr>
            <w:r w:rsidRPr="000B3BAD">
              <w:rPr>
                <w:b/>
              </w:rPr>
              <w:t>9,6%</w:t>
            </w:r>
          </w:p>
        </w:tc>
      </w:tr>
    </w:tbl>
    <w:p w14:paraId="282ACD3B" w14:textId="77777777" w:rsidR="00CD1294" w:rsidRPr="00A80CDD" w:rsidRDefault="00CD1294" w:rsidP="00CD1294">
      <w:pPr>
        <w:widowControl w:val="0"/>
        <w:spacing w:before="0" w:after="0"/>
        <w:rPr>
          <w:rFonts w:eastAsia="Andale Sans UI" w:cs="Tahoma"/>
          <w:i/>
          <w:sz w:val="18"/>
          <w:szCs w:val="18"/>
          <w:lang w:bidi="en-US"/>
        </w:rPr>
      </w:pPr>
      <w:r w:rsidRPr="00A80CDD">
        <w:rPr>
          <w:rFonts w:eastAsia="Andale Sans UI" w:cs="Tahoma"/>
          <w:i/>
          <w:sz w:val="18"/>
          <w:szCs w:val="18"/>
          <w:lang w:bidi="en-US"/>
        </w:rPr>
        <w:t>Fonte: Osservatorio Imprenditoria femminile Unioncamere-InfoCamere 2013.</w:t>
      </w:r>
    </w:p>
    <w:p w14:paraId="0D102508" w14:textId="77777777" w:rsidR="00CD1294" w:rsidRDefault="00CD1294" w:rsidP="003730A0">
      <w:pPr>
        <w:rPr>
          <w:lang w:bidi="en-US"/>
        </w:rPr>
      </w:pPr>
    </w:p>
    <w:p w14:paraId="3F695A28" w14:textId="77777777" w:rsidR="00CD1294" w:rsidRDefault="00CD1294" w:rsidP="003730A0">
      <w:pPr>
        <w:rPr>
          <w:lang w:bidi="en-US"/>
        </w:rPr>
      </w:pPr>
      <w:r>
        <w:rPr>
          <w:lang w:bidi="en-US"/>
        </w:rPr>
        <w:t>Per quanto concerne l’imprenditorialità giovanile, con 8.273 imprese condotte da under 40 su 95.493 il tasso di giovani imprenditori in Umbria risulta pari all’8,7%, un valore inferiore di quasi un punto rispetto alla media nazionale.</w:t>
      </w:r>
    </w:p>
    <w:p w14:paraId="2B745E37" w14:textId="77777777" w:rsidR="00CD1294" w:rsidRPr="00C5324D" w:rsidRDefault="00CD1294" w:rsidP="003730A0">
      <w:pPr>
        <w:rPr>
          <w:b/>
          <w:i/>
          <w:lang w:bidi="en-US"/>
        </w:rPr>
      </w:pPr>
      <w:r>
        <w:rPr>
          <w:lang w:bidi="en-US"/>
        </w:rPr>
        <w:t>Analizzando più in profondità i singoli settori economici, c</w:t>
      </w:r>
      <w:r w:rsidRPr="0032511F">
        <w:rPr>
          <w:lang w:bidi="en-US"/>
        </w:rPr>
        <w:t>ome si può vedere dalla tabel</w:t>
      </w:r>
      <w:r>
        <w:rPr>
          <w:lang w:bidi="en-US"/>
        </w:rPr>
        <w:t>la sottostante, il turismo e l’a</w:t>
      </w:r>
      <w:r w:rsidRPr="0032511F">
        <w:rPr>
          <w:lang w:bidi="en-US"/>
        </w:rPr>
        <w:t xml:space="preserve">gricoltura </w:t>
      </w:r>
      <w:r>
        <w:rPr>
          <w:lang w:bidi="en-US"/>
        </w:rPr>
        <w:t>era</w:t>
      </w:r>
      <w:r w:rsidRPr="0032511F">
        <w:rPr>
          <w:lang w:bidi="en-US"/>
        </w:rPr>
        <w:t>no di gran lunga i principali comparti dell’economia umbra in termini di numerosità delle aziende</w:t>
      </w:r>
      <w:r>
        <w:rPr>
          <w:lang w:bidi="en-US"/>
        </w:rPr>
        <w:t xml:space="preserve"> al femminile</w:t>
      </w:r>
      <w:r w:rsidRPr="0032511F">
        <w:rPr>
          <w:lang w:bidi="en-US"/>
        </w:rPr>
        <w:t xml:space="preserve">: nel 2013, il </w:t>
      </w:r>
      <w:r>
        <w:rPr>
          <w:lang w:bidi="en-US"/>
        </w:rPr>
        <w:t>35,2</w:t>
      </w:r>
      <w:r w:rsidRPr="0032511F">
        <w:rPr>
          <w:lang w:bidi="en-US"/>
        </w:rPr>
        <w:t xml:space="preserve">% delle imprese attive nel </w:t>
      </w:r>
      <w:r>
        <w:rPr>
          <w:lang w:bidi="en-US"/>
        </w:rPr>
        <w:t>turism</w:t>
      </w:r>
      <w:r w:rsidRPr="0032511F">
        <w:rPr>
          <w:lang w:bidi="en-US"/>
        </w:rPr>
        <w:t xml:space="preserve">o </w:t>
      </w:r>
      <w:r>
        <w:rPr>
          <w:lang w:bidi="en-US"/>
        </w:rPr>
        <w:t xml:space="preserve">erano a conduzione femminile, così come il 33,7% lo erano in campo agricolo. A seguire si trovano il </w:t>
      </w:r>
      <w:r w:rsidRPr="004B53A0">
        <w:rPr>
          <w:lang w:bidi="en-US"/>
        </w:rPr>
        <w:t>c</w:t>
      </w:r>
      <w:r>
        <w:rPr>
          <w:rFonts w:eastAsia="Andale Sans UI" w:cs="Tahoma"/>
          <w:lang w:bidi="en-US"/>
        </w:rPr>
        <w:t>ommercio</w:t>
      </w:r>
      <w:r w:rsidRPr="004B53A0">
        <w:rPr>
          <w:rFonts w:eastAsia="Andale Sans UI" w:cs="Tahoma"/>
          <w:lang w:bidi="en-US"/>
        </w:rPr>
        <w:t xml:space="preserve"> con il 29%</w:t>
      </w:r>
      <w:r>
        <w:rPr>
          <w:rFonts w:eastAsia="Andale Sans UI" w:cs="Tahoma"/>
          <w:lang w:bidi="en-US"/>
        </w:rPr>
        <w:t>, poi i</w:t>
      </w:r>
      <w:r w:rsidRPr="004B53A0">
        <w:rPr>
          <w:rFonts w:eastAsia="Andale Sans UI" w:cs="Tahoma"/>
          <w:lang w:bidi="en-US"/>
        </w:rPr>
        <w:t>l settore delle “Assicurazioni e credito</w:t>
      </w:r>
      <w:r>
        <w:rPr>
          <w:rFonts w:eastAsia="Andale Sans UI" w:cs="Tahoma"/>
          <w:lang w:bidi="en-US"/>
        </w:rPr>
        <w:t>”, quello dei “Servizi”, delle “</w:t>
      </w:r>
      <w:r w:rsidRPr="004B53A0">
        <w:rPr>
          <w:rFonts w:eastAsia="Andale Sans UI" w:cs="Tahoma"/>
          <w:lang w:bidi="en-US"/>
        </w:rPr>
        <w:t>Attività manifatturiere”, dei “Trasporti e spedizioni” ed infine quello delle costru</w:t>
      </w:r>
      <w:r>
        <w:rPr>
          <w:rFonts w:eastAsia="Andale Sans UI" w:cs="Tahoma"/>
          <w:lang w:bidi="en-US"/>
        </w:rPr>
        <w:t>zioni con la percentuale minore.</w:t>
      </w:r>
      <w:r w:rsidRPr="00C5324D">
        <w:rPr>
          <w:b/>
          <w:i/>
          <w:color w:val="000066"/>
          <w:lang w:bidi="en-US"/>
        </w:rPr>
        <w:t xml:space="preserve"> </w:t>
      </w:r>
    </w:p>
    <w:p w14:paraId="2A4F404B" w14:textId="77777777" w:rsidR="00CD1294" w:rsidRDefault="00CD1294" w:rsidP="003730A0">
      <w:pPr>
        <w:rPr>
          <w:lang w:bidi="en-US"/>
        </w:rPr>
      </w:pPr>
    </w:p>
    <w:p w14:paraId="3D624EB2" w14:textId="73CD5ACA" w:rsidR="00CD1294" w:rsidRDefault="00CD1294" w:rsidP="007D4B0C">
      <w:pPr>
        <w:pStyle w:val="Titolotabella"/>
        <w:ind w:left="993" w:hanging="993"/>
      </w:pPr>
      <w:r>
        <w:t xml:space="preserve">Tabella </w:t>
      </w:r>
      <w:r w:rsidR="002A0777">
        <w:rPr>
          <w:noProof/>
        </w:rPr>
        <w:fldChar w:fldCharType="begin"/>
      </w:r>
      <w:r w:rsidR="002A0777">
        <w:rPr>
          <w:noProof/>
        </w:rPr>
        <w:instrText xml:space="preserve"> SEQ Tabella \* ARABIC </w:instrText>
      </w:r>
      <w:r w:rsidR="002A0777">
        <w:rPr>
          <w:noProof/>
        </w:rPr>
        <w:fldChar w:fldCharType="separate"/>
      </w:r>
      <w:r w:rsidR="00295319">
        <w:rPr>
          <w:noProof/>
        </w:rPr>
        <w:t>3</w:t>
      </w:r>
      <w:r w:rsidR="002A0777">
        <w:rPr>
          <w:noProof/>
        </w:rPr>
        <w:fldChar w:fldCharType="end"/>
      </w:r>
      <w:r>
        <w:t xml:space="preserve"> - </w:t>
      </w:r>
      <w:r w:rsidRPr="00C31575">
        <w:t>Incidenza percentuale delle imprese femminili in Umbria per settore economico – 31/12/2013</w:t>
      </w:r>
    </w:p>
    <w:tbl>
      <w:tblPr>
        <w:tblStyle w:val="Grigliatabel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gridCol w:w="2326"/>
        <w:gridCol w:w="2254"/>
      </w:tblGrid>
      <w:tr w:rsidR="003730A0" w:rsidRPr="003730A0" w14:paraId="660BE833" w14:textId="77777777" w:rsidTr="003730A0">
        <w:trPr>
          <w:cantSplit/>
          <w:tblHeader/>
        </w:trPr>
        <w:tc>
          <w:tcPr>
            <w:tcW w:w="4957" w:type="dxa"/>
            <w:shd w:val="clear" w:color="auto" w:fill="1F4E79" w:themeFill="accent1" w:themeFillShade="80"/>
            <w:vAlign w:val="center"/>
          </w:tcPr>
          <w:p w14:paraId="7F71C725" w14:textId="77777777" w:rsidR="00CD1294" w:rsidRPr="003730A0" w:rsidRDefault="00CD1294" w:rsidP="0047755C">
            <w:pPr>
              <w:widowControl w:val="0"/>
              <w:spacing w:before="0" w:after="0"/>
              <w:jc w:val="center"/>
              <w:rPr>
                <w:rFonts w:eastAsia="Andale Sans UI" w:cs="Tahoma"/>
                <w:b/>
                <w:color w:val="FFFFFF" w:themeColor="background1"/>
                <w:lang w:bidi="en-US"/>
              </w:rPr>
            </w:pPr>
            <w:r w:rsidRPr="003730A0">
              <w:rPr>
                <w:rFonts w:eastAsia="Andale Sans UI" w:cs="Tahoma"/>
                <w:b/>
                <w:color w:val="FFFFFF" w:themeColor="background1"/>
                <w:lang w:bidi="en-US"/>
              </w:rPr>
              <w:t>Attività</w:t>
            </w:r>
          </w:p>
        </w:tc>
        <w:tc>
          <w:tcPr>
            <w:tcW w:w="2551" w:type="dxa"/>
            <w:shd w:val="clear" w:color="auto" w:fill="1F4E79" w:themeFill="accent1" w:themeFillShade="80"/>
            <w:vAlign w:val="center"/>
          </w:tcPr>
          <w:p w14:paraId="4AF1D765" w14:textId="77777777" w:rsidR="00CD1294" w:rsidRPr="003730A0" w:rsidRDefault="00CD1294" w:rsidP="0047755C">
            <w:pPr>
              <w:widowControl w:val="0"/>
              <w:spacing w:before="0" w:after="0"/>
              <w:jc w:val="center"/>
              <w:rPr>
                <w:rFonts w:eastAsia="Andale Sans UI" w:cs="Tahoma"/>
                <w:b/>
                <w:color w:val="FFFFFF" w:themeColor="background1"/>
                <w:lang w:bidi="en-US"/>
              </w:rPr>
            </w:pPr>
            <w:r w:rsidRPr="003730A0">
              <w:rPr>
                <w:rFonts w:eastAsia="Andale Sans UI" w:cs="Tahoma"/>
                <w:b/>
                <w:color w:val="FFFFFF" w:themeColor="background1"/>
                <w:lang w:bidi="en-US"/>
              </w:rPr>
              <w:t>Valori assoluti</w:t>
            </w:r>
          </w:p>
        </w:tc>
        <w:tc>
          <w:tcPr>
            <w:tcW w:w="2403" w:type="dxa"/>
            <w:shd w:val="clear" w:color="auto" w:fill="1F4E79" w:themeFill="accent1" w:themeFillShade="80"/>
            <w:vAlign w:val="center"/>
          </w:tcPr>
          <w:p w14:paraId="3AE10865" w14:textId="77777777" w:rsidR="00CD1294" w:rsidRPr="003730A0" w:rsidRDefault="00CD1294" w:rsidP="0047755C">
            <w:pPr>
              <w:widowControl w:val="0"/>
              <w:spacing w:before="0" w:after="0"/>
              <w:jc w:val="center"/>
              <w:rPr>
                <w:rFonts w:eastAsia="Andale Sans UI" w:cs="Tahoma"/>
                <w:b/>
                <w:color w:val="FFFFFF" w:themeColor="background1"/>
                <w:lang w:bidi="en-US"/>
              </w:rPr>
            </w:pPr>
            <w:r w:rsidRPr="003730A0">
              <w:rPr>
                <w:rFonts w:eastAsia="Andale Sans UI" w:cs="Tahoma"/>
                <w:b/>
                <w:color w:val="FFFFFF" w:themeColor="background1"/>
                <w:lang w:bidi="en-US"/>
              </w:rPr>
              <w:t>Percentuale</w:t>
            </w:r>
          </w:p>
        </w:tc>
      </w:tr>
      <w:tr w:rsidR="00CD1294" w:rsidRPr="00C31575" w14:paraId="12CB928E" w14:textId="77777777" w:rsidTr="003730A0">
        <w:tc>
          <w:tcPr>
            <w:tcW w:w="4957" w:type="dxa"/>
            <w:vAlign w:val="center"/>
          </w:tcPr>
          <w:p w14:paraId="71D7E0BD"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t>Agricoltura e attività connesse</w:t>
            </w:r>
          </w:p>
        </w:tc>
        <w:tc>
          <w:tcPr>
            <w:tcW w:w="2551" w:type="dxa"/>
            <w:vAlign w:val="center"/>
          </w:tcPr>
          <w:p w14:paraId="01D5A84D"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5.876</w:t>
            </w:r>
          </w:p>
        </w:tc>
        <w:tc>
          <w:tcPr>
            <w:tcW w:w="2403" w:type="dxa"/>
            <w:vAlign w:val="center"/>
          </w:tcPr>
          <w:p w14:paraId="7CA64C57"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33,7</w:t>
            </w:r>
          </w:p>
        </w:tc>
      </w:tr>
      <w:tr w:rsidR="00CD1294" w:rsidRPr="00C31575" w14:paraId="42053E51" w14:textId="77777777" w:rsidTr="003730A0">
        <w:tc>
          <w:tcPr>
            <w:tcW w:w="4957" w:type="dxa"/>
            <w:vAlign w:val="center"/>
          </w:tcPr>
          <w:p w14:paraId="26C22030"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t>Attività manifatturiere, energia</w:t>
            </w:r>
          </w:p>
        </w:tc>
        <w:tc>
          <w:tcPr>
            <w:tcW w:w="2551" w:type="dxa"/>
            <w:vAlign w:val="center"/>
          </w:tcPr>
          <w:p w14:paraId="005999AC"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2.225</w:t>
            </w:r>
          </w:p>
        </w:tc>
        <w:tc>
          <w:tcPr>
            <w:tcW w:w="2403" w:type="dxa"/>
            <w:vAlign w:val="center"/>
          </w:tcPr>
          <w:p w14:paraId="086912DC"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22,6</w:t>
            </w:r>
          </w:p>
        </w:tc>
      </w:tr>
      <w:tr w:rsidR="00CD1294" w:rsidRPr="00C31575" w14:paraId="230D4315" w14:textId="77777777" w:rsidTr="003730A0">
        <w:tc>
          <w:tcPr>
            <w:tcW w:w="4957" w:type="dxa"/>
            <w:vAlign w:val="center"/>
          </w:tcPr>
          <w:p w14:paraId="5E347AB6"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t>Costruzioni</w:t>
            </w:r>
          </w:p>
        </w:tc>
        <w:tc>
          <w:tcPr>
            <w:tcW w:w="2551" w:type="dxa"/>
            <w:vAlign w:val="center"/>
          </w:tcPr>
          <w:p w14:paraId="1E548C1C"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882</w:t>
            </w:r>
          </w:p>
        </w:tc>
        <w:tc>
          <w:tcPr>
            <w:tcW w:w="2403" w:type="dxa"/>
            <w:vAlign w:val="center"/>
          </w:tcPr>
          <w:p w14:paraId="2C8FC88B"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6,5</w:t>
            </w:r>
          </w:p>
        </w:tc>
      </w:tr>
      <w:tr w:rsidR="00CD1294" w:rsidRPr="00C31575" w14:paraId="7A3C2F13" w14:textId="77777777" w:rsidTr="003730A0">
        <w:tc>
          <w:tcPr>
            <w:tcW w:w="4957" w:type="dxa"/>
            <w:vAlign w:val="center"/>
          </w:tcPr>
          <w:p w14:paraId="4ED33426"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t>Commercio</w:t>
            </w:r>
          </w:p>
        </w:tc>
        <w:tc>
          <w:tcPr>
            <w:tcW w:w="2551" w:type="dxa"/>
            <w:vAlign w:val="center"/>
          </w:tcPr>
          <w:p w14:paraId="17848680"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6.492</w:t>
            </w:r>
          </w:p>
        </w:tc>
        <w:tc>
          <w:tcPr>
            <w:tcW w:w="2403" w:type="dxa"/>
            <w:vAlign w:val="center"/>
          </w:tcPr>
          <w:p w14:paraId="5228972B"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29,0</w:t>
            </w:r>
          </w:p>
        </w:tc>
      </w:tr>
      <w:tr w:rsidR="00CD1294" w:rsidRPr="00C31575" w14:paraId="2133383B" w14:textId="77777777" w:rsidTr="003730A0">
        <w:tc>
          <w:tcPr>
            <w:tcW w:w="4957" w:type="dxa"/>
            <w:vAlign w:val="center"/>
          </w:tcPr>
          <w:p w14:paraId="71E6DFAA"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t>Turismo</w:t>
            </w:r>
          </w:p>
        </w:tc>
        <w:tc>
          <w:tcPr>
            <w:tcW w:w="2551" w:type="dxa"/>
            <w:vAlign w:val="center"/>
          </w:tcPr>
          <w:p w14:paraId="411F6F06"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2.188</w:t>
            </w:r>
          </w:p>
        </w:tc>
        <w:tc>
          <w:tcPr>
            <w:tcW w:w="2403" w:type="dxa"/>
            <w:vAlign w:val="center"/>
          </w:tcPr>
          <w:p w14:paraId="6DF3132B"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35,2</w:t>
            </w:r>
          </w:p>
        </w:tc>
      </w:tr>
      <w:tr w:rsidR="00CD1294" w:rsidRPr="00C31575" w14:paraId="6C8EC272" w14:textId="77777777" w:rsidTr="003730A0">
        <w:tc>
          <w:tcPr>
            <w:tcW w:w="4957" w:type="dxa"/>
            <w:vAlign w:val="center"/>
          </w:tcPr>
          <w:p w14:paraId="45010095"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lastRenderedPageBreak/>
              <w:t>Trasporti e spedizioni</w:t>
            </w:r>
          </w:p>
        </w:tc>
        <w:tc>
          <w:tcPr>
            <w:tcW w:w="2551" w:type="dxa"/>
            <w:vAlign w:val="center"/>
          </w:tcPr>
          <w:p w14:paraId="5280231A"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257</w:t>
            </w:r>
          </w:p>
        </w:tc>
        <w:tc>
          <w:tcPr>
            <w:tcW w:w="2403" w:type="dxa"/>
            <w:vAlign w:val="center"/>
          </w:tcPr>
          <w:p w14:paraId="18CF8785"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10,8</w:t>
            </w:r>
          </w:p>
        </w:tc>
      </w:tr>
      <w:tr w:rsidR="00CD1294" w:rsidRPr="00C31575" w14:paraId="190E98F6" w14:textId="77777777" w:rsidTr="003730A0">
        <w:tc>
          <w:tcPr>
            <w:tcW w:w="4957" w:type="dxa"/>
            <w:vAlign w:val="center"/>
          </w:tcPr>
          <w:p w14:paraId="3BC6740B"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t>Assicurazioni e credito</w:t>
            </w:r>
          </w:p>
        </w:tc>
        <w:tc>
          <w:tcPr>
            <w:tcW w:w="2551" w:type="dxa"/>
            <w:vAlign w:val="center"/>
          </w:tcPr>
          <w:p w14:paraId="475EA1BD"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555</w:t>
            </w:r>
          </w:p>
        </w:tc>
        <w:tc>
          <w:tcPr>
            <w:tcW w:w="2403" w:type="dxa"/>
            <w:vAlign w:val="center"/>
          </w:tcPr>
          <w:p w14:paraId="146F9E0A"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27,9</w:t>
            </w:r>
          </w:p>
        </w:tc>
      </w:tr>
      <w:tr w:rsidR="00CD1294" w:rsidRPr="00C31575" w14:paraId="3917E3D2" w14:textId="77777777" w:rsidTr="003730A0">
        <w:tc>
          <w:tcPr>
            <w:tcW w:w="4957" w:type="dxa"/>
            <w:vAlign w:val="center"/>
          </w:tcPr>
          <w:p w14:paraId="600ED91A"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t>Servizi alle imprese</w:t>
            </w:r>
          </w:p>
        </w:tc>
        <w:tc>
          <w:tcPr>
            <w:tcW w:w="2551" w:type="dxa"/>
            <w:vAlign w:val="center"/>
          </w:tcPr>
          <w:p w14:paraId="34AB9C14"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2.646</w:t>
            </w:r>
          </w:p>
        </w:tc>
        <w:tc>
          <w:tcPr>
            <w:tcW w:w="2403" w:type="dxa"/>
            <w:vAlign w:val="center"/>
          </w:tcPr>
          <w:p w14:paraId="368F78BE" w14:textId="77777777" w:rsidR="00CD1294" w:rsidRPr="00C31575" w:rsidRDefault="00CD1294" w:rsidP="0047755C">
            <w:pPr>
              <w:widowControl w:val="0"/>
              <w:spacing w:before="0" w:after="0"/>
              <w:jc w:val="right"/>
              <w:rPr>
                <w:rFonts w:eastAsia="Andale Sans UI" w:cs="Tahoma"/>
                <w:lang w:bidi="en-US"/>
              </w:rPr>
            </w:pPr>
            <w:r w:rsidRPr="00C31575">
              <w:rPr>
                <w:rFonts w:eastAsia="Andale Sans UI" w:cs="Tahoma"/>
                <w:lang w:bidi="en-US"/>
              </w:rPr>
              <w:t>26,6</w:t>
            </w:r>
          </w:p>
        </w:tc>
      </w:tr>
    </w:tbl>
    <w:p w14:paraId="648BBE1D" w14:textId="77777777" w:rsidR="00CD1294" w:rsidRPr="00C31575" w:rsidRDefault="00CD1294" w:rsidP="00A31BDF">
      <w:pPr>
        <w:widowControl w:val="0"/>
        <w:spacing w:before="0" w:after="0" w:line="240" w:lineRule="auto"/>
        <w:rPr>
          <w:rFonts w:eastAsia="Andale Sans UI" w:cs="Tahoma"/>
          <w:sz w:val="18"/>
          <w:szCs w:val="18"/>
          <w:lang w:bidi="en-US"/>
        </w:rPr>
      </w:pPr>
      <w:r w:rsidRPr="00C31575">
        <w:rPr>
          <w:rFonts w:eastAsia="Andale Sans UI" w:cs="Tahoma"/>
          <w:i/>
          <w:sz w:val="18"/>
          <w:szCs w:val="18"/>
          <w:lang w:bidi="en-US"/>
        </w:rPr>
        <w:t>Nota: per imprese femminili si è preso in considerazione l'insieme delle imprese la cui partecipazione di genere risulta complessivamente superiore al 50% mediando le composizioni di quote di partecipazione e cariche attribuite. Fonte: Unioncamere, Osservatorio dell'imprenditoria femminile, 2013.</w:t>
      </w:r>
    </w:p>
    <w:p w14:paraId="60093BAB" w14:textId="77777777" w:rsidR="00CD1294" w:rsidRDefault="00CD1294" w:rsidP="003730A0">
      <w:pPr>
        <w:rPr>
          <w:lang w:bidi="en-US"/>
        </w:rPr>
      </w:pPr>
    </w:p>
    <w:p w14:paraId="5D4306DB" w14:textId="77777777" w:rsidR="00CD1294" w:rsidRDefault="00CD1294" w:rsidP="003730A0">
      <w:pPr>
        <w:rPr>
          <w:lang w:bidi="en-US"/>
        </w:rPr>
      </w:pPr>
      <w:r>
        <w:rPr>
          <w:lang w:bidi="en-US"/>
        </w:rPr>
        <w:t>La bassa presenza di imprenditori giovani è riscontrabile in quasi tutti i settori economici. Leggermente sopra la media appaiono il settore di “Assicurazioni e credito” e quello del commercio.</w:t>
      </w:r>
    </w:p>
    <w:p w14:paraId="6F6AE36F" w14:textId="77777777" w:rsidR="00CD1294" w:rsidRDefault="00CD1294" w:rsidP="003730A0">
      <w:pPr>
        <w:rPr>
          <w:lang w:bidi="en-US"/>
        </w:rPr>
      </w:pPr>
    </w:p>
    <w:p w14:paraId="72A41E65" w14:textId="0C3EF8F2" w:rsidR="00CD1294" w:rsidRDefault="00CD1294" w:rsidP="007D4B0C">
      <w:pPr>
        <w:pStyle w:val="Titolotabella"/>
        <w:ind w:left="993" w:hanging="993"/>
      </w:pPr>
      <w:r>
        <w:t xml:space="preserve">Tabella </w:t>
      </w:r>
      <w:r w:rsidR="002A0777">
        <w:rPr>
          <w:noProof/>
        </w:rPr>
        <w:fldChar w:fldCharType="begin"/>
      </w:r>
      <w:r w:rsidR="002A0777">
        <w:rPr>
          <w:noProof/>
        </w:rPr>
        <w:instrText xml:space="preserve"> SEQ Tabella \* ARABIC </w:instrText>
      </w:r>
      <w:r w:rsidR="002A0777">
        <w:rPr>
          <w:noProof/>
        </w:rPr>
        <w:fldChar w:fldCharType="separate"/>
      </w:r>
      <w:r w:rsidR="00295319">
        <w:rPr>
          <w:noProof/>
        </w:rPr>
        <w:t>4</w:t>
      </w:r>
      <w:r w:rsidR="002A0777">
        <w:rPr>
          <w:noProof/>
        </w:rPr>
        <w:fldChar w:fldCharType="end"/>
      </w:r>
      <w:r>
        <w:t xml:space="preserve"> - </w:t>
      </w:r>
      <w:r w:rsidRPr="00C31575">
        <w:t xml:space="preserve">Incidenza percentuale delle imprese </w:t>
      </w:r>
      <w:r>
        <w:t>giova</w:t>
      </w:r>
      <w:r w:rsidRPr="00C31575">
        <w:t>nili in Umbria per settore economico – 31/12/2013</w:t>
      </w:r>
    </w:p>
    <w:tbl>
      <w:tblPr>
        <w:tblStyle w:val="Grigliatabel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gridCol w:w="2326"/>
        <w:gridCol w:w="2254"/>
      </w:tblGrid>
      <w:tr w:rsidR="003730A0" w:rsidRPr="003730A0" w14:paraId="780F8FC9" w14:textId="77777777" w:rsidTr="003730A0">
        <w:tc>
          <w:tcPr>
            <w:tcW w:w="4957" w:type="dxa"/>
            <w:shd w:val="clear" w:color="auto" w:fill="1F4E79" w:themeFill="accent1" w:themeFillShade="80"/>
            <w:vAlign w:val="center"/>
          </w:tcPr>
          <w:p w14:paraId="1D2EF950" w14:textId="77777777" w:rsidR="00CD1294" w:rsidRPr="003730A0" w:rsidRDefault="00CD1294" w:rsidP="0047755C">
            <w:pPr>
              <w:widowControl w:val="0"/>
              <w:spacing w:before="0" w:after="0"/>
              <w:jc w:val="center"/>
              <w:rPr>
                <w:rFonts w:eastAsia="Andale Sans UI" w:cs="Tahoma"/>
                <w:b/>
                <w:color w:val="FFFFFF" w:themeColor="background1"/>
                <w:lang w:bidi="en-US"/>
              </w:rPr>
            </w:pPr>
            <w:r w:rsidRPr="003730A0">
              <w:rPr>
                <w:rFonts w:eastAsia="Andale Sans UI" w:cs="Tahoma"/>
                <w:b/>
                <w:color w:val="FFFFFF" w:themeColor="background1"/>
                <w:lang w:bidi="en-US"/>
              </w:rPr>
              <w:t>Attività</w:t>
            </w:r>
          </w:p>
        </w:tc>
        <w:tc>
          <w:tcPr>
            <w:tcW w:w="2551" w:type="dxa"/>
            <w:shd w:val="clear" w:color="auto" w:fill="1F4E79" w:themeFill="accent1" w:themeFillShade="80"/>
            <w:vAlign w:val="center"/>
          </w:tcPr>
          <w:p w14:paraId="2E1F25D7" w14:textId="77777777" w:rsidR="00CD1294" w:rsidRPr="003730A0" w:rsidRDefault="00CD1294" w:rsidP="0047755C">
            <w:pPr>
              <w:widowControl w:val="0"/>
              <w:spacing w:before="0" w:after="0"/>
              <w:jc w:val="center"/>
              <w:rPr>
                <w:rFonts w:eastAsia="Andale Sans UI" w:cs="Tahoma"/>
                <w:b/>
                <w:color w:val="FFFFFF" w:themeColor="background1"/>
                <w:lang w:bidi="en-US"/>
              </w:rPr>
            </w:pPr>
            <w:r w:rsidRPr="003730A0">
              <w:rPr>
                <w:rFonts w:eastAsia="Andale Sans UI" w:cs="Tahoma"/>
                <w:b/>
                <w:color w:val="FFFFFF" w:themeColor="background1"/>
                <w:lang w:bidi="en-US"/>
              </w:rPr>
              <w:t>Valori assoluti</w:t>
            </w:r>
          </w:p>
        </w:tc>
        <w:tc>
          <w:tcPr>
            <w:tcW w:w="2403" w:type="dxa"/>
            <w:shd w:val="clear" w:color="auto" w:fill="1F4E79" w:themeFill="accent1" w:themeFillShade="80"/>
            <w:vAlign w:val="center"/>
          </w:tcPr>
          <w:p w14:paraId="7BFB7049" w14:textId="77777777" w:rsidR="00CD1294" w:rsidRPr="003730A0" w:rsidRDefault="00CD1294" w:rsidP="0047755C">
            <w:pPr>
              <w:widowControl w:val="0"/>
              <w:spacing w:before="0" w:after="0"/>
              <w:jc w:val="center"/>
              <w:rPr>
                <w:rFonts w:eastAsia="Andale Sans UI" w:cs="Tahoma"/>
                <w:b/>
                <w:color w:val="FFFFFF" w:themeColor="background1"/>
                <w:lang w:bidi="en-US"/>
              </w:rPr>
            </w:pPr>
            <w:r w:rsidRPr="003730A0">
              <w:rPr>
                <w:rFonts w:eastAsia="Andale Sans UI" w:cs="Tahoma"/>
                <w:b/>
                <w:color w:val="FFFFFF" w:themeColor="background1"/>
                <w:lang w:bidi="en-US"/>
              </w:rPr>
              <w:t>Percentuale</w:t>
            </w:r>
          </w:p>
        </w:tc>
      </w:tr>
      <w:tr w:rsidR="00CD1294" w:rsidRPr="00C31575" w14:paraId="51F58D6F" w14:textId="77777777" w:rsidTr="003730A0">
        <w:tc>
          <w:tcPr>
            <w:tcW w:w="4957" w:type="dxa"/>
            <w:vAlign w:val="center"/>
          </w:tcPr>
          <w:p w14:paraId="080C082F"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t>Agricoltura e attività connesse</w:t>
            </w:r>
          </w:p>
        </w:tc>
        <w:tc>
          <w:tcPr>
            <w:tcW w:w="2551" w:type="dxa"/>
            <w:vAlign w:val="center"/>
          </w:tcPr>
          <w:p w14:paraId="50A2B7C8" w14:textId="77777777" w:rsidR="00CD1294" w:rsidRPr="00C31575" w:rsidRDefault="00CD1294" w:rsidP="0047755C">
            <w:pPr>
              <w:widowControl w:val="0"/>
              <w:spacing w:before="0" w:after="0"/>
              <w:jc w:val="right"/>
              <w:rPr>
                <w:rFonts w:eastAsia="Andale Sans UI" w:cs="Tahoma"/>
                <w:lang w:bidi="en-US"/>
              </w:rPr>
            </w:pPr>
            <w:r>
              <w:rPr>
                <w:rFonts w:eastAsia="Andale Sans UI" w:cs="Tahoma"/>
                <w:lang w:bidi="en-US"/>
              </w:rPr>
              <w:t>1.322</w:t>
            </w:r>
          </w:p>
        </w:tc>
        <w:tc>
          <w:tcPr>
            <w:tcW w:w="2403" w:type="dxa"/>
            <w:vAlign w:val="center"/>
          </w:tcPr>
          <w:p w14:paraId="0D716327" w14:textId="77777777" w:rsidR="00CD1294" w:rsidRPr="00C31575" w:rsidRDefault="00CD1294" w:rsidP="0047755C">
            <w:pPr>
              <w:widowControl w:val="0"/>
              <w:spacing w:before="0" w:after="0"/>
              <w:jc w:val="right"/>
              <w:rPr>
                <w:rFonts w:eastAsia="Andale Sans UI" w:cs="Tahoma"/>
                <w:lang w:bidi="en-US"/>
              </w:rPr>
            </w:pPr>
            <w:r>
              <w:rPr>
                <w:rFonts w:eastAsia="Andale Sans UI" w:cs="Tahoma"/>
                <w:lang w:bidi="en-US"/>
              </w:rPr>
              <w:t>7,6</w:t>
            </w:r>
          </w:p>
        </w:tc>
      </w:tr>
      <w:tr w:rsidR="00CD1294" w:rsidRPr="00C31575" w14:paraId="2AED7F8B" w14:textId="77777777" w:rsidTr="003730A0">
        <w:tc>
          <w:tcPr>
            <w:tcW w:w="4957" w:type="dxa"/>
            <w:vAlign w:val="center"/>
          </w:tcPr>
          <w:p w14:paraId="543FB2FD"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t>Attività manifatturiere, energia</w:t>
            </w:r>
          </w:p>
        </w:tc>
        <w:tc>
          <w:tcPr>
            <w:tcW w:w="2551" w:type="dxa"/>
            <w:vAlign w:val="center"/>
          </w:tcPr>
          <w:p w14:paraId="2AC281AF" w14:textId="77777777" w:rsidR="00CD1294" w:rsidRPr="00C31575" w:rsidRDefault="00CD1294" w:rsidP="0047755C">
            <w:pPr>
              <w:widowControl w:val="0"/>
              <w:spacing w:before="0" w:after="0"/>
              <w:jc w:val="right"/>
              <w:rPr>
                <w:rFonts w:eastAsia="Andale Sans UI" w:cs="Tahoma"/>
                <w:lang w:bidi="en-US"/>
              </w:rPr>
            </w:pPr>
            <w:r>
              <w:rPr>
                <w:rFonts w:eastAsia="Andale Sans UI" w:cs="Tahoma"/>
                <w:lang w:bidi="en-US"/>
              </w:rPr>
              <w:t>520</w:t>
            </w:r>
          </w:p>
        </w:tc>
        <w:tc>
          <w:tcPr>
            <w:tcW w:w="2403" w:type="dxa"/>
            <w:vAlign w:val="center"/>
          </w:tcPr>
          <w:p w14:paraId="02F5CE06" w14:textId="77777777" w:rsidR="00CD1294" w:rsidRPr="00C31575" w:rsidRDefault="00CD1294" w:rsidP="0047755C">
            <w:pPr>
              <w:widowControl w:val="0"/>
              <w:spacing w:before="0" w:after="0"/>
              <w:jc w:val="right"/>
              <w:rPr>
                <w:rFonts w:eastAsia="Andale Sans UI" w:cs="Tahoma"/>
                <w:lang w:bidi="en-US"/>
              </w:rPr>
            </w:pPr>
            <w:r>
              <w:rPr>
                <w:rFonts w:eastAsia="Andale Sans UI" w:cs="Tahoma"/>
                <w:lang w:bidi="en-US"/>
              </w:rPr>
              <w:t>5,3</w:t>
            </w:r>
          </w:p>
        </w:tc>
      </w:tr>
      <w:tr w:rsidR="00CD1294" w:rsidRPr="00C31575" w14:paraId="78BC6583" w14:textId="77777777" w:rsidTr="003730A0">
        <w:tc>
          <w:tcPr>
            <w:tcW w:w="4957" w:type="dxa"/>
            <w:vAlign w:val="center"/>
          </w:tcPr>
          <w:p w14:paraId="7442B649"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t>Costruzioni</w:t>
            </w:r>
          </w:p>
        </w:tc>
        <w:tc>
          <w:tcPr>
            <w:tcW w:w="2551" w:type="dxa"/>
            <w:vAlign w:val="center"/>
          </w:tcPr>
          <w:p w14:paraId="3E58079B" w14:textId="77777777" w:rsidR="00CD1294" w:rsidRPr="00C31575" w:rsidRDefault="00CD1294" w:rsidP="0047755C">
            <w:pPr>
              <w:widowControl w:val="0"/>
              <w:spacing w:before="0" w:after="0"/>
              <w:jc w:val="right"/>
              <w:rPr>
                <w:rFonts w:eastAsia="Andale Sans UI" w:cs="Tahoma"/>
                <w:lang w:bidi="en-US"/>
              </w:rPr>
            </w:pPr>
            <w:r>
              <w:rPr>
                <w:rFonts w:eastAsia="Andale Sans UI" w:cs="Tahoma"/>
                <w:lang w:bidi="en-US"/>
              </w:rPr>
              <w:t>1.009</w:t>
            </w:r>
          </w:p>
        </w:tc>
        <w:tc>
          <w:tcPr>
            <w:tcW w:w="2403" w:type="dxa"/>
            <w:vAlign w:val="center"/>
          </w:tcPr>
          <w:p w14:paraId="52288D2A" w14:textId="77777777" w:rsidR="00CD1294" w:rsidRPr="00C31575" w:rsidRDefault="00CD1294" w:rsidP="0047755C">
            <w:pPr>
              <w:widowControl w:val="0"/>
              <w:spacing w:before="0" w:after="0"/>
              <w:jc w:val="right"/>
              <w:rPr>
                <w:rFonts w:eastAsia="Andale Sans UI" w:cs="Tahoma"/>
                <w:lang w:bidi="en-US"/>
              </w:rPr>
            </w:pPr>
            <w:r>
              <w:rPr>
                <w:rFonts w:eastAsia="Andale Sans UI" w:cs="Tahoma"/>
                <w:lang w:bidi="en-US"/>
              </w:rPr>
              <w:t>7,4</w:t>
            </w:r>
          </w:p>
        </w:tc>
      </w:tr>
      <w:tr w:rsidR="00CD1294" w:rsidRPr="00C31575" w14:paraId="2215C367" w14:textId="77777777" w:rsidTr="003730A0">
        <w:tc>
          <w:tcPr>
            <w:tcW w:w="4957" w:type="dxa"/>
            <w:vAlign w:val="center"/>
          </w:tcPr>
          <w:p w14:paraId="6E8F49F3"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t>Commercio</w:t>
            </w:r>
          </w:p>
        </w:tc>
        <w:tc>
          <w:tcPr>
            <w:tcW w:w="2551" w:type="dxa"/>
            <w:vAlign w:val="center"/>
          </w:tcPr>
          <w:p w14:paraId="0A14D6C2" w14:textId="77777777" w:rsidR="00CD1294" w:rsidRPr="00C31575" w:rsidRDefault="00CD1294" w:rsidP="0047755C">
            <w:pPr>
              <w:widowControl w:val="0"/>
              <w:spacing w:before="0" w:after="0"/>
              <w:jc w:val="right"/>
              <w:rPr>
                <w:rFonts w:eastAsia="Andale Sans UI" w:cs="Tahoma"/>
                <w:lang w:bidi="en-US"/>
              </w:rPr>
            </w:pPr>
            <w:r>
              <w:rPr>
                <w:rFonts w:eastAsia="Andale Sans UI" w:cs="Tahoma"/>
                <w:lang w:bidi="en-US"/>
              </w:rPr>
              <w:t>2.289</w:t>
            </w:r>
          </w:p>
        </w:tc>
        <w:tc>
          <w:tcPr>
            <w:tcW w:w="2403" w:type="dxa"/>
            <w:vAlign w:val="center"/>
          </w:tcPr>
          <w:p w14:paraId="5C7F7E1B" w14:textId="77777777" w:rsidR="00CD1294" w:rsidRPr="00C31575" w:rsidRDefault="00CD1294" w:rsidP="0047755C">
            <w:pPr>
              <w:widowControl w:val="0"/>
              <w:spacing w:before="0" w:after="0"/>
              <w:jc w:val="right"/>
              <w:rPr>
                <w:rFonts w:eastAsia="Andale Sans UI" w:cs="Tahoma"/>
                <w:lang w:bidi="en-US"/>
              </w:rPr>
            </w:pPr>
            <w:r>
              <w:rPr>
                <w:rFonts w:eastAsia="Andale Sans UI" w:cs="Tahoma"/>
                <w:lang w:bidi="en-US"/>
              </w:rPr>
              <w:t>10,2</w:t>
            </w:r>
          </w:p>
        </w:tc>
      </w:tr>
      <w:tr w:rsidR="00CD1294" w:rsidRPr="00C31575" w14:paraId="38FFEB45" w14:textId="77777777" w:rsidTr="003730A0">
        <w:tc>
          <w:tcPr>
            <w:tcW w:w="4957" w:type="dxa"/>
            <w:vAlign w:val="center"/>
          </w:tcPr>
          <w:p w14:paraId="37F607FB"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t>Trasporti e spedizioni</w:t>
            </w:r>
          </w:p>
        </w:tc>
        <w:tc>
          <w:tcPr>
            <w:tcW w:w="2551" w:type="dxa"/>
            <w:vAlign w:val="center"/>
          </w:tcPr>
          <w:p w14:paraId="749CFF8C" w14:textId="77777777" w:rsidR="00CD1294" w:rsidRPr="00C31575" w:rsidRDefault="00CD1294" w:rsidP="0047755C">
            <w:pPr>
              <w:widowControl w:val="0"/>
              <w:spacing w:before="0" w:after="0"/>
              <w:jc w:val="right"/>
              <w:rPr>
                <w:rFonts w:eastAsia="Andale Sans UI" w:cs="Tahoma"/>
                <w:lang w:bidi="en-US"/>
              </w:rPr>
            </w:pPr>
            <w:r>
              <w:rPr>
                <w:rFonts w:eastAsia="Andale Sans UI" w:cs="Tahoma"/>
                <w:lang w:bidi="en-US"/>
              </w:rPr>
              <w:t>109</w:t>
            </w:r>
          </w:p>
        </w:tc>
        <w:tc>
          <w:tcPr>
            <w:tcW w:w="2403" w:type="dxa"/>
            <w:vAlign w:val="center"/>
          </w:tcPr>
          <w:p w14:paraId="4604961F" w14:textId="77777777" w:rsidR="00CD1294" w:rsidRPr="00C31575" w:rsidRDefault="00CD1294" w:rsidP="0047755C">
            <w:pPr>
              <w:widowControl w:val="0"/>
              <w:spacing w:before="0" w:after="0"/>
              <w:jc w:val="right"/>
              <w:rPr>
                <w:rFonts w:eastAsia="Andale Sans UI" w:cs="Tahoma"/>
                <w:lang w:bidi="en-US"/>
              </w:rPr>
            </w:pPr>
            <w:r>
              <w:rPr>
                <w:rFonts w:eastAsia="Andale Sans UI" w:cs="Tahoma"/>
                <w:lang w:bidi="en-US"/>
              </w:rPr>
              <w:t>4,6</w:t>
            </w:r>
          </w:p>
        </w:tc>
      </w:tr>
      <w:tr w:rsidR="00CD1294" w:rsidRPr="00C31575" w14:paraId="1EDF2D1B" w14:textId="77777777" w:rsidTr="003730A0">
        <w:tc>
          <w:tcPr>
            <w:tcW w:w="4957" w:type="dxa"/>
            <w:vAlign w:val="center"/>
          </w:tcPr>
          <w:p w14:paraId="4CF17EE5" w14:textId="77777777" w:rsidR="00CD1294" w:rsidRPr="00C31575" w:rsidRDefault="00CD1294" w:rsidP="0047755C">
            <w:pPr>
              <w:widowControl w:val="0"/>
              <w:spacing w:before="0" w:after="0"/>
              <w:rPr>
                <w:rFonts w:eastAsia="Andale Sans UI" w:cs="Tahoma"/>
                <w:lang w:bidi="en-US"/>
              </w:rPr>
            </w:pPr>
            <w:r w:rsidRPr="00C31575">
              <w:rPr>
                <w:rFonts w:eastAsia="Andale Sans UI" w:cs="Tahoma"/>
                <w:lang w:bidi="en-US"/>
              </w:rPr>
              <w:t>Assicurazioni e credito</w:t>
            </w:r>
          </w:p>
        </w:tc>
        <w:tc>
          <w:tcPr>
            <w:tcW w:w="2551" w:type="dxa"/>
            <w:vAlign w:val="center"/>
          </w:tcPr>
          <w:p w14:paraId="679E064F" w14:textId="77777777" w:rsidR="00CD1294" w:rsidRPr="00C31575" w:rsidRDefault="00CD1294" w:rsidP="0047755C">
            <w:pPr>
              <w:widowControl w:val="0"/>
              <w:spacing w:before="0" w:after="0"/>
              <w:jc w:val="right"/>
              <w:rPr>
                <w:rFonts w:eastAsia="Andale Sans UI" w:cs="Tahoma"/>
                <w:lang w:bidi="en-US"/>
              </w:rPr>
            </w:pPr>
            <w:r>
              <w:rPr>
                <w:rFonts w:eastAsia="Andale Sans UI" w:cs="Tahoma"/>
                <w:lang w:bidi="en-US"/>
              </w:rPr>
              <w:t>248</w:t>
            </w:r>
          </w:p>
        </w:tc>
        <w:tc>
          <w:tcPr>
            <w:tcW w:w="2403" w:type="dxa"/>
            <w:vAlign w:val="center"/>
          </w:tcPr>
          <w:p w14:paraId="3464ECDA" w14:textId="77777777" w:rsidR="00CD1294" w:rsidRPr="00C31575" w:rsidRDefault="00CD1294" w:rsidP="0047755C">
            <w:pPr>
              <w:widowControl w:val="0"/>
              <w:spacing w:before="0" w:after="0"/>
              <w:jc w:val="right"/>
              <w:rPr>
                <w:rFonts w:eastAsia="Andale Sans UI" w:cs="Tahoma"/>
                <w:lang w:bidi="en-US"/>
              </w:rPr>
            </w:pPr>
            <w:r>
              <w:rPr>
                <w:rFonts w:eastAsia="Andale Sans UI" w:cs="Tahoma"/>
                <w:lang w:bidi="en-US"/>
              </w:rPr>
              <w:t>12,5</w:t>
            </w:r>
          </w:p>
        </w:tc>
      </w:tr>
    </w:tbl>
    <w:p w14:paraId="72D22A57" w14:textId="77777777" w:rsidR="00CD1294" w:rsidRPr="00C31575" w:rsidRDefault="00CD1294" w:rsidP="00CD1294">
      <w:pPr>
        <w:widowControl w:val="0"/>
        <w:spacing w:before="0" w:after="0"/>
        <w:rPr>
          <w:rFonts w:eastAsia="Andale Sans UI" w:cs="Tahoma"/>
          <w:sz w:val="18"/>
          <w:szCs w:val="18"/>
          <w:lang w:bidi="en-US"/>
        </w:rPr>
      </w:pPr>
      <w:r w:rsidRPr="00C31575">
        <w:rPr>
          <w:rFonts w:eastAsia="Andale Sans UI" w:cs="Tahoma"/>
          <w:i/>
          <w:sz w:val="18"/>
          <w:szCs w:val="18"/>
          <w:lang w:bidi="en-US"/>
        </w:rPr>
        <w:t>Fonte: Unioncamere, 2013.</w:t>
      </w:r>
    </w:p>
    <w:p w14:paraId="03AF3B07" w14:textId="77777777" w:rsidR="00CD1294" w:rsidRDefault="00CD1294" w:rsidP="003730A0">
      <w:pPr>
        <w:rPr>
          <w:lang w:bidi="en-US"/>
        </w:rPr>
      </w:pPr>
    </w:p>
    <w:p w14:paraId="747832E9" w14:textId="77777777" w:rsidR="00CD1294" w:rsidRPr="00252315" w:rsidRDefault="00CD1294" w:rsidP="003730A0">
      <w:pPr>
        <w:rPr>
          <w:lang w:bidi="en-US"/>
        </w:rPr>
      </w:pPr>
      <w:r>
        <w:rPr>
          <w:lang w:bidi="en-US"/>
        </w:rPr>
        <w:t xml:space="preserve">Negli ultimi 5 anni, le condizioni </w:t>
      </w:r>
      <w:r w:rsidRPr="00252315">
        <w:rPr>
          <w:color w:val="000000"/>
          <w:lang w:bidi="en-US"/>
        </w:rPr>
        <w:t xml:space="preserve">dell’economia umbra, in linea con l’andamento nazionale, sono divenute più favorevoli, grazie ad una ripresa dei consumi e degli </w:t>
      </w:r>
      <w:r>
        <w:rPr>
          <w:color w:val="000000"/>
          <w:lang w:bidi="en-US"/>
        </w:rPr>
        <w:t xml:space="preserve">investimenti e </w:t>
      </w:r>
      <w:r w:rsidRPr="00252315">
        <w:rPr>
          <w:color w:val="000000"/>
          <w:lang w:bidi="en-US"/>
        </w:rPr>
        <w:t>all</w:t>
      </w:r>
      <w:r>
        <w:rPr>
          <w:color w:val="000000"/>
          <w:lang w:bidi="en-US"/>
        </w:rPr>
        <w:t>’espansione delle esportazioni.</w:t>
      </w:r>
    </w:p>
    <w:p w14:paraId="42461DC3" w14:textId="77777777" w:rsidR="00CD1294" w:rsidRPr="00256FE1" w:rsidRDefault="00CD1294" w:rsidP="003730A0">
      <w:pPr>
        <w:rPr>
          <w:color w:val="000000"/>
          <w:lang w:bidi="en-US"/>
        </w:rPr>
      </w:pPr>
      <w:r>
        <w:rPr>
          <w:color w:val="000000"/>
          <w:lang w:bidi="en-US"/>
        </w:rPr>
        <w:t>Ciò che</w:t>
      </w:r>
      <w:r w:rsidRPr="00256FE1">
        <w:rPr>
          <w:color w:val="000000"/>
          <w:lang w:bidi="en-US"/>
        </w:rPr>
        <w:t xml:space="preserve"> appare </w:t>
      </w:r>
      <w:r>
        <w:rPr>
          <w:color w:val="000000"/>
          <w:lang w:bidi="en-US"/>
        </w:rPr>
        <w:t xml:space="preserve">con </w:t>
      </w:r>
      <w:r w:rsidRPr="00256FE1">
        <w:rPr>
          <w:color w:val="000000"/>
          <w:lang w:bidi="en-US"/>
        </w:rPr>
        <w:t>eviden</w:t>
      </w:r>
      <w:r>
        <w:rPr>
          <w:color w:val="000000"/>
          <w:lang w:bidi="en-US"/>
        </w:rPr>
        <w:t>za</w:t>
      </w:r>
      <w:r w:rsidRPr="00256FE1">
        <w:rPr>
          <w:color w:val="000000"/>
          <w:lang w:bidi="en-US"/>
        </w:rPr>
        <w:t xml:space="preserve"> è un certo grado di eterogeneità </w:t>
      </w:r>
      <w:r>
        <w:rPr>
          <w:color w:val="000000"/>
          <w:lang w:bidi="en-US"/>
        </w:rPr>
        <w:t>neg</w:t>
      </w:r>
      <w:r w:rsidRPr="00256FE1">
        <w:rPr>
          <w:color w:val="000000"/>
          <w:lang w:bidi="en-US"/>
        </w:rPr>
        <w:t xml:space="preserve">li andamenti aziendali: </w:t>
      </w:r>
      <w:r>
        <w:rPr>
          <w:color w:val="000000"/>
          <w:lang w:bidi="en-US"/>
        </w:rPr>
        <w:t xml:space="preserve">da un lato permangono </w:t>
      </w:r>
      <w:r w:rsidRPr="00256FE1">
        <w:rPr>
          <w:color w:val="000000"/>
          <w:lang w:bidi="en-US"/>
        </w:rPr>
        <w:t xml:space="preserve">situazioni di difficoltà </w:t>
      </w:r>
      <w:r>
        <w:rPr>
          <w:color w:val="000000"/>
          <w:lang w:bidi="en-US"/>
        </w:rPr>
        <w:t>testimoniate da</w:t>
      </w:r>
      <w:r w:rsidRPr="00256FE1">
        <w:rPr>
          <w:color w:val="000000"/>
          <w:lang w:bidi="en-US"/>
        </w:rPr>
        <w:t xml:space="preserve"> numerose uscite dal mercato</w:t>
      </w:r>
      <w:r>
        <w:rPr>
          <w:color w:val="000000"/>
          <w:lang w:bidi="en-US"/>
        </w:rPr>
        <w:t>,</w:t>
      </w:r>
      <w:r w:rsidRPr="00256FE1">
        <w:rPr>
          <w:color w:val="000000"/>
          <w:lang w:bidi="en-US"/>
        </w:rPr>
        <w:t xml:space="preserve"> </w:t>
      </w:r>
      <w:r>
        <w:rPr>
          <w:color w:val="000000"/>
          <w:lang w:bidi="en-US"/>
        </w:rPr>
        <w:t>dall’altro aziende</w:t>
      </w:r>
      <w:r w:rsidRPr="00256FE1">
        <w:rPr>
          <w:color w:val="000000"/>
          <w:lang w:bidi="en-US"/>
        </w:rPr>
        <w:t xml:space="preserve"> di medio-grandi dimensioni </w:t>
      </w:r>
      <w:r>
        <w:rPr>
          <w:color w:val="000000"/>
          <w:lang w:bidi="en-US"/>
        </w:rPr>
        <w:t>che</w:t>
      </w:r>
      <w:r w:rsidRPr="00256FE1">
        <w:rPr>
          <w:color w:val="000000"/>
          <w:lang w:bidi="en-US"/>
        </w:rPr>
        <w:t xml:space="preserve"> realizzano investimenti, sono aperte ai mercati esteri e non risentono di vincoli finanziari.</w:t>
      </w:r>
    </w:p>
    <w:p w14:paraId="16F0AB44" w14:textId="77777777" w:rsidR="00CD1294" w:rsidRPr="00C5324D" w:rsidRDefault="00CD1294" w:rsidP="003730A0">
      <w:pPr>
        <w:rPr>
          <w:rFonts w:cs="Times New Roman"/>
          <w:i/>
          <w:color w:val="000000"/>
          <w:sz w:val="16"/>
          <w:lang w:bidi="en-US"/>
        </w:rPr>
      </w:pPr>
      <w:r w:rsidRPr="00256FE1">
        <w:rPr>
          <w:rFonts w:cs="Times New Roman"/>
          <w:color w:val="000000"/>
          <w:lang w:bidi="en-US"/>
        </w:rPr>
        <w:t>In ba</w:t>
      </w:r>
      <w:r>
        <w:rPr>
          <w:rFonts w:cs="Times New Roman"/>
          <w:color w:val="000000"/>
          <w:lang w:bidi="en-US"/>
        </w:rPr>
        <w:t xml:space="preserve">se ai dati di Unioncamere, </w:t>
      </w:r>
      <w:r w:rsidRPr="00256FE1">
        <w:rPr>
          <w:rFonts w:cs="Times New Roman"/>
          <w:color w:val="000000"/>
          <w:lang w:bidi="en-US"/>
        </w:rPr>
        <w:t xml:space="preserve">nel corso del </w:t>
      </w:r>
      <w:r w:rsidRPr="00256FE1">
        <w:rPr>
          <w:rFonts w:cs="Times New Roman"/>
          <w:lang w:bidi="en-US"/>
        </w:rPr>
        <w:t>2017 la fase di ripresa della produzione industriale, avviatasi due anni prima, ha evidenziato una progressiva accelerazione. Concentrando l’analisi sulle imprese con almeno 20 addetti, secondo l’indagine della Banca d’Italia (Invind) il fatturato a prezzi costanti</w:t>
      </w:r>
      <w:r>
        <w:rPr>
          <w:rFonts w:cs="Times New Roman"/>
          <w:lang w:bidi="en-US"/>
        </w:rPr>
        <w:t xml:space="preserve"> è aumentato del 3,1 per cento: l</w:t>
      </w:r>
      <w:r w:rsidRPr="00256FE1">
        <w:rPr>
          <w:rFonts w:cs="Times New Roman"/>
          <w:lang w:bidi="en-US"/>
        </w:rPr>
        <w:t>a crescita è stata trainata dai settori</w:t>
      </w:r>
      <w:r>
        <w:rPr>
          <w:rFonts w:cs="Times New Roman"/>
          <w:lang w:bidi="en-US"/>
        </w:rPr>
        <w:t xml:space="preserve"> dei metalli, della meccanica e </w:t>
      </w:r>
      <w:r w:rsidRPr="00256FE1">
        <w:rPr>
          <w:rFonts w:cs="Times New Roman"/>
          <w:lang w:bidi="en-US"/>
        </w:rPr>
        <w:t xml:space="preserve">del tessile, che hanno beneficiato del favorevole andamento della domanda sia interna sia estera. L’indagine di Unioncamere Umbria evidenzia per il 2017 una crescita della domanda di prodotti dell’industria regionale del 3,3 per cento (1,2 nel 2016), che non si è ancora estesa alle imprese di piccole dimensioni (da 1 a 9 addetti; -0,6 per cento). L’andamento è risultato migliore nella seconda parte dell’anno; nel primo trimestre del </w:t>
      </w:r>
      <w:r w:rsidRPr="00256FE1">
        <w:rPr>
          <w:rFonts w:cs="Times New Roman"/>
          <w:color w:val="000000"/>
          <w:lang w:bidi="en-US"/>
        </w:rPr>
        <w:t>2018 è tuttavia emerso un rallentamento</w:t>
      </w:r>
      <w:r w:rsidRPr="00E639C1">
        <w:rPr>
          <w:rStyle w:val="Rimandonotaapidipagina"/>
          <w:rFonts w:eastAsia="Andale Sans UI" w:cs="Times New Roman"/>
          <w:color w:val="000000"/>
          <w:szCs w:val="24"/>
          <w:vertAlign w:val="superscript"/>
          <w:lang w:bidi="en-US"/>
        </w:rPr>
        <w:footnoteReference w:id="14"/>
      </w:r>
      <w:r>
        <w:rPr>
          <w:rFonts w:cs="Times New Roman"/>
          <w:lang w:bidi="en-US"/>
        </w:rPr>
        <w:t>.</w:t>
      </w:r>
    </w:p>
    <w:p w14:paraId="29E718FC" w14:textId="77777777" w:rsidR="00CD1294" w:rsidRDefault="00CD1294" w:rsidP="003730A0">
      <w:pPr>
        <w:rPr>
          <w:rFonts w:cs="Times New Roman"/>
          <w:lang w:bidi="en-US"/>
        </w:rPr>
      </w:pPr>
      <w:r w:rsidRPr="009D2CFC">
        <w:rPr>
          <w:rFonts w:cs="Times New Roman"/>
          <w:lang w:bidi="en-US"/>
        </w:rPr>
        <w:t xml:space="preserve">Analizzando i dati relativi all’ammontare di imprese registrate </w:t>
      </w:r>
      <w:r>
        <w:rPr>
          <w:rFonts w:cs="Times New Roman"/>
          <w:lang w:bidi="en-US"/>
        </w:rPr>
        <w:t xml:space="preserve">a fine </w:t>
      </w:r>
      <w:r w:rsidRPr="009D2CFC">
        <w:rPr>
          <w:rFonts w:cs="Times New Roman"/>
          <w:lang w:bidi="en-US"/>
        </w:rPr>
        <w:t>2017</w:t>
      </w:r>
      <w:r>
        <w:rPr>
          <w:rFonts w:cs="Times New Roman"/>
          <w:lang w:bidi="en-US"/>
        </w:rPr>
        <w:t xml:space="preserve"> a livello nazionale</w:t>
      </w:r>
      <w:r w:rsidRPr="009D2CFC">
        <w:rPr>
          <w:rFonts w:cs="Times New Roman"/>
          <w:lang w:bidi="en-US"/>
        </w:rPr>
        <w:t xml:space="preserve">, si assiste che, a fronte di una diminuzione della quota di imprese </w:t>
      </w:r>
      <w:r>
        <w:rPr>
          <w:rFonts w:cs="Times New Roman"/>
          <w:lang w:bidi="en-US"/>
        </w:rPr>
        <w:t xml:space="preserve">totali </w:t>
      </w:r>
      <w:r w:rsidRPr="009D2CFC">
        <w:rPr>
          <w:rFonts w:cs="Times New Roman"/>
          <w:lang w:bidi="en-US"/>
        </w:rPr>
        <w:t xml:space="preserve">(scese da </w:t>
      </w:r>
      <w:r w:rsidRPr="00E639C1">
        <w:rPr>
          <w:rFonts w:cs="Times New Roman"/>
          <w:lang w:bidi="en-US"/>
        </w:rPr>
        <w:t>95.493</w:t>
      </w:r>
      <w:r>
        <w:rPr>
          <w:rFonts w:cs="Times New Roman"/>
          <w:lang w:bidi="en-US"/>
        </w:rPr>
        <w:t xml:space="preserve"> a </w:t>
      </w:r>
      <w:r w:rsidRPr="00E639C1">
        <w:rPr>
          <w:rFonts w:cs="Times New Roman"/>
          <w:lang w:bidi="en-US"/>
        </w:rPr>
        <w:t>94.527</w:t>
      </w:r>
      <w:r>
        <w:rPr>
          <w:rFonts w:cs="Times New Roman"/>
          <w:lang w:bidi="en-US"/>
        </w:rPr>
        <w:t>), quelle femminili sono passate da con un peso % complessivo del 26,3% al 24,9%. Il peso % sul totale delle imprese (24,9%), tuttavia, permane in Umbria tra i più elevati a livello di singole regioni, superato solo da Molise (28,1%), Basilicata (26,8%) e Abruzzo (25,9%).</w:t>
      </w:r>
    </w:p>
    <w:p w14:paraId="21B647C0" w14:textId="77777777" w:rsidR="00CD1294" w:rsidRPr="00E639C1" w:rsidRDefault="00CD1294" w:rsidP="003730A0">
      <w:pPr>
        <w:rPr>
          <w:rFonts w:cs="Times New Roman"/>
          <w:lang w:bidi="en-US"/>
        </w:rPr>
      </w:pPr>
    </w:p>
    <w:p w14:paraId="68EB602C" w14:textId="357912B6" w:rsidR="00CD1294" w:rsidRDefault="00CD1294" w:rsidP="007D4B0C">
      <w:pPr>
        <w:pStyle w:val="Titolotabella"/>
        <w:ind w:left="993" w:hanging="993"/>
      </w:pPr>
      <w:r>
        <w:lastRenderedPageBreak/>
        <w:t xml:space="preserve">Tabella </w:t>
      </w:r>
      <w:r w:rsidR="002A0777">
        <w:rPr>
          <w:noProof/>
        </w:rPr>
        <w:fldChar w:fldCharType="begin"/>
      </w:r>
      <w:r w:rsidR="002A0777">
        <w:rPr>
          <w:noProof/>
        </w:rPr>
        <w:instrText xml:space="preserve"> SEQ Tabella \* ARABIC </w:instrText>
      </w:r>
      <w:r w:rsidR="002A0777">
        <w:rPr>
          <w:noProof/>
        </w:rPr>
        <w:fldChar w:fldCharType="separate"/>
      </w:r>
      <w:r w:rsidR="00295319">
        <w:rPr>
          <w:noProof/>
        </w:rPr>
        <w:t>5</w:t>
      </w:r>
      <w:r w:rsidR="002A0777">
        <w:rPr>
          <w:noProof/>
        </w:rPr>
        <w:fldChar w:fldCharType="end"/>
      </w:r>
      <w:r>
        <w:t xml:space="preserve"> – Imprese registrate al 31 dicembre 2017 per region</w:t>
      </w:r>
      <w:r w:rsidR="00261DDD">
        <w:t>e</w:t>
      </w:r>
      <w:r>
        <w:t xml:space="preserve"> – Totale imprese e imprese femminili</w:t>
      </w:r>
    </w:p>
    <w:tbl>
      <w:tblPr>
        <w:tblStyle w:val="Grigliatabel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63"/>
        <w:gridCol w:w="2265"/>
        <w:gridCol w:w="2265"/>
        <w:gridCol w:w="2267"/>
      </w:tblGrid>
      <w:tr w:rsidR="003730A0" w:rsidRPr="003730A0" w14:paraId="7211BC5D" w14:textId="77777777" w:rsidTr="00EC78EE">
        <w:tc>
          <w:tcPr>
            <w:tcW w:w="1249" w:type="pct"/>
            <w:vMerge w:val="restart"/>
            <w:shd w:val="clear" w:color="auto" w:fill="1F4E79" w:themeFill="accent1" w:themeFillShade="80"/>
            <w:vAlign w:val="center"/>
          </w:tcPr>
          <w:p w14:paraId="28D56681"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Regioni</w:t>
            </w:r>
          </w:p>
        </w:tc>
        <w:tc>
          <w:tcPr>
            <w:tcW w:w="3751" w:type="pct"/>
            <w:gridSpan w:val="3"/>
            <w:shd w:val="clear" w:color="auto" w:fill="1F4E79" w:themeFill="accent1" w:themeFillShade="80"/>
            <w:vAlign w:val="center"/>
          </w:tcPr>
          <w:p w14:paraId="1DCA39A2"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Imprese registrate</w:t>
            </w:r>
          </w:p>
        </w:tc>
      </w:tr>
      <w:tr w:rsidR="003730A0" w:rsidRPr="003730A0" w14:paraId="29166F7E" w14:textId="77777777" w:rsidTr="00EC78EE">
        <w:tc>
          <w:tcPr>
            <w:tcW w:w="1249" w:type="pct"/>
            <w:vMerge/>
            <w:shd w:val="clear" w:color="auto" w:fill="1F4E79" w:themeFill="accent1" w:themeFillShade="80"/>
            <w:vAlign w:val="center"/>
          </w:tcPr>
          <w:p w14:paraId="2D7424B0" w14:textId="77777777" w:rsidR="00CD1294" w:rsidRPr="003730A0" w:rsidRDefault="00CD1294" w:rsidP="0047755C">
            <w:pPr>
              <w:widowControl w:val="0"/>
              <w:tabs>
                <w:tab w:val="left" w:pos="7936"/>
              </w:tabs>
              <w:spacing w:before="0" w:after="0"/>
              <w:rPr>
                <w:rFonts w:eastAsia="Times New Roman" w:cs="Times New Roman"/>
                <w:b/>
                <w:color w:val="FFFFFF" w:themeColor="background1"/>
                <w:lang w:bidi="en-US"/>
              </w:rPr>
            </w:pPr>
          </w:p>
        </w:tc>
        <w:tc>
          <w:tcPr>
            <w:tcW w:w="1250" w:type="pct"/>
            <w:shd w:val="clear" w:color="auto" w:fill="1F4E79" w:themeFill="accent1" w:themeFillShade="80"/>
            <w:vAlign w:val="center"/>
          </w:tcPr>
          <w:p w14:paraId="5BB032CD"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Imprese femminili</w:t>
            </w:r>
          </w:p>
        </w:tc>
        <w:tc>
          <w:tcPr>
            <w:tcW w:w="1250" w:type="pct"/>
            <w:shd w:val="clear" w:color="auto" w:fill="1F4E79" w:themeFill="accent1" w:themeFillShade="80"/>
            <w:vAlign w:val="center"/>
          </w:tcPr>
          <w:p w14:paraId="1199CB86"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Totale imprese</w:t>
            </w:r>
          </w:p>
        </w:tc>
        <w:tc>
          <w:tcPr>
            <w:tcW w:w="1251" w:type="pct"/>
            <w:shd w:val="clear" w:color="auto" w:fill="1F4E79" w:themeFill="accent1" w:themeFillShade="80"/>
            <w:vAlign w:val="center"/>
          </w:tcPr>
          <w:p w14:paraId="5421A07B" w14:textId="066E5763" w:rsidR="00CD1294" w:rsidRPr="003730A0" w:rsidRDefault="003730A0" w:rsidP="003730A0">
            <w:pPr>
              <w:widowControl w:val="0"/>
              <w:tabs>
                <w:tab w:val="left" w:pos="7936"/>
              </w:tabs>
              <w:spacing w:before="0" w:after="0"/>
              <w:ind w:left="-97" w:right="-108"/>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Tasso di imprenditoria femminile</w:t>
            </w:r>
          </w:p>
        </w:tc>
      </w:tr>
      <w:tr w:rsidR="00CD1294" w:rsidRPr="00583F7E" w14:paraId="3A176F5C" w14:textId="77777777" w:rsidTr="00EC78EE">
        <w:tc>
          <w:tcPr>
            <w:tcW w:w="1249" w:type="pct"/>
            <w:vAlign w:val="center"/>
          </w:tcPr>
          <w:p w14:paraId="5CC00253"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Abruzzo</w:t>
            </w:r>
          </w:p>
        </w:tc>
        <w:tc>
          <w:tcPr>
            <w:tcW w:w="1250" w:type="pct"/>
            <w:vAlign w:val="center"/>
          </w:tcPr>
          <w:p w14:paraId="4D2603E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38.366</w:t>
            </w:r>
          </w:p>
        </w:tc>
        <w:tc>
          <w:tcPr>
            <w:tcW w:w="1250" w:type="pct"/>
            <w:vAlign w:val="center"/>
          </w:tcPr>
          <w:p w14:paraId="4671191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A0B20">
              <w:rPr>
                <w:rFonts w:eastAsia="Times New Roman" w:cs="Times New Roman"/>
                <w:color w:val="000000"/>
                <w:lang w:bidi="en-US"/>
              </w:rPr>
              <w:t>148.298</w:t>
            </w:r>
          </w:p>
        </w:tc>
        <w:tc>
          <w:tcPr>
            <w:tcW w:w="1251" w:type="pct"/>
            <w:vAlign w:val="center"/>
          </w:tcPr>
          <w:p w14:paraId="7BDBCB6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25,9%</w:t>
            </w:r>
          </w:p>
        </w:tc>
      </w:tr>
      <w:tr w:rsidR="00CD1294" w:rsidRPr="00583F7E" w14:paraId="19E388BE" w14:textId="77777777" w:rsidTr="00EC78EE">
        <w:tc>
          <w:tcPr>
            <w:tcW w:w="1249" w:type="pct"/>
            <w:vAlign w:val="center"/>
          </w:tcPr>
          <w:p w14:paraId="3017EBC6"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Basilicata</w:t>
            </w:r>
          </w:p>
        </w:tc>
        <w:tc>
          <w:tcPr>
            <w:tcW w:w="1250" w:type="pct"/>
            <w:vAlign w:val="center"/>
          </w:tcPr>
          <w:p w14:paraId="20BCCC1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16.163</w:t>
            </w:r>
          </w:p>
        </w:tc>
        <w:tc>
          <w:tcPr>
            <w:tcW w:w="1250" w:type="pct"/>
            <w:vAlign w:val="center"/>
          </w:tcPr>
          <w:p w14:paraId="05EF75C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Pr>
                <w:rFonts w:eastAsia="Times New Roman" w:cs="Times New Roman"/>
                <w:color w:val="000000"/>
                <w:lang w:bidi="en-US"/>
              </w:rPr>
              <w:t>60.284</w:t>
            </w:r>
          </w:p>
        </w:tc>
        <w:tc>
          <w:tcPr>
            <w:tcW w:w="1251" w:type="pct"/>
            <w:vAlign w:val="center"/>
          </w:tcPr>
          <w:p w14:paraId="4E868685"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26,8%</w:t>
            </w:r>
          </w:p>
        </w:tc>
      </w:tr>
      <w:tr w:rsidR="00CD1294" w:rsidRPr="00583F7E" w14:paraId="79F688D5" w14:textId="77777777" w:rsidTr="00EC78EE">
        <w:tc>
          <w:tcPr>
            <w:tcW w:w="1249" w:type="pct"/>
            <w:vAlign w:val="center"/>
          </w:tcPr>
          <w:p w14:paraId="49018E21"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Calabria</w:t>
            </w:r>
          </w:p>
        </w:tc>
        <w:tc>
          <w:tcPr>
            <w:tcW w:w="1250" w:type="pct"/>
            <w:vAlign w:val="center"/>
          </w:tcPr>
          <w:p w14:paraId="5BB66F2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43.721</w:t>
            </w:r>
          </w:p>
        </w:tc>
        <w:tc>
          <w:tcPr>
            <w:tcW w:w="1250" w:type="pct"/>
            <w:vAlign w:val="center"/>
          </w:tcPr>
          <w:p w14:paraId="00D37CA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Pr>
                <w:rFonts w:eastAsia="Times New Roman" w:cs="Times New Roman"/>
                <w:color w:val="000000"/>
                <w:lang w:bidi="en-US"/>
              </w:rPr>
              <w:t>186.005</w:t>
            </w:r>
          </w:p>
        </w:tc>
        <w:tc>
          <w:tcPr>
            <w:tcW w:w="1251" w:type="pct"/>
            <w:vAlign w:val="center"/>
          </w:tcPr>
          <w:p w14:paraId="4C6280D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23,5%</w:t>
            </w:r>
          </w:p>
        </w:tc>
      </w:tr>
      <w:tr w:rsidR="00CD1294" w:rsidRPr="00583F7E" w14:paraId="1DC0C2ED" w14:textId="77777777" w:rsidTr="00EC78EE">
        <w:tc>
          <w:tcPr>
            <w:tcW w:w="1249" w:type="pct"/>
            <w:vAlign w:val="center"/>
          </w:tcPr>
          <w:p w14:paraId="01EC43ED"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Campania</w:t>
            </w:r>
          </w:p>
        </w:tc>
        <w:tc>
          <w:tcPr>
            <w:tcW w:w="1250" w:type="pct"/>
            <w:vAlign w:val="center"/>
          </w:tcPr>
          <w:p w14:paraId="5FF687F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134.840</w:t>
            </w:r>
          </w:p>
        </w:tc>
        <w:tc>
          <w:tcPr>
            <w:tcW w:w="1250" w:type="pct"/>
            <w:vAlign w:val="center"/>
          </w:tcPr>
          <w:p w14:paraId="0FCB7A76"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A0B20">
              <w:rPr>
                <w:rFonts w:eastAsia="Times New Roman" w:cs="Times New Roman"/>
                <w:color w:val="000000"/>
                <w:lang w:bidi="en-US"/>
              </w:rPr>
              <w:t>586.821</w:t>
            </w:r>
          </w:p>
        </w:tc>
        <w:tc>
          <w:tcPr>
            <w:tcW w:w="1251" w:type="pct"/>
            <w:vAlign w:val="center"/>
          </w:tcPr>
          <w:p w14:paraId="0C25B5E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23,0%</w:t>
            </w:r>
          </w:p>
        </w:tc>
      </w:tr>
      <w:tr w:rsidR="00CD1294" w:rsidRPr="00583F7E" w14:paraId="6874E815" w14:textId="77777777" w:rsidTr="00EC78EE">
        <w:tc>
          <w:tcPr>
            <w:tcW w:w="1249" w:type="pct"/>
            <w:vAlign w:val="center"/>
          </w:tcPr>
          <w:p w14:paraId="0702CDAD"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Emilia Romagna</w:t>
            </w:r>
          </w:p>
        </w:tc>
        <w:tc>
          <w:tcPr>
            <w:tcW w:w="1250" w:type="pct"/>
            <w:vAlign w:val="center"/>
          </w:tcPr>
          <w:p w14:paraId="11991595"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94.060</w:t>
            </w:r>
          </w:p>
        </w:tc>
        <w:tc>
          <w:tcPr>
            <w:tcW w:w="1250" w:type="pct"/>
            <w:vAlign w:val="center"/>
          </w:tcPr>
          <w:p w14:paraId="38DD9D4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A0B20">
              <w:rPr>
                <w:rFonts w:eastAsia="Times New Roman" w:cs="Times New Roman"/>
                <w:color w:val="000000"/>
                <w:lang w:bidi="en-US"/>
              </w:rPr>
              <w:t>456.929</w:t>
            </w:r>
          </w:p>
        </w:tc>
        <w:tc>
          <w:tcPr>
            <w:tcW w:w="1251" w:type="pct"/>
            <w:vAlign w:val="center"/>
          </w:tcPr>
          <w:p w14:paraId="28E8078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20,6%</w:t>
            </w:r>
          </w:p>
        </w:tc>
      </w:tr>
      <w:tr w:rsidR="00CD1294" w:rsidRPr="00583F7E" w14:paraId="4567D7BB" w14:textId="77777777" w:rsidTr="00EC78EE">
        <w:tc>
          <w:tcPr>
            <w:tcW w:w="1249" w:type="pct"/>
            <w:vAlign w:val="center"/>
          </w:tcPr>
          <w:p w14:paraId="67F85002"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Friuli-Venezia Giulia</w:t>
            </w:r>
          </w:p>
        </w:tc>
        <w:tc>
          <w:tcPr>
            <w:tcW w:w="1250" w:type="pct"/>
            <w:vAlign w:val="center"/>
          </w:tcPr>
          <w:p w14:paraId="3C224986"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23.030</w:t>
            </w:r>
          </w:p>
        </w:tc>
        <w:tc>
          <w:tcPr>
            <w:tcW w:w="1250" w:type="pct"/>
            <w:vAlign w:val="center"/>
          </w:tcPr>
          <w:p w14:paraId="0A6B69A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9D2CFC">
              <w:rPr>
                <w:rFonts w:eastAsia="Times New Roman" w:cs="Times New Roman"/>
                <w:color w:val="000000"/>
                <w:lang w:bidi="en-US"/>
              </w:rPr>
              <w:t>103.107</w:t>
            </w:r>
          </w:p>
        </w:tc>
        <w:tc>
          <w:tcPr>
            <w:tcW w:w="1251" w:type="pct"/>
            <w:vAlign w:val="center"/>
          </w:tcPr>
          <w:p w14:paraId="55C0180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22,3%</w:t>
            </w:r>
          </w:p>
        </w:tc>
      </w:tr>
      <w:tr w:rsidR="00CD1294" w:rsidRPr="00583F7E" w14:paraId="38D18878" w14:textId="77777777" w:rsidTr="00EC78EE">
        <w:tc>
          <w:tcPr>
            <w:tcW w:w="1249" w:type="pct"/>
            <w:vAlign w:val="center"/>
          </w:tcPr>
          <w:p w14:paraId="3BCC0A6F"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Lazio</w:t>
            </w:r>
          </w:p>
        </w:tc>
        <w:tc>
          <w:tcPr>
            <w:tcW w:w="1250" w:type="pct"/>
            <w:vAlign w:val="center"/>
          </w:tcPr>
          <w:p w14:paraId="1DB9149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143.258</w:t>
            </w:r>
          </w:p>
        </w:tc>
        <w:tc>
          <w:tcPr>
            <w:tcW w:w="1250" w:type="pct"/>
            <w:vAlign w:val="center"/>
          </w:tcPr>
          <w:p w14:paraId="6057137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9D2CFC">
              <w:rPr>
                <w:rFonts w:eastAsia="Times New Roman" w:cs="Times New Roman"/>
                <w:color w:val="000000"/>
                <w:lang w:bidi="en-US"/>
              </w:rPr>
              <w:t>650.755</w:t>
            </w:r>
          </w:p>
        </w:tc>
        <w:tc>
          <w:tcPr>
            <w:tcW w:w="1251" w:type="pct"/>
            <w:vAlign w:val="center"/>
          </w:tcPr>
          <w:p w14:paraId="07934BD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22,0%</w:t>
            </w:r>
          </w:p>
        </w:tc>
      </w:tr>
      <w:tr w:rsidR="00CD1294" w:rsidRPr="00583F7E" w14:paraId="351146B8" w14:textId="77777777" w:rsidTr="00EC78EE">
        <w:tc>
          <w:tcPr>
            <w:tcW w:w="1249" w:type="pct"/>
            <w:vAlign w:val="center"/>
          </w:tcPr>
          <w:p w14:paraId="596D25C1"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Liguria</w:t>
            </w:r>
          </w:p>
        </w:tc>
        <w:tc>
          <w:tcPr>
            <w:tcW w:w="1250" w:type="pct"/>
            <w:vAlign w:val="center"/>
          </w:tcPr>
          <w:p w14:paraId="4B4E45D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36.036</w:t>
            </w:r>
          </w:p>
        </w:tc>
        <w:tc>
          <w:tcPr>
            <w:tcW w:w="1250" w:type="pct"/>
            <w:vAlign w:val="center"/>
          </w:tcPr>
          <w:p w14:paraId="14DB0694"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C4596">
              <w:rPr>
                <w:rFonts w:eastAsia="Times New Roman" w:cs="Times New Roman"/>
                <w:color w:val="000000"/>
                <w:lang w:bidi="en-US"/>
              </w:rPr>
              <w:t>162.949</w:t>
            </w:r>
          </w:p>
        </w:tc>
        <w:tc>
          <w:tcPr>
            <w:tcW w:w="1251" w:type="pct"/>
            <w:vAlign w:val="center"/>
          </w:tcPr>
          <w:p w14:paraId="319826B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22,1%</w:t>
            </w:r>
          </w:p>
        </w:tc>
      </w:tr>
      <w:tr w:rsidR="00CD1294" w:rsidRPr="00583F7E" w14:paraId="4DEA3F89" w14:textId="77777777" w:rsidTr="00EC78EE">
        <w:tc>
          <w:tcPr>
            <w:tcW w:w="1249" w:type="pct"/>
            <w:vAlign w:val="center"/>
          </w:tcPr>
          <w:p w14:paraId="72D2C254"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Lombardia</w:t>
            </w:r>
          </w:p>
        </w:tc>
        <w:tc>
          <w:tcPr>
            <w:tcW w:w="1250" w:type="pct"/>
            <w:vAlign w:val="center"/>
          </w:tcPr>
          <w:p w14:paraId="1A76074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178.019</w:t>
            </w:r>
          </w:p>
        </w:tc>
        <w:tc>
          <w:tcPr>
            <w:tcW w:w="1250" w:type="pct"/>
            <w:vAlign w:val="center"/>
          </w:tcPr>
          <w:p w14:paraId="3D0204E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960.186</w:t>
            </w:r>
          </w:p>
        </w:tc>
        <w:tc>
          <w:tcPr>
            <w:tcW w:w="1251" w:type="pct"/>
            <w:vAlign w:val="center"/>
          </w:tcPr>
          <w:p w14:paraId="118246F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18,5%</w:t>
            </w:r>
          </w:p>
        </w:tc>
      </w:tr>
      <w:tr w:rsidR="00CD1294" w:rsidRPr="00583F7E" w14:paraId="15B51A8B" w14:textId="77777777" w:rsidTr="00EC78EE">
        <w:tc>
          <w:tcPr>
            <w:tcW w:w="1249" w:type="pct"/>
            <w:vAlign w:val="center"/>
          </w:tcPr>
          <w:p w14:paraId="2E944CA1"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Marche</w:t>
            </w:r>
          </w:p>
        </w:tc>
        <w:tc>
          <w:tcPr>
            <w:tcW w:w="1250" w:type="pct"/>
            <w:vAlign w:val="center"/>
          </w:tcPr>
          <w:p w14:paraId="0A4C788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39.305</w:t>
            </w:r>
          </w:p>
        </w:tc>
        <w:tc>
          <w:tcPr>
            <w:tcW w:w="1250" w:type="pct"/>
            <w:vAlign w:val="center"/>
          </w:tcPr>
          <w:p w14:paraId="32B7D9A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9D2CFC">
              <w:rPr>
                <w:rFonts w:eastAsia="Times New Roman" w:cs="Times New Roman"/>
                <w:color w:val="000000"/>
                <w:lang w:bidi="en-US"/>
              </w:rPr>
              <w:t>172.205</w:t>
            </w:r>
          </w:p>
        </w:tc>
        <w:tc>
          <w:tcPr>
            <w:tcW w:w="1251" w:type="pct"/>
            <w:vAlign w:val="center"/>
          </w:tcPr>
          <w:p w14:paraId="5225F85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22,8%</w:t>
            </w:r>
          </w:p>
        </w:tc>
      </w:tr>
      <w:tr w:rsidR="00CD1294" w:rsidRPr="00583F7E" w14:paraId="15D2EBB8" w14:textId="77777777" w:rsidTr="00EC78EE">
        <w:tc>
          <w:tcPr>
            <w:tcW w:w="1249" w:type="pct"/>
            <w:vAlign w:val="center"/>
          </w:tcPr>
          <w:p w14:paraId="5FC8006A"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Molise</w:t>
            </w:r>
          </w:p>
        </w:tc>
        <w:tc>
          <w:tcPr>
            <w:tcW w:w="1250" w:type="pct"/>
            <w:vAlign w:val="center"/>
          </w:tcPr>
          <w:p w14:paraId="16C4CC0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9.949</w:t>
            </w:r>
          </w:p>
        </w:tc>
        <w:tc>
          <w:tcPr>
            <w:tcW w:w="1250" w:type="pct"/>
            <w:vAlign w:val="center"/>
          </w:tcPr>
          <w:p w14:paraId="16D338F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Pr>
                <w:rFonts w:eastAsia="Times New Roman" w:cs="Times New Roman"/>
                <w:color w:val="000000"/>
                <w:lang w:bidi="en-US"/>
              </w:rPr>
              <w:t>35.400</w:t>
            </w:r>
          </w:p>
        </w:tc>
        <w:tc>
          <w:tcPr>
            <w:tcW w:w="1251" w:type="pct"/>
            <w:vAlign w:val="center"/>
          </w:tcPr>
          <w:p w14:paraId="403D96E7"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28,1%</w:t>
            </w:r>
          </w:p>
        </w:tc>
      </w:tr>
      <w:tr w:rsidR="00CD1294" w:rsidRPr="00583F7E" w14:paraId="6478EC25" w14:textId="77777777" w:rsidTr="00EC78EE">
        <w:tc>
          <w:tcPr>
            <w:tcW w:w="1249" w:type="pct"/>
            <w:vAlign w:val="center"/>
          </w:tcPr>
          <w:p w14:paraId="57A9B67A"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Piemonte</w:t>
            </w:r>
          </w:p>
        </w:tc>
        <w:tc>
          <w:tcPr>
            <w:tcW w:w="1250" w:type="pct"/>
            <w:vAlign w:val="center"/>
          </w:tcPr>
          <w:p w14:paraId="24CA4ED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97.578</w:t>
            </w:r>
          </w:p>
        </w:tc>
        <w:tc>
          <w:tcPr>
            <w:tcW w:w="1250" w:type="pct"/>
            <w:vAlign w:val="center"/>
          </w:tcPr>
          <w:p w14:paraId="003F9D3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436.043</w:t>
            </w:r>
          </w:p>
        </w:tc>
        <w:tc>
          <w:tcPr>
            <w:tcW w:w="1251" w:type="pct"/>
            <w:vAlign w:val="center"/>
          </w:tcPr>
          <w:p w14:paraId="237F44A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22,4%</w:t>
            </w:r>
          </w:p>
        </w:tc>
      </w:tr>
      <w:tr w:rsidR="00CD1294" w:rsidRPr="00583F7E" w14:paraId="1C622D6F" w14:textId="77777777" w:rsidTr="00EC78EE">
        <w:tc>
          <w:tcPr>
            <w:tcW w:w="1249" w:type="pct"/>
            <w:vAlign w:val="center"/>
          </w:tcPr>
          <w:p w14:paraId="0E0821E2"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Puglia</w:t>
            </w:r>
          </w:p>
        </w:tc>
        <w:tc>
          <w:tcPr>
            <w:tcW w:w="1250" w:type="pct"/>
            <w:vAlign w:val="center"/>
          </w:tcPr>
          <w:p w14:paraId="690897C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87.796</w:t>
            </w:r>
          </w:p>
        </w:tc>
        <w:tc>
          <w:tcPr>
            <w:tcW w:w="1250" w:type="pct"/>
            <w:vAlign w:val="center"/>
          </w:tcPr>
          <w:p w14:paraId="09B4258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9D2CFC">
              <w:rPr>
                <w:rFonts w:eastAsia="Times New Roman" w:cs="Times New Roman"/>
                <w:color w:val="000000"/>
                <w:lang w:bidi="en-US"/>
              </w:rPr>
              <w:t>380.553</w:t>
            </w:r>
          </w:p>
        </w:tc>
        <w:tc>
          <w:tcPr>
            <w:tcW w:w="1251" w:type="pct"/>
            <w:vAlign w:val="center"/>
          </w:tcPr>
          <w:p w14:paraId="5F10A3A0"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23,1%</w:t>
            </w:r>
          </w:p>
        </w:tc>
      </w:tr>
      <w:tr w:rsidR="00CD1294" w:rsidRPr="00583F7E" w14:paraId="55162286" w14:textId="77777777" w:rsidTr="00EC78EE">
        <w:tc>
          <w:tcPr>
            <w:tcW w:w="1249" w:type="pct"/>
            <w:vAlign w:val="center"/>
          </w:tcPr>
          <w:p w14:paraId="7D75BBE9"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Sardegna</w:t>
            </w:r>
          </w:p>
        </w:tc>
        <w:tc>
          <w:tcPr>
            <w:tcW w:w="1250" w:type="pct"/>
            <w:vAlign w:val="center"/>
          </w:tcPr>
          <w:p w14:paraId="28B6C984"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38.614</w:t>
            </w:r>
          </w:p>
        </w:tc>
        <w:tc>
          <w:tcPr>
            <w:tcW w:w="1250" w:type="pct"/>
            <w:vAlign w:val="center"/>
          </w:tcPr>
          <w:p w14:paraId="075D87C7"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A0B20">
              <w:rPr>
                <w:rFonts w:eastAsia="Times New Roman" w:cs="Times New Roman"/>
                <w:color w:val="000000"/>
                <w:lang w:bidi="en-US"/>
              </w:rPr>
              <w:t>169.294</w:t>
            </w:r>
          </w:p>
        </w:tc>
        <w:tc>
          <w:tcPr>
            <w:tcW w:w="1251" w:type="pct"/>
            <w:vAlign w:val="center"/>
          </w:tcPr>
          <w:p w14:paraId="2A2E80F6"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22,8%</w:t>
            </w:r>
          </w:p>
        </w:tc>
      </w:tr>
      <w:tr w:rsidR="00CD1294" w:rsidRPr="00583F7E" w14:paraId="603DDAE4" w14:textId="77777777" w:rsidTr="00EC78EE">
        <w:tc>
          <w:tcPr>
            <w:tcW w:w="1249" w:type="pct"/>
            <w:vAlign w:val="center"/>
          </w:tcPr>
          <w:p w14:paraId="4D37619F"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Sicilia</w:t>
            </w:r>
          </w:p>
        </w:tc>
        <w:tc>
          <w:tcPr>
            <w:tcW w:w="1250" w:type="pct"/>
            <w:vAlign w:val="center"/>
          </w:tcPr>
          <w:p w14:paraId="60A8DCA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112.470</w:t>
            </w:r>
          </w:p>
        </w:tc>
        <w:tc>
          <w:tcPr>
            <w:tcW w:w="1250" w:type="pct"/>
            <w:vAlign w:val="center"/>
          </w:tcPr>
          <w:p w14:paraId="49263FA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A0B20">
              <w:rPr>
                <w:rFonts w:eastAsia="Times New Roman" w:cs="Times New Roman"/>
                <w:color w:val="000000"/>
                <w:lang w:bidi="en-US"/>
              </w:rPr>
              <w:t>462.625</w:t>
            </w:r>
          </w:p>
        </w:tc>
        <w:tc>
          <w:tcPr>
            <w:tcW w:w="1251" w:type="pct"/>
            <w:vAlign w:val="center"/>
          </w:tcPr>
          <w:p w14:paraId="5B658220"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24,3%</w:t>
            </w:r>
          </w:p>
        </w:tc>
      </w:tr>
      <w:tr w:rsidR="00CD1294" w:rsidRPr="00583F7E" w14:paraId="404348E1" w14:textId="77777777" w:rsidTr="00EC78EE">
        <w:tc>
          <w:tcPr>
            <w:tcW w:w="1249" w:type="pct"/>
            <w:vAlign w:val="center"/>
          </w:tcPr>
          <w:p w14:paraId="400351CB"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Toscana</w:t>
            </w:r>
          </w:p>
        </w:tc>
        <w:tc>
          <w:tcPr>
            <w:tcW w:w="1250" w:type="pct"/>
            <w:vAlign w:val="center"/>
          </w:tcPr>
          <w:p w14:paraId="5A65A0F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95.528</w:t>
            </w:r>
          </w:p>
        </w:tc>
        <w:tc>
          <w:tcPr>
            <w:tcW w:w="1250" w:type="pct"/>
            <w:vAlign w:val="center"/>
          </w:tcPr>
          <w:p w14:paraId="07DD748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A0B20">
              <w:rPr>
                <w:rFonts w:eastAsia="Times New Roman" w:cs="Times New Roman"/>
                <w:color w:val="000000"/>
                <w:lang w:bidi="en-US"/>
              </w:rPr>
              <w:t>414.353</w:t>
            </w:r>
          </w:p>
        </w:tc>
        <w:tc>
          <w:tcPr>
            <w:tcW w:w="1251" w:type="pct"/>
            <w:vAlign w:val="center"/>
          </w:tcPr>
          <w:p w14:paraId="55CD4E57"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23,1%</w:t>
            </w:r>
          </w:p>
        </w:tc>
      </w:tr>
      <w:tr w:rsidR="00CD1294" w:rsidRPr="00583F7E" w14:paraId="67D41C4F" w14:textId="77777777" w:rsidTr="00EC78EE">
        <w:tc>
          <w:tcPr>
            <w:tcW w:w="1249" w:type="pct"/>
            <w:vAlign w:val="center"/>
          </w:tcPr>
          <w:p w14:paraId="704FC171"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Trentino Alto Adige</w:t>
            </w:r>
          </w:p>
        </w:tc>
        <w:tc>
          <w:tcPr>
            <w:tcW w:w="1250" w:type="pct"/>
            <w:vAlign w:val="center"/>
          </w:tcPr>
          <w:p w14:paraId="3EBD06D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19.392</w:t>
            </w:r>
          </w:p>
        </w:tc>
        <w:tc>
          <w:tcPr>
            <w:tcW w:w="1250" w:type="pct"/>
            <w:vAlign w:val="center"/>
          </w:tcPr>
          <w:p w14:paraId="74BCF4A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C4596">
              <w:rPr>
                <w:rFonts w:eastAsia="Times New Roman" w:cs="Times New Roman"/>
                <w:color w:val="000000"/>
                <w:lang w:bidi="en-US"/>
              </w:rPr>
              <w:t>109.414</w:t>
            </w:r>
          </w:p>
        </w:tc>
        <w:tc>
          <w:tcPr>
            <w:tcW w:w="1251" w:type="pct"/>
            <w:vAlign w:val="center"/>
          </w:tcPr>
          <w:p w14:paraId="100340A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17,7%</w:t>
            </w:r>
          </w:p>
        </w:tc>
      </w:tr>
      <w:tr w:rsidR="00CD1294" w:rsidRPr="003730A0" w14:paraId="089AE299" w14:textId="77777777" w:rsidTr="00EC78EE">
        <w:tc>
          <w:tcPr>
            <w:tcW w:w="1249" w:type="pct"/>
            <w:shd w:val="clear" w:color="auto" w:fill="BDD6EE" w:themeFill="accent1" w:themeFillTint="66"/>
            <w:vAlign w:val="center"/>
          </w:tcPr>
          <w:p w14:paraId="4F4EF424" w14:textId="77777777" w:rsidR="00CD1294" w:rsidRPr="003730A0" w:rsidRDefault="00CD1294" w:rsidP="0047755C">
            <w:pPr>
              <w:widowControl w:val="0"/>
              <w:tabs>
                <w:tab w:val="left" w:pos="7936"/>
              </w:tabs>
              <w:spacing w:before="0" w:after="0"/>
              <w:rPr>
                <w:rFonts w:eastAsia="Times New Roman" w:cs="Times New Roman"/>
                <w:b/>
                <w:color w:val="000000"/>
                <w:lang w:bidi="en-US"/>
              </w:rPr>
            </w:pPr>
            <w:r w:rsidRPr="003730A0">
              <w:rPr>
                <w:rFonts w:eastAsia="Times New Roman" w:cs="Times New Roman"/>
                <w:b/>
                <w:color w:val="000000"/>
                <w:lang w:bidi="en-US"/>
              </w:rPr>
              <w:t>Umbria</w:t>
            </w:r>
          </w:p>
        </w:tc>
        <w:tc>
          <w:tcPr>
            <w:tcW w:w="1250" w:type="pct"/>
            <w:shd w:val="clear" w:color="auto" w:fill="BDD6EE" w:themeFill="accent1" w:themeFillTint="66"/>
            <w:vAlign w:val="center"/>
          </w:tcPr>
          <w:p w14:paraId="22F8E312"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rFonts w:eastAsia="Times New Roman" w:cs="Times New Roman"/>
                <w:b/>
                <w:color w:val="000000"/>
                <w:lang w:bidi="en-US"/>
              </w:rPr>
              <w:t>23.500</w:t>
            </w:r>
          </w:p>
        </w:tc>
        <w:tc>
          <w:tcPr>
            <w:tcW w:w="1250" w:type="pct"/>
            <w:shd w:val="clear" w:color="auto" w:fill="BDD6EE" w:themeFill="accent1" w:themeFillTint="66"/>
            <w:vAlign w:val="center"/>
          </w:tcPr>
          <w:p w14:paraId="412BE2C9"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rFonts w:eastAsia="Times New Roman" w:cs="Times New Roman"/>
                <w:b/>
                <w:color w:val="000000"/>
                <w:lang w:bidi="en-US"/>
              </w:rPr>
              <w:t>94.527</w:t>
            </w:r>
          </w:p>
        </w:tc>
        <w:tc>
          <w:tcPr>
            <w:tcW w:w="1251" w:type="pct"/>
            <w:shd w:val="clear" w:color="auto" w:fill="BDD6EE" w:themeFill="accent1" w:themeFillTint="66"/>
            <w:vAlign w:val="center"/>
          </w:tcPr>
          <w:p w14:paraId="4BA80A2B"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b/>
              </w:rPr>
              <w:t>24,9%</w:t>
            </w:r>
          </w:p>
        </w:tc>
      </w:tr>
      <w:tr w:rsidR="00CD1294" w:rsidRPr="00583F7E" w14:paraId="75776DC1" w14:textId="77777777" w:rsidTr="00EC78EE">
        <w:tc>
          <w:tcPr>
            <w:tcW w:w="1249" w:type="pct"/>
            <w:vAlign w:val="center"/>
          </w:tcPr>
          <w:p w14:paraId="38F3CC4B"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Valle d’Aosta</w:t>
            </w:r>
          </w:p>
        </w:tc>
        <w:tc>
          <w:tcPr>
            <w:tcW w:w="1250" w:type="pct"/>
            <w:vAlign w:val="center"/>
          </w:tcPr>
          <w:p w14:paraId="7BF1225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2.907</w:t>
            </w:r>
          </w:p>
        </w:tc>
        <w:tc>
          <w:tcPr>
            <w:tcW w:w="1250" w:type="pct"/>
            <w:vAlign w:val="center"/>
          </w:tcPr>
          <w:p w14:paraId="6CC0A180"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Pr>
                <w:rFonts w:eastAsia="Times New Roman" w:cs="Times New Roman"/>
                <w:color w:val="000000"/>
                <w:lang w:bidi="en-US"/>
              </w:rPr>
              <w:t>12.507</w:t>
            </w:r>
          </w:p>
        </w:tc>
        <w:tc>
          <w:tcPr>
            <w:tcW w:w="1251" w:type="pct"/>
            <w:vAlign w:val="center"/>
          </w:tcPr>
          <w:p w14:paraId="3500A99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23,2%</w:t>
            </w:r>
          </w:p>
        </w:tc>
      </w:tr>
      <w:tr w:rsidR="00CD1294" w:rsidRPr="00583F7E" w14:paraId="651943FA" w14:textId="77777777" w:rsidTr="00EC78EE">
        <w:tc>
          <w:tcPr>
            <w:tcW w:w="1249" w:type="pct"/>
            <w:vAlign w:val="center"/>
          </w:tcPr>
          <w:p w14:paraId="01BA8C23"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Veneto</w:t>
            </w:r>
          </w:p>
        </w:tc>
        <w:tc>
          <w:tcPr>
            <w:tcW w:w="1250" w:type="pct"/>
            <w:vAlign w:val="center"/>
          </w:tcPr>
          <w:p w14:paraId="6C9EDA7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96.835</w:t>
            </w:r>
          </w:p>
        </w:tc>
        <w:tc>
          <w:tcPr>
            <w:tcW w:w="1250" w:type="pct"/>
            <w:vAlign w:val="center"/>
          </w:tcPr>
          <w:p w14:paraId="25306A44"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C4596">
              <w:rPr>
                <w:rFonts w:eastAsia="Times New Roman" w:cs="Times New Roman"/>
                <w:color w:val="000000"/>
                <w:lang w:bidi="en-US"/>
              </w:rPr>
              <w:t>488.226</w:t>
            </w:r>
          </w:p>
        </w:tc>
        <w:tc>
          <w:tcPr>
            <w:tcW w:w="1251" w:type="pct"/>
            <w:vAlign w:val="center"/>
          </w:tcPr>
          <w:p w14:paraId="4D698B7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D1104B">
              <w:t>19,8%</w:t>
            </w:r>
          </w:p>
        </w:tc>
      </w:tr>
      <w:tr w:rsidR="00CD1294" w:rsidRPr="003730A0" w14:paraId="0A6A0F88" w14:textId="77777777" w:rsidTr="00EC78EE">
        <w:tc>
          <w:tcPr>
            <w:tcW w:w="1249" w:type="pct"/>
            <w:vAlign w:val="center"/>
          </w:tcPr>
          <w:p w14:paraId="1551BA8B" w14:textId="77777777" w:rsidR="00CD1294" w:rsidRPr="003730A0" w:rsidRDefault="00CD1294" w:rsidP="0047755C">
            <w:pPr>
              <w:widowControl w:val="0"/>
              <w:tabs>
                <w:tab w:val="left" w:pos="7936"/>
              </w:tabs>
              <w:spacing w:before="0" w:after="0"/>
              <w:rPr>
                <w:rFonts w:eastAsia="Times New Roman" w:cs="Times New Roman"/>
                <w:b/>
                <w:color w:val="000000"/>
                <w:lang w:bidi="en-US"/>
              </w:rPr>
            </w:pPr>
            <w:r w:rsidRPr="003730A0">
              <w:rPr>
                <w:rFonts w:eastAsia="Times New Roman" w:cs="Times New Roman"/>
                <w:b/>
                <w:color w:val="000000"/>
                <w:lang w:bidi="en-US"/>
              </w:rPr>
              <w:t>Italia</w:t>
            </w:r>
          </w:p>
        </w:tc>
        <w:tc>
          <w:tcPr>
            <w:tcW w:w="1250" w:type="pct"/>
            <w:vAlign w:val="center"/>
          </w:tcPr>
          <w:p w14:paraId="7B6E2F79"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rFonts w:eastAsia="Times New Roman" w:cs="Times New Roman"/>
                <w:b/>
                <w:color w:val="000000"/>
                <w:lang w:bidi="en-US"/>
              </w:rPr>
              <w:t>1.331.367</w:t>
            </w:r>
          </w:p>
        </w:tc>
        <w:tc>
          <w:tcPr>
            <w:tcW w:w="1250" w:type="pct"/>
            <w:vAlign w:val="center"/>
          </w:tcPr>
          <w:p w14:paraId="4D203203"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rFonts w:eastAsia="Times New Roman" w:cs="Times New Roman"/>
                <w:b/>
                <w:color w:val="000000"/>
                <w:lang w:bidi="en-US"/>
              </w:rPr>
              <w:t>6.090.481</w:t>
            </w:r>
          </w:p>
        </w:tc>
        <w:tc>
          <w:tcPr>
            <w:tcW w:w="1251" w:type="pct"/>
            <w:vAlign w:val="center"/>
          </w:tcPr>
          <w:p w14:paraId="672B7D12"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b/>
              </w:rPr>
              <w:t>21,9%</w:t>
            </w:r>
          </w:p>
        </w:tc>
      </w:tr>
    </w:tbl>
    <w:p w14:paraId="21E28EC7" w14:textId="77777777" w:rsidR="00CD1294" w:rsidRDefault="00CD1294" w:rsidP="00CD1294">
      <w:pPr>
        <w:widowControl w:val="0"/>
        <w:spacing w:before="0" w:after="0" w:line="360" w:lineRule="auto"/>
        <w:rPr>
          <w:rFonts w:eastAsia="Andale Sans UI" w:cs="Tahoma"/>
          <w:sz w:val="24"/>
          <w:szCs w:val="24"/>
          <w:lang w:bidi="en-US"/>
        </w:rPr>
      </w:pPr>
      <w:r w:rsidRPr="00A80CDD">
        <w:rPr>
          <w:rFonts w:eastAsia="Andale Sans UI" w:cs="Tahoma"/>
          <w:i/>
          <w:sz w:val="18"/>
          <w:szCs w:val="18"/>
          <w:lang w:bidi="en-US"/>
        </w:rPr>
        <w:t xml:space="preserve">Fonte: Osservatorio Imprenditoria femminile </w:t>
      </w:r>
      <w:r>
        <w:rPr>
          <w:rFonts w:eastAsia="Andale Sans UI" w:cs="Tahoma"/>
          <w:i/>
          <w:sz w:val="18"/>
          <w:szCs w:val="18"/>
          <w:lang w:bidi="en-US"/>
        </w:rPr>
        <w:t>Unioncamere-InfoCamere 2017</w:t>
      </w:r>
      <w:r w:rsidRPr="00A80CDD">
        <w:rPr>
          <w:rFonts w:eastAsia="Andale Sans UI" w:cs="Tahoma"/>
          <w:i/>
          <w:sz w:val="18"/>
          <w:szCs w:val="18"/>
          <w:lang w:bidi="en-US"/>
        </w:rPr>
        <w:t>.</w:t>
      </w:r>
    </w:p>
    <w:p w14:paraId="0B8C2EE1" w14:textId="77777777" w:rsidR="00CD1294" w:rsidRDefault="00CD1294" w:rsidP="00EC78EE">
      <w:pPr>
        <w:rPr>
          <w:lang w:bidi="en-US"/>
        </w:rPr>
      </w:pPr>
    </w:p>
    <w:p w14:paraId="1BEF2543" w14:textId="77777777" w:rsidR="00CD1294" w:rsidRDefault="00CD1294" w:rsidP="00EC78EE">
      <w:pPr>
        <w:rPr>
          <w:lang w:bidi="en-US"/>
        </w:rPr>
      </w:pPr>
      <w:r>
        <w:rPr>
          <w:lang w:bidi="en-US"/>
        </w:rPr>
        <w:t>Non si registrano variazioni in termini di peso percentuale, invece, riguardo al numero di imprese condotte da giovani: al 2017, l’ammontare di imprese è pari a 8.310, l’8,8% del totale.</w:t>
      </w:r>
    </w:p>
    <w:p w14:paraId="407545AB" w14:textId="77777777" w:rsidR="00CD1294" w:rsidRDefault="00CD1294" w:rsidP="00EC78EE">
      <w:pPr>
        <w:rPr>
          <w:lang w:bidi="en-US"/>
        </w:rPr>
      </w:pPr>
    </w:p>
    <w:p w14:paraId="6DFE9227" w14:textId="470C7B27" w:rsidR="00CD1294" w:rsidRDefault="00CD1294" w:rsidP="007D4B0C">
      <w:pPr>
        <w:pStyle w:val="Titolotabella"/>
        <w:ind w:left="993" w:hanging="993"/>
      </w:pPr>
      <w:r>
        <w:t xml:space="preserve">Tabella </w:t>
      </w:r>
      <w:r w:rsidR="002A0777">
        <w:rPr>
          <w:noProof/>
        </w:rPr>
        <w:fldChar w:fldCharType="begin"/>
      </w:r>
      <w:r w:rsidR="002A0777">
        <w:rPr>
          <w:noProof/>
        </w:rPr>
        <w:instrText xml:space="preserve"> SEQ Tabella \* ARABIC </w:instrText>
      </w:r>
      <w:r w:rsidR="002A0777">
        <w:rPr>
          <w:noProof/>
        </w:rPr>
        <w:fldChar w:fldCharType="separate"/>
      </w:r>
      <w:r w:rsidR="00295319">
        <w:rPr>
          <w:noProof/>
        </w:rPr>
        <w:t>6</w:t>
      </w:r>
      <w:r w:rsidR="002A0777">
        <w:rPr>
          <w:noProof/>
        </w:rPr>
        <w:fldChar w:fldCharType="end"/>
      </w:r>
      <w:r>
        <w:t xml:space="preserve"> – Imprese registrate al 31 dicembre 2017 per regioni – Totale imprese e imprese giovanili</w:t>
      </w:r>
    </w:p>
    <w:tbl>
      <w:tblPr>
        <w:tblStyle w:val="Grigliatabel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932"/>
        <w:gridCol w:w="1718"/>
        <w:gridCol w:w="2205"/>
        <w:gridCol w:w="2205"/>
      </w:tblGrid>
      <w:tr w:rsidR="003730A0" w:rsidRPr="003730A0" w14:paraId="261BF59D" w14:textId="77777777" w:rsidTr="003730A0">
        <w:trPr>
          <w:cantSplit/>
          <w:tblHeader/>
        </w:trPr>
        <w:tc>
          <w:tcPr>
            <w:tcW w:w="1618" w:type="pct"/>
            <w:vMerge w:val="restart"/>
            <w:shd w:val="clear" w:color="auto" w:fill="1F4E79" w:themeFill="accent1" w:themeFillShade="80"/>
            <w:vAlign w:val="center"/>
          </w:tcPr>
          <w:p w14:paraId="5A39C49F"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Regioni</w:t>
            </w:r>
          </w:p>
        </w:tc>
        <w:tc>
          <w:tcPr>
            <w:tcW w:w="3382" w:type="pct"/>
            <w:gridSpan w:val="3"/>
            <w:shd w:val="clear" w:color="auto" w:fill="1F4E79" w:themeFill="accent1" w:themeFillShade="80"/>
            <w:vAlign w:val="center"/>
          </w:tcPr>
          <w:p w14:paraId="7538FBAC"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Imprese registrate</w:t>
            </w:r>
          </w:p>
        </w:tc>
      </w:tr>
      <w:tr w:rsidR="003730A0" w:rsidRPr="003730A0" w14:paraId="202714C7" w14:textId="77777777" w:rsidTr="003730A0">
        <w:trPr>
          <w:cantSplit/>
          <w:tblHeader/>
        </w:trPr>
        <w:tc>
          <w:tcPr>
            <w:tcW w:w="1618" w:type="pct"/>
            <w:vMerge/>
            <w:shd w:val="clear" w:color="auto" w:fill="1F4E79" w:themeFill="accent1" w:themeFillShade="80"/>
            <w:vAlign w:val="center"/>
          </w:tcPr>
          <w:p w14:paraId="19AA52E4" w14:textId="77777777" w:rsidR="00CD1294" w:rsidRPr="003730A0" w:rsidRDefault="00CD1294" w:rsidP="0047755C">
            <w:pPr>
              <w:widowControl w:val="0"/>
              <w:tabs>
                <w:tab w:val="left" w:pos="7936"/>
              </w:tabs>
              <w:spacing w:before="0" w:after="0"/>
              <w:rPr>
                <w:rFonts w:eastAsia="Times New Roman" w:cs="Times New Roman"/>
                <w:b/>
                <w:color w:val="FFFFFF" w:themeColor="background1"/>
                <w:lang w:bidi="en-US"/>
              </w:rPr>
            </w:pPr>
          </w:p>
        </w:tc>
        <w:tc>
          <w:tcPr>
            <w:tcW w:w="948" w:type="pct"/>
            <w:shd w:val="clear" w:color="auto" w:fill="1F4E79" w:themeFill="accent1" w:themeFillShade="80"/>
            <w:vAlign w:val="center"/>
          </w:tcPr>
          <w:p w14:paraId="363AB9EA"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Imprese giovanili</w:t>
            </w:r>
          </w:p>
        </w:tc>
        <w:tc>
          <w:tcPr>
            <w:tcW w:w="1217" w:type="pct"/>
            <w:shd w:val="clear" w:color="auto" w:fill="1F4E79" w:themeFill="accent1" w:themeFillShade="80"/>
            <w:vAlign w:val="center"/>
          </w:tcPr>
          <w:p w14:paraId="05FB0B9F"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Totale imprese</w:t>
            </w:r>
          </w:p>
        </w:tc>
        <w:tc>
          <w:tcPr>
            <w:tcW w:w="1217" w:type="pct"/>
            <w:shd w:val="clear" w:color="auto" w:fill="1F4E79" w:themeFill="accent1" w:themeFillShade="80"/>
            <w:vAlign w:val="center"/>
          </w:tcPr>
          <w:p w14:paraId="0AF97C6D" w14:textId="77777777" w:rsidR="00CD1294" w:rsidRPr="003730A0" w:rsidRDefault="00CD1294" w:rsidP="0047755C">
            <w:pPr>
              <w:widowControl w:val="0"/>
              <w:tabs>
                <w:tab w:val="left" w:pos="7936"/>
              </w:tabs>
              <w:spacing w:before="0" w:after="0"/>
              <w:jc w:val="center"/>
              <w:rPr>
                <w:rFonts w:eastAsia="Times New Roman" w:cs="Times New Roman"/>
                <w:b/>
                <w:color w:val="FFFFFF" w:themeColor="background1"/>
                <w:lang w:bidi="en-US"/>
              </w:rPr>
            </w:pPr>
            <w:r w:rsidRPr="003730A0">
              <w:rPr>
                <w:rFonts w:eastAsia="Times New Roman" w:cs="Times New Roman"/>
                <w:b/>
                <w:color w:val="FFFFFF" w:themeColor="background1"/>
                <w:lang w:bidi="en-US"/>
              </w:rPr>
              <w:t>Tasso di giovani</w:t>
            </w:r>
          </w:p>
        </w:tc>
      </w:tr>
      <w:tr w:rsidR="00CD1294" w:rsidRPr="00583F7E" w14:paraId="59555FF8" w14:textId="77777777" w:rsidTr="003730A0">
        <w:tc>
          <w:tcPr>
            <w:tcW w:w="1618" w:type="pct"/>
            <w:vAlign w:val="center"/>
          </w:tcPr>
          <w:p w14:paraId="1654CC18"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Abruzzo</w:t>
            </w:r>
          </w:p>
        </w:tc>
        <w:tc>
          <w:tcPr>
            <w:tcW w:w="948" w:type="pct"/>
            <w:vAlign w:val="center"/>
          </w:tcPr>
          <w:p w14:paraId="4E26783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14.144</w:t>
            </w:r>
          </w:p>
        </w:tc>
        <w:tc>
          <w:tcPr>
            <w:tcW w:w="1217" w:type="pct"/>
            <w:vAlign w:val="center"/>
          </w:tcPr>
          <w:p w14:paraId="34DF3C2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A0B20">
              <w:rPr>
                <w:rFonts w:eastAsia="Times New Roman" w:cs="Times New Roman"/>
                <w:color w:val="000000"/>
                <w:lang w:bidi="en-US"/>
              </w:rPr>
              <w:t>148.298</w:t>
            </w:r>
          </w:p>
        </w:tc>
        <w:tc>
          <w:tcPr>
            <w:tcW w:w="1217" w:type="pct"/>
            <w:vAlign w:val="center"/>
          </w:tcPr>
          <w:p w14:paraId="7313CAB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9,5%</w:t>
            </w:r>
          </w:p>
        </w:tc>
      </w:tr>
      <w:tr w:rsidR="00CD1294" w:rsidRPr="00583F7E" w14:paraId="2E6B2337" w14:textId="77777777" w:rsidTr="003730A0">
        <w:tc>
          <w:tcPr>
            <w:tcW w:w="1618" w:type="pct"/>
            <w:vAlign w:val="center"/>
          </w:tcPr>
          <w:p w14:paraId="3B4F86A2"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Basilicata</w:t>
            </w:r>
          </w:p>
        </w:tc>
        <w:tc>
          <w:tcPr>
            <w:tcW w:w="948" w:type="pct"/>
            <w:vAlign w:val="center"/>
          </w:tcPr>
          <w:p w14:paraId="74ECD10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6.740</w:t>
            </w:r>
          </w:p>
        </w:tc>
        <w:tc>
          <w:tcPr>
            <w:tcW w:w="1217" w:type="pct"/>
            <w:vAlign w:val="center"/>
          </w:tcPr>
          <w:p w14:paraId="3C1B49F7"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Pr>
                <w:rFonts w:eastAsia="Times New Roman" w:cs="Times New Roman"/>
                <w:color w:val="000000"/>
                <w:lang w:bidi="en-US"/>
              </w:rPr>
              <w:t>60.284</w:t>
            </w:r>
          </w:p>
        </w:tc>
        <w:tc>
          <w:tcPr>
            <w:tcW w:w="1217" w:type="pct"/>
            <w:vAlign w:val="center"/>
          </w:tcPr>
          <w:p w14:paraId="7DF15587"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11,2%</w:t>
            </w:r>
          </w:p>
        </w:tc>
      </w:tr>
      <w:tr w:rsidR="00CD1294" w:rsidRPr="00583F7E" w14:paraId="7E3BADA0" w14:textId="77777777" w:rsidTr="003730A0">
        <w:tc>
          <w:tcPr>
            <w:tcW w:w="1618" w:type="pct"/>
            <w:vAlign w:val="center"/>
          </w:tcPr>
          <w:p w14:paraId="5F32C288"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Calabria</w:t>
            </w:r>
          </w:p>
        </w:tc>
        <w:tc>
          <w:tcPr>
            <w:tcW w:w="948" w:type="pct"/>
            <w:vAlign w:val="center"/>
          </w:tcPr>
          <w:p w14:paraId="395DB52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25.559</w:t>
            </w:r>
          </w:p>
        </w:tc>
        <w:tc>
          <w:tcPr>
            <w:tcW w:w="1217" w:type="pct"/>
            <w:vAlign w:val="center"/>
          </w:tcPr>
          <w:p w14:paraId="5AFC23B0"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Pr>
                <w:rFonts w:eastAsia="Times New Roman" w:cs="Times New Roman"/>
                <w:color w:val="000000"/>
                <w:lang w:bidi="en-US"/>
              </w:rPr>
              <w:t>186.005</w:t>
            </w:r>
          </w:p>
        </w:tc>
        <w:tc>
          <w:tcPr>
            <w:tcW w:w="1217" w:type="pct"/>
            <w:vAlign w:val="center"/>
          </w:tcPr>
          <w:p w14:paraId="15F1F47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13,7%</w:t>
            </w:r>
          </w:p>
        </w:tc>
      </w:tr>
      <w:tr w:rsidR="00CD1294" w:rsidRPr="00583F7E" w14:paraId="2509A3A8" w14:textId="77777777" w:rsidTr="003730A0">
        <w:tc>
          <w:tcPr>
            <w:tcW w:w="1618" w:type="pct"/>
            <w:vAlign w:val="center"/>
          </w:tcPr>
          <w:p w14:paraId="5280C8C3"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Campania</w:t>
            </w:r>
          </w:p>
        </w:tc>
        <w:tc>
          <w:tcPr>
            <w:tcW w:w="948" w:type="pct"/>
            <w:vAlign w:val="center"/>
          </w:tcPr>
          <w:p w14:paraId="31A2C19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78.353</w:t>
            </w:r>
          </w:p>
        </w:tc>
        <w:tc>
          <w:tcPr>
            <w:tcW w:w="1217" w:type="pct"/>
            <w:vAlign w:val="center"/>
          </w:tcPr>
          <w:p w14:paraId="4BE8EAF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A0B20">
              <w:rPr>
                <w:rFonts w:eastAsia="Times New Roman" w:cs="Times New Roman"/>
                <w:color w:val="000000"/>
                <w:lang w:bidi="en-US"/>
              </w:rPr>
              <w:t>586.821</w:t>
            </w:r>
          </w:p>
        </w:tc>
        <w:tc>
          <w:tcPr>
            <w:tcW w:w="1217" w:type="pct"/>
            <w:vAlign w:val="center"/>
          </w:tcPr>
          <w:p w14:paraId="418BA36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13,4%</w:t>
            </w:r>
          </w:p>
        </w:tc>
      </w:tr>
      <w:tr w:rsidR="00CD1294" w:rsidRPr="00583F7E" w14:paraId="0952650A" w14:textId="77777777" w:rsidTr="003730A0">
        <w:tc>
          <w:tcPr>
            <w:tcW w:w="1618" w:type="pct"/>
            <w:vAlign w:val="center"/>
          </w:tcPr>
          <w:p w14:paraId="7DD81EB2"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Emilia Romagna</w:t>
            </w:r>
          </w:p>
        </w:tc>
        <w:tc>
          <w:tcPr>
            <w:tcW w:w="948" w:type="pct"/>
            <w:vAlign w:val="center"/>
          </w:tcPr>
          <w:p w14:paraId="671E9B7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34.072</w:t>
            </w:r>
          </w:p>
        </w:tc>
        <w:tc>
          <w:tcPr>
            <w:tcW w:w="1217" w:type="pct"/>
            <w:vAlign w:val="center"/>
          </w:tcPr>
          <w:p w14:paraId="1C3FB19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A0B20">
              <w:rPr>
                <w:rFonts w:eastAsia="Times New Roman" w:cs="Times New Roman"/>
                <w:color w:val="000000"/>
                <w:lang w:bidi="en-US"/>
              </w:rPr>
              <w:t>456.929</w:t>
            </w:r>
          </w:p>
        </w:tc>
        <w:tc>
          <w:tcPr>
            <w:tcW w:w="1217" w:type="pct"/>
            <w:vAlign w:val="center"/>
          </w:tcPr>
          <w:p w14:paraId="528D145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7,5%</w:t>
            </w:r>
          </w:p>
        </w:tc>
      </w:tr>
      <w:tr w:rsidR="00CD1294" w:rsidRPr="00583F7E" w14:paraId="0D3906A4" w14:textId="77777777" w:rsidTr="003730A0">
        <w:tc>
          <w:tcPr>
            <w:tcW w:w="1618" w:type="pct"/>
            <w:vAlign w:val="center"/>
          </w:tcPr>
          <w:p w14:paraId="38FAE7C8"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Friuli-Venezia Giulia</w:t>
            </w:r>
          </w:p>
        </w:tc>
        <w:tc>
          <w:tcPr>
            <w:tcW w:w="948" w:type="pct"/>
            <w:vAlign w:val="center"/>
          </w:tcPr>
          <w:p w14:paraId="0C9AB18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7.562</w:t>
            </w:r>
          </w:p>
        </w:tc>
        <w:tc>
          <w:tcPr>
            <w:tcW w:w="1217" w:type="pct"/>
            <w:vAlign w:val="center"/>
          </w:tcPr>
          <w:p w14:paraId="25989781"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9D2CFC">
              <w:rPr>
                <w:rFonts w:eastAsia="Times New Roman" w:cs="Times New Roman"/>
                <w:color w:val="000000"/>
                <w:lang w:bidi="en-US"/>
              </w:rPr>
              <w:t>103.107</w:t>
            </w:r>
          </w:p>
        </w:tc>
        <w:tc>
          <w:tcPr>
            <w:tcW w:w="1217" w:type="pct"/>
            <w:vAlign w:val="center"/>
          </w:tcPr>
          <w:p w14:paraId="69F8EA15"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7,3%</w:t>
            </w:r>
          </w:p>
        </w:tc>
      </w:tr>
      <w:tr w:rsidR="00CD1294" w:rsidRPr="00583F7E" w14:paraId="73595983" w14:textId="77777777" w:rsidTr="003730A0">
        <w:tc>
          <w:tcPr>
            <w:tcW w:w="1618" w:type="pct"/>
            <w:vAlign w:val="center"/>
          </w:tcPr>
          <w:p w14:paraId="5FC08157"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Lazio</w:t>
            </w:r>
          </w:p>
        </w:tc>
        <w:tc>
          <w:tcPr>
            <w:tcW w:w="948" w:type="pct"/>
            <w:vAlign w:val="center"/>
          </w:tcPr>
          <w:p w14:paraId="772ED68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61.963</w:t>
            </w:r>
          </w:p>
        </w:tc>
        <w:tc>
          <w:tcPr>
            <w:tcW w:w="1217" w:type="pct"/>
            <w:vAlign w:val="center"/>
          </w:tcPr>
          <w:p w14:paraId="5AE9A0E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9D2CFC">
              <w:rPr>
                <w:rFonts w:eastAsia="Times New Roman" w:cs="Times New Roman"/>
                <w:color w:val="000000"/>
                <w:lang w:bidi="en-US"/>
              </w:rPr>
              <w:t>650.755</w:t>
            </w:r>
          </w:p>
        </w:tc>
        <w:tc>
          <w:tcPr>
            <w:tcW w:w="1217" w:type="pct"/>
            <w:vAlign w:val="center"/>
          </w:tcPr>
          <w:p w14:paraId="4FCFD634"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9,5%</w:t>
            </w:r>
          </w:p>
        </w:tc>
      </w:tr>
      <w:tr w:rsidR="00CD1294" w:rsidRPr="00583F7E" w14:paraId="1BE1DAEA" w14:textId="77777777" w:rsidTr="003730A0">
        <w:tc>
          <w:tcPr>
            <w:tcW w:w="1618" w:type="pct"/>
            <w:vAlign w:val="center"/>
          </w:tcPr>
          <w:p w14:paraId="45CBE183"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Liguria</w:t>
            </w:r>
          </w:p>
        </w:tc>
        <w:tc>
          <w:tcPr>
            <w:tcW w:w="948" w:type="pct"/>
            <w:vAlign w:val="center"/>
          </w:tcPr>
          <w:p w14:paraId="3997403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13.723</w:t>
            </w:r>
          </w:p>
        </w:tc>
        <w:tc>
          <w:tcPr>
            <w:tcW w:w="1217" w:type="pct"/>
            <w:vAlign w:val="center"/>
          </w:tcPr>
          <w:p w14:paraId="7A87982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C4596">
              <w:rPr>
                <w:rFonts w:eastAsia="Times New Roman" w:cs="Times New Roman"/>
                <w:color w:val="000000"/>
                <w:lang w:bidi="en-US"/>
              </w:rPr>
              <w:t>162.949</w:t>
            </w:r>
          </w:p>
        </w:tc>
        <w:tc>
          <w:tcPr>
            <w:tcW w:w="1217" w:type="pct"/>
            <w:vAlign w:val="center"/>
          </w:tcPr>
          <w:p w14:paraId="3EE615D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8,4%</w:t>
            </w:r>
          </w:p>
        </w:tc>
      </w:tr>
      <w:tr w:rsidR="00CD1294" w:rsidRPr="00583F7E" w14:paraId="5C23AF7C" w14:textId="77777777" w:rsidTr="003730A0">
        <w:tc>
          <w:tcPr>
            <w:tcW w:w="1618" w:type="pct"/>
            <w:vAlign w:val="center"/>
          </w:tcPr>
          <w:p w14:paraId="429800C0"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Lombardia</w:t>
            </w:r>
          </w:p>
        </w:tc>
        <w:tc>
          <w:tcPr>
            <w:tcW w:w="948" w:type="pct"/>
            <w:vAlign w:val="center"/>
          </w:tcPr>
          <w:p w14:paraId="5C619300"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80.616</w:t>
            </w:r>
          </w:p>
        </w:tc>
        <w:tc>
          <w:tcPr>
            <w:tcW w:w="1217" w:type="pct"/>
            <w:vAlign w:val="center"/>
          </w:tcPr>
          <w:p w14:paraId="26514B4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960.186</w:t>
            </w:r>
          </w:p>
        </w:tc>
        <w:tc>
          <w:tcPr>
            <w:tcW w:w="1217" w:type="pct"/>
            <w:vAlign w:val="center"/>
          </w:tcPr>
          <w:p w14:paraId="17C0D7C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8,4%</w:t>
            </w:r>
          </w:p>
        </w:tc>
      </w:tr>
      <w:tr w:rsidR="00CD1294" w:rsidRPr="00583F7E" w14:paraId="2D9FBC5B" w14:textId="77777777" w:rsidTr="003730A0">
        <w:tc>
          <w:tcPr>
            <w:tcW w:w="1618" w:type="pct"/>
            <w:vAlign w:val="center"/>
          </w:tcPr>
          <w:p w14:paraId="601003FB"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Marche</w:t>
            </w:r>
          </w:p>
        </w:tc>
        <w:tc>
          <w:tcPr>
            <w:tcW w:w="948" w:type="pct"/>
            <w:vAlign w:val="center"/>
          </w:tcPr>
          <w:p w14:paraId="6175AF84"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14.236</w:t>
            </w:r>
          </w:p>
        </w:tc>
        <w:tc>
          <w:tcPr>
            <w:tcW w:w="1217" w:type="pct"/>
            <w:vAlign w:val="center"/>
          </w:tcPr>
          <w:p w14:paraId="7ADB340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9D2CFC">
              <w:rPr>
                <w:rFonts w:eastAsia="Times New Roman" w:cs="Times New Roman"/>
                <w:color w:val="000000"/>
                <w:lang w:bidi="en-US"/>
              </w:rPr>
              <w:t>172.205</w:t>
            </w:r>
          </w:p>
        </w:tc>
        <w:tc>
          <w:tcPr>
            <w:tcW w:w="1217" w:type="pct"/>
            <w:vAlign w:val="center"/>
          </w:tcPr>
          <w:p w14:paraId="466862B6"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8,3%</w:t>
            </w:r>
          </w:p>
        </w:tc>
      </w:tr>
      <w:tr w:rsidR="00CD1294" w:rsidRPr="00583F7E" w14:paraId="0D1965D5" w14:textId="77777777" w:rsidTr="003730A0">
        <w:tc>
          <w:tcPr>
            <w:tcW w:w="1618" w:type="pct"/>
            <w:vAlign w:val="center"/>
          </w:tcPr>
          <w:p w14:paraId="6409B989"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Molise</w:t>
            </w:r>
          </w:p>
        </w:tc>
        <w:tc>
          <w:tcPr>
            <w:tcW w:w="948" w:type="pct"/>
            <w:vAlign w:val="center"/>
          </w:tcPr>
          <w:p w14:paraId="641FABB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3.816</w:t>
            </w:r>
          </w:p>
        </w:tc>
        <w:tc>
          <w:tcPr>
            <w:tcW w:w="1217" w:type="pct"/>
            <w:vAlign w:val="center"/>
          </w:tcPr>
          <w:p w14:paraId="2E0C4BE0"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Pr>
                <w:rFonts w:eastAsia="Times New Roman" w:cs="Times New Roman"/>
                <w:color w:val="000000"/>
                <w:lang w:bidi="en-US"/>
              </w:rPr>
              <w:t>35.400</w:t>
            </w:r>
          </w:p>
        </w:tc>
        <w:tc>
          <w:tcPr>
            <w:tcW w:w="1217" w:type="pct"/>
            <w:vAlign w:val="center"/>
          </w:tcPr>
          <w:p w14:paraId="28C79E87"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10,8%</w:t>
            </w:r>
          </w:p>
        </w:tc>
      </w:tr>
      <w:tr w:rsidR="00CD1294" w:rsidRPr="00583F7E" w14:paraId="23901F65" w14:textId="77777777" w:rsidTr="003730A0">
        <w:tc>
          <w:tcPr>
            <w:tcW w:w="1618" w:type="pct"/>
            <w:vAlign w:val="center"/>
          </w:tcPr>
          <w:p w14:paraId="2264461E"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Piemonte</w:t>
            </w:r>
          </w:p>
        </w:tc>
        <w:tc>
          <w:tcPr>
            <w:tcW w:w="948" w:type="pct"/>
            <w:vAlign w:val="center"/>
          </w:tcPr>
          <w:p w14:paraId="7BE2A70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40.862</w:t>
            </w:r>
          </w:p>
        </w:tc>
        <w:tc>
          <w:tcPr>
            <w:tcW w:w="1217" w:type="pct"/>
            <w:vAlign w:val="center"/>
          </w:tcPr>
          <w:p w14:paraId="412F290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70E31">
              <w:rPr>
                <w:rFonts w:eastAsia="Times New Roman" w:cs="Times New Roman"/>
                <w:color w:val="000000"/>
                <w:lang w:bidi="en-US"/>
              </w:rPr>
              <w:t>436.043</w:t>
            </w:r>
          </w:p>
        </w:tc>
        <w:tc>
          <w:tcPr>
            <w:tcW w:w="1217" w:type="pct"/>
            <w:vAlign w:val="center"/>
          </w:tcPr>
          <w:p w14:paraId="49462898"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9,4%</w:t>
            </w:r>
          </w:p>
        </w:tc>
      </w:tr>
      <w:tr w:rsidR="00CD1294" w:rsidRPr="00583F7E" w14:paraId="63A344F5" w14:textId="77777777" w:rsidTr="003730A0">
        <w:tc>
          <w:tcPr>
            <w:tcW w:w="1618" w:type="pct"/>
            <w:vAlign w:val="center"/>
          </w:tcPr>
          <w:p w14:paraId="6B1126CD"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Puglia</w:t>
            </w:r>
          </w:p>
        </w:tc>
        <w:tc>
          <w:tcPr>
            <w:tcW w:w="948" w:type="pct"/>
            <w:vAlign w:val="center"/>
          </w:tcPr>
          <w:p w14:paraId="0C0A80C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43.739</w:t>
            </w:r>
          </w:p>
        </w:tc>
        <w:tc>
          <w:tcPr>
            <w:tcW w:w="1217" w:type="pct"/>
            <w:vAlign w:val="center"/>
          </w:tcPr>
          <w:p w14:paraId="09FA56BD"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9D2CFC">
              <w:rPr>
                <w:rFonts w:eastAsia="Times New Roman" w:cs="Times New Roman"/>
                <w:color w:val="000000"/>
                <w:lang w:bidi="en-US"/>
              </w:rPr>
              <w:t>380.553</w:t>
            </w:r>
          </w:p>
        </w:tc>
        <w:tc>
          <w:tcPr>
            <w:tcW w:w="1217" w:type="pct"/>
            <w:vAlign w:val="center"/>
          </w:tcPr>
          <w:p w14:paraId="63DE5657"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11,5%</w:t>
            </w:r>
          </w:p>
        </w:tc>
      </w:tr>
      <w:tr w:rsidR="00CD1294" w:rsidRPr="00583F7E" w14:paraId="22C58533" w14:textId="77777777" w:rsidTr="003730A0">
        <w:tc>
          <w:tcPr>
            <w:tcW w:w="1618" w:type="pct"/>
            <w:vAlign w:val="center"/>
          </w:tcPr>
          <w:p w14:paraId="099966CA"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Sardegna</w:t>
            </w:r>
          </w:p>
        </w:tc>
        <w:tc>
          <w:tcPr>
            <w:tcW w:w="948" w:type="pct"/>
            <w:vAlign w:val="center"/>
          </w:tcPr>
          <w:p w14:paraId="5D09098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16.955</w:t>
            </w:r>
          </w:p>
        </w:tc>
        <w:tc>
          <w:tcPr>
            <w:tcW w:w="1217" w:type="pct"/>
            <w:vAlign w:val="center"/>
          </w:tcPr>
          <w:p w14:paraId="3EC072F0"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A0B20">
              <w:rPr>
                <w:rFonts w:eastAsia="Times New Roman" w:cs="Times New Roman"/>
                <w:color w:val="000000"/>
                <w:lang w:bidi="en-US"/>
              </w:rPr>
              <w:t>169.294</w:t>
            </w:r>
          </w:p>
        </w:tc>
        <w:tc>
          <w:tcPr>
            <w:tcW w:w="1217" w:type="pct"/>
            <w:vAlign w:val="center"/>
          </w:tcPr>
          <w:p w14:paraId="78063FAB"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10,0%</w:t>
            </w:r>
          </w:p>
        </w:tc>
      </w:tr>
      <w:tr w:rsidR="00CD1294" w:rsidRPr="00583F7E" w14:paraId="020E0582" w14:textId="77777777" w:rsidTr="003730A0">
        <w:tc>
          <w:tcPr>
            <w:tcW w:w="1618" w:type="pct"/>
            <w:vAlign w:val="center"/>
          </w:tcPr>
          <w:p w14:paraId="0E93B598"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lastRenderedPageBreak/>
              <w:t>Sicilia</w:t>
            </w:r>
          </w:p>
        </w:tc>
        <w:tc>
          <w:tcPr>
            <w:tcW w:w="948" w:type="pct"/>
            <w:vAlign w:val="center"/>
          </w:tcPr>
          <w:p w14:paraId="53AA474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58.808</w:t>
            </w:r>
          </w:p>
        </w:tc>
        <w:tc>
          <w:tcPr>
            <w:tcW w:w="1217" w:type="pct"/>
            <w:vAlign w:val="center"/>
          </w:tcPr>
          <w:p w14:paraId="467E794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A0B20">
              <w:rPr>
                <w:rFonts w:eastAsia="Times New Roman" w:cs="Times New Roman"/>
                <w:color w:val="000000"/>
                <w:lang w:bidi="en-US"/>
              </w:rPr>
              <w:t>462.625</w:t>
            </w:r>
          </w:p>
        </w:tc>
        <w:tc>
          <w:tcPr>
            <w:tcW w:w="1217" w:type="pct"/>
            <w:vAlign w:val="center"/>
          </w:tcPr>
          <w:p w14:paraId="7CFFF2AE"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12,7%</w:t>
            </w:r>
          </w:p>
        </w:tc>
      </w:tr>
      <w:tr w:rsidR="00CD1294" w:rsidRPr="00583F7E" w14:paraId="70F4BFAB" w14:textId="77777777" w:rsidTr="003730A0">
        <w:tc>
          <w:tcPr>
            <w:tcW w:w="1618" w:type="pct"/>
            <w:vAlign w:val="center"/>
          </w:tcPr>
          <w:p w14:paraId="6EF60F49"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Toscana</w:t>
            </w:r>
          </w:p>
        </w:tc>
        <w:tc>
          <w:tcPr>
            <w:tcW w:w="948" w:type="pct"/>
            <w:vAlign w:val="center"/>
          </w:tcPr>
          <w:p w14:paraId="70B5532A"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35.639</w:t>
            </w:r>
          </w:p>
        </w:tc>
        <w:tc>
          <w:tcPr>
            <w:tcW w:w="1217" w:type="pct"/>
            <w:vAlign w:val="center"/>
          </w:tcPr>
          <w:p w14:paraId="7744558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EA0B20">
              <w:rPr>
                <w:rFonts w:eastAsia="Times New Roman" w:cs="Times New Roman"/>
                <w:color w:val="000000"/>
                <w:lang w:bidi="en-US"/>
              </w:rPr>
              <w:t>414.353</w:t>
            </w:r>
          </w:p>
        </w:tc>
        <w:tc>
          <w:tcPr>
            <w:tcW w:w="1217" w:type="pct"/>
            <w:vAlign w:val="center"/>
          </w:tcPr>
          <w:p w14:paraId="13925C89"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8,6%</w:t>
            </w:r>
          </w:p>
        </w:tc>
      </w:tr>
      <w:tr w:rsidR="00CD1294" w:rsidRPr="00583F7E" w14:paraId="66FEABB8" w14:textId="77777777" w:rsidTr="003730A0">
        <w:tc>
          <w:tcPr>
            <w:tcW w:w="1618" w:type="pct"/>
            <w:vAlign w:val="center"/>
          </w:tcPr>
          <w:p w14:paraId="786A0365"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Trentino Alto Adige</w:t>
            </w:r>
          </w:p>
        </w:tc>
        <w:tc>
          <w:tcPr>
            <w:tcW w:w="948" w:type="pct"/>
            <w:vAlign w:val="center"/>
          </w:tcPr>
          <w:p w14:paraId="161138B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9.298</w:t>
            </w:r>
          </w:p>
        </w:tc>
        <w:tc>
          <w:tcPr>
            <w:tcW w:w="1217" w:type="pct"/>
            <w:vAlign w:val="center"/>
          </w:tcPr>
          <w:p w14:paraId="2DB8DA02"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C4596">
              <w:rPr>
                <w:rFonts w:eastAsia="Times New Roman" w:cs="Times New Roman"/>
                <w:color w:val="000000"/>
                <w:lang w:bidi="en-US"/>
              </w:rPr>
              <w:t>109.414</w:t>
            </w:r>
          </w:p>
        </w:tc>
        <w:tc>
          <w:tcPr>
            <w:tcW w:w="1217" w:type="pct"/>
            <w:vAlign w:val="center"/>
          </w:tcPr>
          <w:p w14:paraId="2790544C"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8,5%</w:t>
            </w:r>
          </w:p>
        </w:tc>
      </w:tr>
      <w:tr w:rsidR="00CD1294" w:rsidRPr="003730A0" w14:paraId="789D756A" w14:textId="77777777" w:rsidTr="003730A0">
        <w:tc>
          <w:tcPr>
            <w:tcW w:w="1618" w:type="pct"/>
            <w:shd w:val="clear" w:color="auto" w:fill="BDD6EE" w:themeFill="accent1" w:themeFillTint="66"/>
            <w:vAlign w:val="center"/>
          </w:tcPr>
          <w:p w14:paraId="530E8FF4" w14:textId="77777777" w:rsidR="00CD1294" w:rsidRPr="003730A0" w:rsidRDefault="00CD1294" w:rsidP="0047755C">
            <w:pPr>
              <w:widowControl w:val="0"/>
              <w:tabs>
                <w:tab w:val="left" w:pos="7936"/>
              </w:tabs>
              <w:spacing w:before="0" w:after="0"/>
              <w:rPr>
                <w:rFonts w:eastAsia="Times New Roman" w:cs="Times New Roman"/>
                <w:b/>
                <w:color w:val="000000"/>
                <w:lang w:bidi="en-US"/>
              </w:rPr>
            </w:pPr>
            <w:r w:rsidRPr="003730A0">
              <w:rPr>
                <w:rFonts w:eastAsia="Times New Roman" w:cs="Times New Roman"/>
                <w:b/>
                <w:color w:val="000000"/>
                <w:lang w:bidi="en-US"/>
              </w:rPr>
              <w:t>Umbria</w:t>
            </w:r>
          </w:p>
        </w:tc>
        <w:tc>
          <w:tcPr>
            <w:tcW w:w="948" w:type="pct"/>
            <w:shd w:val="clear" w:color="auto" w:fill="BDD6EE" w:themeFill="accent1" w:themeFillTint="66"/>
            <w:vAlign w:val="center"/>
          </w:tcPr>
          <w:p w14:paraId="70B562DF"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b/>
              </w:rPr>
              <w:t>8.310</w:t>
            </w:r>
          </w:p>
        </w:tc>
        <w:tc>
          <w:tcPr>
            <w:tcW w:w="1217" w:type="pct"/>
            <w:shd w:val="clear" w:color="auto" w:fill="BDD6EE" w:themeFill="accent1" w:themeFillTint="66"/>
            <w:vAlign w:val="center"/>
          </w:tcPr>
          <w:p w14:paraId="799F000A"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rFonts w:eastAsia="Times New Roman" w:cs="Times New Roman"/>
                <w:b/>
                <w:color w:val="000000"/>
                <w:lang w:bidi="en-US"/>
              </w:rPr>
              <w:t>94.527</w:t>
            </w:r>
          </w:p>
        </w:tc>
        <w:tc>
          <w:tcPr>
            <w:tcW w:w="1217" w:type="pct"/>
            <w:shd w:val="clear" w:color="auto" w:fill="BDD6EE" w:themeFill="accent1" w:themeFillTint="66"/>
            <w:vAlign w:val="center"/>
          </w:tcPr>
          <w:p w14:paraId="63D189B9"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b/>
              </w:rPr>
              <w:t>8,8%</w:t>
            </w:r>
          </w:p>
        </w:tc>
      </w:tr>
      <w:tr w:rsidR="00CD1294" w:rsidRPr="00583F7E" w14:paraId="5B0C1B96" w14:textId="77777777" w:rsidTr="003730A0">
        <w:tc>
          <w:tcPr>
            <w:tcW w:w="1618" w:type="pct"/>
            <w:vAlign w:val="center"/>
          </w:tcPr>
          <w:p w14:paraId="4BAE6356"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Valle d’Aosta</w:t>
            </w:r>
          </w:p>
        </w:tc>
        <w:tc>
          <w:tcPr>
            <w:tcW w:w="948" w:type="pct"/>
            <w:vAlign w:val="center"/>
          </w:tcPr>
          <w:p w14:paraId="7C25AF95"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1.161</w:t>
            </w:r>
          </w:p>
        </w:tc>
        <w:tc>
          <w:tcPr>
            <w:tcW w:w="1217" w:type="pct"/>
            <w:vAlign w:val="center"/>
          </w:tcPr>
          <w:p w14:paraId="4CCDE30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Pr>
                <w:rFonts w:eastAsia="Times New Roman" w:cs="Times New Roman"/>
                <w:color w:val="000000"/>
                <w:lang w:bidi="en-US"/>
              </w:rPr>
              <w:t>12.507</w:t>
            </w:r>
          </w:p>
        </w:tc>
        <w:tc>
          <w:tcPr>
            <w:tcW w:w="1217" w:type="pct"/>
            <w:vAlign w:val="center"/>
          </w:tcPr>
          <w:p w14:paraId="118CA113"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9,3%</w:t>
            </w:r>
          </w:p>
        </w:tc>
      </w:tr>
      <w:tr w:rsidR="00CD1294" w:rsidRPr="00583F7E" w14:paraId="38636239" w14:textId="77777777" w:rsidTr="003730A0">
        <w:tc>
          <w:tcPr>
            <w:tcW w:w="1618" w:type="pct"/>
            <w:vAlign w:val="center"/>
          </w:tcPr>
          <w:p w14:paraId="7A8B207B" w14:textId="77777777" w:rsidR="00CD1294" w:rsidRPr="00583F7E" w:rsidRDefault="00CD1294" w:rsidP="0047755C">
            <w:pPr>
              <w:widowControl w:val="0"/>
              <w:tabs>
                <w:tab w:val="left" w:pos="7936"/>
              </w:tabs>
              <w:spacing w:before="0" w:after="0"/>
              <w:rPr>
                <w:rFonts w:eastAsia="Times New Roman" w:cs="Times New Roman"/>
                <w:color w:val="000000"/>
                <w:lang w:bidi="en-US"/>
              </w:rPr>
            </w:pPr>
            <w:r w:rsidRPr="00583F7E">
              <w:rPr>
                <w:rFonts w:eastAsia="Times New Roman" w:cs="Times New Roman"/>
                <w:color w:val="000000"/>
                <w:lang w:bidi="en-US"/>
              </w:rPr>
              <w:t>Veneto</w:t>
            </w:r>
          </w:p>
        </w:tc>
        <w:tc>
          <w:tcPr>
            <w:tcW w:w="948" w:type="pct"/>
            <w:vAlign w:val="center"/>
          </w:tcPr>
          <w:p w14:paraId="466A0A77"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456D85">
              <w:t>37.133</w:t>
            </w:r>
          </w:p>
        </w:tc>
        <w:tc>
          <w:tcPr>
            <w:tcW w:w="1217" w:type="pct"/>
            <w:vAlign w:val="center"/>
          </w:tcPr>
          <w:p w14:paraId="6D2053C4"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6C4596">
              <w:rPr>
                <w:rFonts w:eastAsia="Times New Roman" w:cs="Times New Roman"/>
                <w:color w:val="000000"/>
                <w:lang w:bidi="en-US"/>
              </w:rPr>
              <w:t>488.226</w:t>
            </w:r>
          </w:p>
        </w:tc>
        <w:tc>
          <w:tcPr>
            <w:tcW w:w="1217" w:type="pct"/>
            <w:vAlign w:val="center"/>
          </w:tcPr>
          <w:p w14:paraId="0C3A6C8F" w14:textId="77777777" w:rsidR="00CD1294" w:rsidRPr="00583F7E" w:rsidRDefault="00CD1294" w:rsidP="0047755C">
            <w:pPr>
              <w:widowControl w:val="0"/>
              <w:tabs>
                <w:tab w:val="left" w:pos="7936"/>
              </w:tabs>
              <w:spacing w:before="0" w:after="0"/>
              <w:jc w:val="right"/>
              <w:rPr>
                <w:rFonts w:eastAsia="Times New Roman" w:cs="Times New Roman"/>
                <w:color w:val="000000"/>
                <w:lang w:bidi="en-US"/>
              </w:rPr>
            </w:pPr>
            <w:r w:rsidRPr="00CE55A7">
              <w:t>7,6%</w:t>
            </w:r>
          </w:p>
        </w:tc>
      </w:tr>
      <w:tr w:rsidR="00CD1294" w:rsidRPr="003730A0" w14:paraId="509C38ED" w14:textId="77777777" w:rsidTr="003730A0">
        <w:tc>
          <w:tcPr>
            <w:tcW w:w="1618" w:type="pct"/>
            <w:vAlign w:val="center"/>
          </w:tcPr>
          <w:p w14:paraId="57BBE7FE" w14:textId="77777777" w:rsidR="00CD1294" w:rsidRPr="003730A0" w:rsidRDefault="00CD1294" w:rsidP="0047755C">
            <w:pPr>
              <w:widowControl w:val="0"/>
              <w:tabs>
                <w:tab w:val="left" w:pos="7936"/>
              </w:tabs>
              <w:spacing w:before="0" w:after="0"/>
              <w:rPr>
                <w:rFonts w:eastAsia="Times New Roman" w:cs="Times New Roman"/>
                <w:b/>
                <w:color w:val="000000"/>
                <w:lang w:bidi="en-US"/>
              </w:rPr>
            </w:pPr>
            <w:r w:rsidRPr="003730A0">
              <w:rPr>
                <w:rFonts w:eastAsia="Times New Roman" w:cs="Times New Roman"/>
                <w:b/>
                <w:color w:val="000000"/>
                <w:lang w:bidi="en-US"/>
              </w:rPr>
              <w:t>Italia</w:t>
            </w:r>
          </w:p>
        </w:tc>
        <w:tc>
          <w:tcPr>
            <w:tcW w:w="948" w:type="pct"/>
            <w:vAlign w:val="center"/>
          </w:tcPr>
          <w:p w14:paraId="5EBFD975"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b/>
              </w:rPr>
              <w:t>592.689</w:t>
            </w:r>
          </w:p>
        </w:tc>
        <w:tc>
          <w:tcPr>
            <w:tcW w:w="1217" w:type="pct"/>
            <w:vAlign w:val="center"/>
          </w:tcPr>
          <w:p w14:paraId="010643B6"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rFonts w:eastAsia="Times New Roman" w:cs="Times New Roman"/>
                <w:b/>
                <w:color w:val="000000"/>
                <w:lang w:bidi="en-US"/>
              </w:rPr>
              <w:t>6.090.481</w:t>
            </w:r>
          </w:p>
        </w:tc>
        <w:tc>
          <w:tcPr>
            <w:tcW w:w="1217" w:type="pct"/>
            <w:vAlign w:val="center"/>
          </w:tcPr>
          <w:p w14:paraId="6860474D" w14:textId="77777777" w:rsidR="00CD1294" w:rsidRPr="003730A0" w:rsidRDefault="00CD1294" w:rsidP="0047755C">
            <w:pPr>
              <w:widowControl w:val="0"/>
              <w:tabs>
                <w:tab w:val="left" w:pos="7936"/>
              </w:tabs>
              <w:spacing w:before="0" w:after="0"/>
              <w:jc w:val="right"/>
              <w:rPr>
                <w:rFonts w:eastAsia="Times New Roman" w:cs="Times New Roman"/>
                <w:b/>
                <w:color w:val="000000"/>
                <w:lang w:bidi="en-US"/>
              </w:rPr>
            </w:pPr>
            <w:r w:rsidRPr="003730A0">
              <w:rPr>
                <w:b/>
              </w:rPr>
              <w:t>9,7%</w:t>
            </w:r>
          </w:p>
        </w:tc>
      </w:tr>
    </w:tbl>
    <w:p w14:paraId="1440CD3E" w14:textId="77777777" w:rsidR="00CD1294" w:rsidRDefault="00CD1294" w:rsidP="00CD1294">
      <w:pPr>
        <w:widowControl w:val="0"/>
        <w:spacing w:before="0" w:after="0" w:line="360" w:lineRule="auto"/>
        <w:rPr>
          <w:rFonts w:eastAsia="Andale Sans UI" w:cs="Tahoma"/>
          <w:sz w:val="24"/>
          <w:szCs w:val="24"/>
          <w:lang w:bidi="en-US"/>
        </w:rPr>
      </w:pPr>
      <w:r w:rsidRPr="00A80CDD">
        <w:rPr>
          <w:rFonts w:eastAsia="Andale Sans UI" w:cs="Tahoma"/>
          <w:i/>
          <w:sz w:val="18"/>
          <w:szCs w:val="18"/>
          <w:lang w:bidi="en-US"/>
        </w:rPr>
        <w:t xml:space="preserve">Fonte: Osservatorio Imprenditoria femminile </w:t>
      </w:r>
      <w:r>
        <w:rPr>
          <w:rFonts w:eastAsia="Andale Sans UI" w:cs="Tahoma"/>
          <w:i/>
          <w:sz w:val="18"/>
          <w:szCs w:val="18"/>
          <w:lang w:bidi="en-US"/>
        </w:rPr>
        <w:t>Unioncamere-InfoCamere 2017</w:t>
      </w:r>
      <w:r w:rsidRPr="00A80CDD">
        <w:rPr>
          <w:rFonts w:eastAsia="Andale Sans UI" w:cs="Tahoma"/>
          <w:i/>
          <w:sz w:val="18"/>
          <w:szCs w:val="18"/>
          <w:lang w:bidi="en-US"/>
        </w:rPr>
        <w:t>.</w:t>
      </w:r>
    </w:p>
    <w:p w14:paraId="150E81A4" w14:textId="77777777" w:rsidR="00CD1294" w:rsidRDefault="00CD1294" w:rsidP="00EC78EE">
      <w:pPr>
        <w:rPr>
          <w:lang w:bidi="en-US"/>
        </w:rPr>
      </w:pPr>
    </w:p>
    <w:p w14:paraId="68903A4E" w14:textId="77777777" w:rsidR="00CD1294" w:rsidRDefault="00CD1294" w:rsidP="00EC78EE">
      <w:pPr>
        <w:rPr>
          <w:rFonts w:eastAsia="Times New Roman" w:cs="Times New Roman"/>
          <w:color w:val="000000"/>
          <w:lang w:bidi="en-US"/>
        </w:rPr>
      </w:pPr>
      <w:r w:rsidRPr="0070713C">
        <w:rPr>
          <w:rFonts w:eastAsia="Times New Roman" w:cs="Times New Roman"/>
          <w:color w:val="000000"/>
          <w:lang w:bidi="en-US"/>
        </w:rPr>
        <w:t>La distribuzione delle imprese femminili nei diversi settori dell’economia umbr</w:t>
      </w:r>
      <w:r>
        <w:rPr>
          <w:rFonts w:eastAsia="Times New Roman" w:cs="Times New Roman"/>
          <w:color w:val="000000"/>
          <w:lang w:bidi="en-US"/>
        </w:rPr>
        <w:t>a è analoga a quella della media</w:t>
      </w:r>
      <w:r w:rsidRPr="0070713C">
        <w:rPr>
          <w:rFonts w:eastAsia="Times New Roman" w:cs="Times New Roman"/>
          <w:color w:val="000000"/>
          <w:lang w:bidi="en-US"/>
        </w:rPr>
        <w:t xml:space="preserve"> nazionale. </w:t>
      </w:r>
      <w:r>
        <w:rPr>
          <w:rFonts w:eastAsia="Times New Roman" w:cs="Times New Roman"/>
          <w:color w:val="000000"/>
          <w:lang w:bidi="en-US"/>
        </w:rPr>
        <w:t>La variazione più significativa riguarda l</w:t>
      </w:r>
      <w:r w:rsidRPr="0070713C">
        <w:rPr>
          <w:rFonts w:eastAsia="Times New Roman" w:cs="Times New Roman"/>
          <w:color w:val="000000"/>
          <w:lang w:bidi="en-US"/>
        </w:rPr>
        <w:t>e imprese agricole (27%) che</w:t>
      </w:r>
      <w:r>
        <w:rPr>
          <w:rFonts w:eastAsia="Times New Roman" w:cs="Times New Roman"/>
          <w:color w:val="000000"/>
          <w:lang w:bidi="en-US"/>
        </w:rPr>
        <w:t>, mentre a livello nazionale rappresentano il 16,2% del totale, a livello regionale costituiscono il 24,6% delle imprese femminili.</w:t>
      </w:r>
      <w:r w:rsidRPr="0070713C">
        <w:rPr>
          <w:rFonts w:eastAsia="Times New Roman" w:cs="Times New Roman"/>
          <w:color w:val="000000"/>
          <w:lang w:bidi="en-US"/>
        </w:rPr>
        <w:t xml:space="preserve"> </w:t>
      </w:r>
      <w:r w:rsidRPr="00C5324D">
        <w:rPr>
          <w:rFonts w:eastAsia="Times New Roman" w:cs="Times New Roman"/>
          <w:color w:val="000000"/>
          <w:lang w:bidi="en-US"/>
        </w:rPr>
        <w:t xml:space="preserve">Rilevante </w:t>
      </w:r>
      <w:r>
        <w:rPr>
          <w:rFonts w:eastAsia="Times New Roman" w:cs="Times New Roman"/>
          <w:color w:val="000000"/>
          <w:lang w:bidi="en-US"/>
        </w:rPr>
        <w:t xml:space="preserve">in termini relativi anche il valore del settore manifatturiero, con l’8,5% delle imprese femminili rispetto ad una media nazionale del 7,2%. In termini assoluti, il </w:t>
      </w:r>
      <w:r w:rsidRPr="00C5324D">
        <w:rPr>
          <w:rFonts w:eastAsia="Times New Roman" w:cs="Times New Roman"/>
          <w:color w:val="000000"/>
          <w:lang w:bidi="en-US"/>
        </w:rPr>
        <w:t>settore dove più si concentrano le i</w:t>
      </w:r>
      <w:r>
        <w:rPr>
          <w:rFonts w:eastAsia="Times New Roman" w:cs="Times New Roman"/>
          <w:color w:val="000000"/>
          <w:lang w:bidi="en-US"/>
        </w:rPr>
        <w:t>mprese femminili è il commercio (24,7%)</w:t>
      </w:r>
      <w:r w:rsidRPr="00C5324D">
        <w:rPr>
          <w:rFonts w:eastAsia="Times New Roman" w:cs="Times New Roman"/>
          <w:color w:val="000000"/>
          <w:lang w:bidi="en-US"/>
        </w:rPr>
        <w:t xml:space="preserve">, dove però </w:t>
      </w:r>
      <w:r>
        <w:rPr>
          <w:rFonts w:eastAsia="Times New Roman" w:cs="Times New Roman"/>
          <w:color w:val="000000"/>
          <w:lang w:bidi="en-US"/>
        </w:rPr>
        <w:t>si registra un deficit in termini di quota rispetto alla situazionale media italiana (27,4%).</w:t>
      </w:r>
    </w:p>
    <w:p w14:paraId="0019B85A" w14:textId="77777777" w:rsidR="00CD1294" w:rsidRPr="00C5324D" w:rsidRDefault="00CD1294" w:rsidP="00EC78EE">
      <w:pPr>
        <w:rPr>
          <w:rFonts w:eastAsia="Times New Roman" w:cs="Times New Roman"/>
          <w:b/>
          <w:i/>
          <w:lang w:bidi="en-US"/>
        </w:rPr>
      </w:pPr>
    </w:p>
    <w:p w14:paraId="75C20B64" w14:textId="025791E3" w:rsidR="00CD1294" w:rsidRDefault="00CD1294" w:rsidP="007D4B0C">
      <w:pPr>
        <w:pStyle w:val="Titolotabella"/>
        <w:ind w:left="993" w:hanging="993"/>
      </w:pPr>
      <w:r>
        <w:t>Tab</w:t>
      </w:r>
      <w:r w:rsidR="00EC78EE">
        <w:t>ella</w:t>
      </w:r>
      <w:r>
        <w:t xml:space="preserve"> </w:t>
      </w:r>
      <w:r w:rsidR="00EC78EE">
        <w:rPr>
          <w:noProof/>
        </w:rPr>
        <w:t>7</w:t>
      </w:r>
      <w:r>
        <w:t xml:space="preserve"> - </w:t>
      </w:r>
      <w:r w:rsidRPr="00735455">
        <w:t>Imprese femminili per</w:t>
      </w:r>
      <w:r>
        <w:t xml:space="preserve"> settore di attività in Umbria e Italia (</w:t>
      </w:r>
      <w:r w:rsidRPr="00735455">
        <w:t>201</w:t>
      </w:r>
      <w:r>
        <w:t>7</w:t>
      </w:r>
      <w:r w:rsidRPr="00735455">
        <w:t>)</w:t>
      </w:r>
    </w:p>
    <w:tbl>
      <w:tblPr>
        <w:tblW w:w="9015"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0" w:type="dxa"/>
          <w:right w:w="0" w:type="dxa"/>
        </w:tblCellMar>
        <w:tblLook w:val="0000" w:firstRow="0" w:lastRow="0" w:firstColumn="0" w:lastColumn="0" w:noHBand="0" w:noVBand="0"/>
      </w:tblPr>
      <w:tblGrid>
        <w:gridCol w:w="4539"/>
        <w:gridCol w:w="1260"/>
        <w:gridCol w:w="741"/>
        <w:gridCol w:w="254"/>
        <w:gridCol w:w="1389"/>
        <w:gridCol w:w="832"/>
      </w:tblGrid>
      <w:tr w:rsidR="00EC78EE" w:rsidRPr="00EC78EE" w14:paraId="1EA067D3" w14:textId="77777777" w:rsidTr="00EC78EE">
        <w:trPr>
          <w:trHeight w:val="251"/>
          <w:jc w:val="center"/>
        </w:trPr>
        <w:tc>
          <w:tcPr>
            <w:tcW w:w="4539" w:type="dxa"/>
            <w:vMerge w:val="restart"/>
            <w:shd w:val="clear" w:color="auto" w:fill="1F4E79" w:themeFill="accent1" w:themeFillShade="80"/>
            <w:tcMar>
              <w:left w:w="-10" w:type="dxa"/>
            </w:tcMar>
            <w:vAlign w:val="center"/>
          </w:tcPr>
          <w:p w14:paraId="303BEC19" w14:textId="77777777" w:rsidR="00CD1294" w:rsidRPr="00EC78EE" w:rsidRDefault="00CD1294" w:rsidP="0047755C">
            <w:pPr>
              <w:widowControl w:val="0"/>
              <w:snapToGrid w:val="0"/>
              <w:spacing w:before="0" w:after="0"/>
              <w:jc w:val="center"/>
              <w:rPr>
                <w:rFonts w:eastAsia="Andale Sans UI" w:cs="Times New Roman"/>
                <w:b/>
                <w:color w:val="FFFFFF" w:themeColor="background1"/>
                <w:sz w:val="20"/>
                <w:szCs w:val="20"/>
                <w:lang w:bidi="en-US"/>
              </w:rPr>
            </w:pPr>
            <w:r w:rsidRPr="00EC78EE">
              <w:rPr>
                <w:rFonts w:eastAsia="Andale Sans UI" w:cs="Times New Roman"/>
                <w:b/>
                <w:color w:val="FFFFFF" w:themeColor="background1"/>
                <w:sz w:val="20"/>
                <w:szCs w:val="20"/>
                <w:lang w:bidi="en-US"/>
              </w:rPr>
              <w:t>Settore ATECO</w:t>
            </w:r>
          </w:p>
        </w:tc>
        <w:tc>
          <w:tcPr>
            <w:tcW w:w="2001" w:type="dxa"/>
            <w:gridSpan w:val="2"/>
            <w:shd w:val="clear" w:color="auto" w:fill="1F4E79" w:themeFill="accent1" w:themeFillShade="80"/>
            <w:tcMar>
              <w:left w:w="-10" w:type="dxa"/>
            </w:tcMar>
            <w:vAlign w:val="center"/>
          </w:tcPr>
          <w:p w14:paraId="05DD4A6F" w14:textId="77777777" w:rsidR="00CD1294" w:rsidRPr="00EC78EE" w:rsidRDefault="00CD1294" w:rsidP="0047755C">
            <w:pPr>
              <w:widowControl w:val="0"/>
              <w:spacing w:before="0" w:after="0"/>
              <w:ind w:left="560"/>
              <w:jc w:val="center"/>
              <w:rPr>
                <w:rFonts w:eastAsia="Andale Sans UI" w:cs="Times New Roman"/>
                <w:b/>
                <w:color w:val="FFFFFF" w:themeColor="background1"/>
                <w:sz w:val="20"/>
                <w:szCs w:val="20"/>
                <w:lang w:val="en-US" w:bidi="en-US"/>
              </w:rPr>
            </w:pPr>
            <w:r w:rsidRPr="00EC78EE">
              <w:rPr>
                <w:rFonts w:eastAsia="Andale Sans UI" w:cs="Times New Roman"/>
                <w:b/>
                <w:color w:val="FFFFFF" w:themeColor="background1"/>
                <w:sz w:val="20"/>
                <w:szCs w:val="20"/>
                <w:lang w:val="en-US" w:bidi="en-US"/>
              </w:rPr>
              <w:t>UMBRIA</w:t>
            </w:r>
          </w:p>
        </w:tc>
        <w:tc>
          <w:tcPr>
            <w:tcW w:w="254" w:type="dxa"/>
            <w:shd w:val="clear" w:color="auto" w:fill="1F4E79" w:themeFill="accent1" w:themeFillShade="80"/>
            <w:vAlign w:val="center"/>
          </w:tcPr>
          <w:p w14:paraId="157D4584" w14:textId="77777777" w:rsidR="00CD1294" w:rsidRPr="00EC78EE" w:rsidRDefault="00CD1294" w:rsidP="0047755C">
            <w:pPr>
              <w:widowControl w:val="0"/>
              <w:snapToGrid w:val="0"/>
              <w:spacing w:before="0" w:after="0"/>
              <w:jc w:val="left"/>
              <w:rPr>
                <w:rFonts w:eastAsia="Andale Sans UI" w:cs="Times New Roman"/>
                <w:b/>
                <w:color w:val="FFFFFF" w:themeColor="background1"/>
                <w:sz w:val="20"/>
                <w:szCs w:val="20"/>
                <w:lang w:val="en-US" w:bidi="en-US"/>
              </w:rPr>
            </w:pPr>
          </w:p>
        </w:tc>
        <w:tc>
          <w:tcPr>
            <w:tcW w:w="2221" w:type="dxa"/>
            <w:gridSpan w:val="2"/>
            <w:shd w:val="clear" w:color="auto" w:fill="1F4E79" w:themeFill="accent1" w:themeFillShade="80"/>
            <w:tcMar>
              <w:left w:w="-10" w:type="dxa"/>
            </w:tcMar>
            <w:vAlign w:val="center"/>
          </w:tcPr>
          <w:p w14:paraId="01E08D7B" w14:textId="77777777" w:rsidR="00CD1294" w:rsidRPr="00EC78EE" w:rsidRDefault="00CD1294" w:rsidP="0047755C">
            <w:pPr>
              <w:widowControl w:val="0"/>
              <w:spacing w:before="0" w:after="0"/>
              <w:ind w:right="124"/>
              <w:jc w:val="center"/>
              <w:rPr>
                <w:rFonts w:eastAsia="Andale Sans UI" w:cs="Times New Roman"/>
                <w:b/>
                <w:color w:val="FFFFFF" w:themeColor="background1"/>
                <w:sz w:val="20"/>
                <w:szCs w:val="20"/>
                <w:lang w:val="en-US" w:bidi="en-US"/>
              </w:rPr>
            </w:pPr>
            <w:r w:rsidRPr="00EC78EE">
              <w:rPr>
                <w:rFonts w:eastAsia="Andale Sans UI" w:cs="Times New Roman"/>
                <w:b/>
                <w:color w:val="FFFFFF" w:themeColor="background1"/>
                <w:sz w:val="20"/>
                <w:szCs w:val="20"/>
                <w:lang w:val="en-US" w:bidi="en-US"/>
              </w:rPr>
              <w:t>ITALIA</w:t>
            </w:r>
          </w:p>
        </w:tc>
      </w:tr>
      <w:tr w:rsidR="00EC78EE" w:rsidRPr="00EC78EE" w14:paraId="4CFB1CF1" w14:textId="77777777" w:rsidTr="00EC78EE">
        <w:trPr>
          <w:trHeight w:val="232"/>
          <w:jc w:val="center"/>
        </w:trPr>
        <w:tc>
          <w:tcPr>
            <w:tcW w:w="4539" w:type="dxa"/>
            <w:vMerge/>
            <w:shd w:val="clear" w:color="auto" w:fill="1F4E79" w:themeFill="accent1" w:themeFillShade="80"/>
            <w:tcMar>
              <w:left w:w="-10" w:type="dxa"/>
            </w:tcMar>
            <w:vAlign w:val="center"/>
          </w:tcPr>
          <w:p w14:paraId="0ABBCFB7" w14:textId="77777777" w:rsidR="00CD1294" w:rsidRPr="00EC78EE" w:rsidRDefault="00CD1294" w:rsidP="0047755C">
            <w:pPr>
              <w:widowControl w:val="0"/>
              <w:snapToGrid w:val="0"/>
              <w:spacing w:before="0" w:after="0"/>
              <w:jc w:val="left"/>
              <w:rPr>
                <w:rFonts w:eastAsia="Andale Sans UI" w:cs="Times New Roman"/>
                <w:b/>
                <w:color w:val="FFFFFF" w:themeColor="background1"/>
                <w:sz w:val="20"/>
                <w:szCs w:val="20"/>
                <w:lang w:val="en-US" w:bidi="en-US"/>
              </w:rPr>
            </w:pPr>
          </w:p>
        </w:tc>
        <w:tc>
          <w:tcPr>
            <w:tcW w:w="1260" w:type="dxa"/>
            <w:shd w:val="clear" w:color="auto" w:fill="1F4E79" w:themeFill="accent1" w:themeFillShade="80"/>
            <w:tcMar>
              <w:left w:w="-10" w:type="dxa"/>
            </w:tcMar>
            <w:vAlign w:val="center"/>
          </w:tcPr>
          <w:p w14:paraId="621C6397" w14:textId="77777777" w:rsidR="00CD1294" w:rsidRPr="00EC78EE" w:rsidRDefault="00CD1294" w:rsidP="0047755C">
            <w:pPr>
              <w:widowControl w:val="0"/>
              <w:spacing w:before="0" w:after="0"/>
              <w:jc w:val="center"/>
              <w:rPr>
                <w:rFonts w:eastAsia="Andale Sans UI" w:cs="Times New Roman"/>
                <w:b/>
                <w:color w:val="FFFFFF" w:themeColor="background1"/>
                <w:sz w:val="20"/>
                <w:szCs w:val="20"/>
                <w:lang w:val="en-US" w:bidi="en-US"/>
              </w:rPr>
            </w:pPr>
            <w:r w:rsidRPr="00EC78EE">
              <w:rPr>
                <w:rFonts w:eastAsia="Andale Sans UI" w:cs="Times New Roman"/>
                <w:b/>
                <w:color w:val="FFFFFF" w:themeColor="background1"/>
                <w:sz w:val="20"/>
                <w:szCs w:val="20"/>
                <w:lang w:val="en-US" w:bidi="en-US"/>
              </w:rPr>
              <w:t>Val. ass.</w:t>
            </w:r>
          </w:p>
        </w:tc>
        <w:tc>
          <w:tcPr>
            <w:tcW w:w="741" w:type="dxa"/>
            <w:shd w:val="clear" w:color="auto" w:fill="1F4E79" w:themeFill="accent1" w:themeFillShade="80"/>
            <w:tcMar>
              <w:left w:w="-10" w:type="dxa"/>
            </w:tcMar>
            <w:vAlign w:val="center"/>
          </w:tcPr>
          <w:p w14:paraId="762575F6" w14:textId="0BE7F528" w:rsidR="00CD1294" w:rsidRPr="00EC78EE" w:rsidRDefault="00EC78EE" w:rsidP="0047755C">
            <w:pPr>
              <w:widowControl w:val="0"/>
              <w:snapToGrid w:val="0"/>
              <w:spacing w:before="0" w:after="0"/>
              <w:jc w:val="center"/>
              <w:rPr>
                <w:rFonts w:eastAsia="Andale Sans UI" w:cs="Times New Roman"/>
                <w:b/>
                <w:color w:val="FFFFFF" w:themeColor="background1"/>
                <w:sz w:val="20"/>
                <w:szCs w:val="20"/>
                <w:lang w:val="en-US" w:bidi="en-US"/>
              </w:rPr>
            </w:pPr>
            <w:r>
              <w:rPr>
                <w:rFonts w:eastAsia="Andale Sans UI" w:cs="Times New Roman"/>
                <w:b/>
                <w:color w:val="FFFFFF" w:themeColor="background1"/>
                <w:sz w:val="20"/>
                <w:szCs w:val="20"/>
                <w:lang w:val="en-US" w:bidi="en-US"/>
              </w:rPr>
              <w:t>%</w:t>
            </w:r>
          </w:p>
        </w:tc>
        <w:tc>
          <w:tcPr>
            <w:tcW w:w="254" w:type="dxa"/>
            <w:shd w:val="clear" w:color="auto" w:fill="1F4E79" w:themeFill="accent1" w:themeFillShade="80"/>
            <w:vAlign w:val="center"/>
          </w:tcPr>
          <w:p w14:paraId="162B63F8" w14:textId="77777777" w:rsidR="00CD1294" w:rsidRPr="00EC78EE" w:rsidRDefault="00CD1294" w:rsidP="0047755C">
            <w:pPr>
              <w:widowControl w:val="0"/>
              <w:spacing w:before="0" w:after="0"/>
              <w:rPr>
                <w:rFonts w:eastAsia="Andale Sans UI" w:cs="Times New Roman"/>
                <w:b/>
                <w:color w:val="FFFFFF" w:themeColor="background1"/>
                <w:sz w:val="20"/>
                <w:szCs w:val="20"/>
                <w:lang w:val="en-US" w:bidi="en-US"/>
              </w:rPr>
            </w:pPr>
          </w:p>
        </w:tc>
        <w:tc>
          <w:tcPr>
            <w:tcW w:w="1389" w:type="dxa"/>
            <w:shd w:val="clear" w:color="auto" w:fill="1F4E79" w:themeFill="accent1" w:themeFillShade="80"/>
            <w:tcMar>
              <w:left w:w="-10" w:type="dxa"/>
            </w:tcMar>
            <w:vAlign w:val="center"/>
          </w:tcPr>
          <w:p w14:paraId="19A6CF7A" w14:textId="77777777" w:rsidR="00CD1294" w:rsidRPr="00EC78EE" w:rsidRDefault="00CD1294" w:rsidP="0047755C">
            <w:pPr>
              <w:widowControl w:val="0"/>
              <w:spacing w:before="0" w:after="0"/>
              <w:jc w:val="center"/>
              <w:rPr>
                <w:rFonts w:eastAsia="Andale Sans UI" w:cs="Times New Roman"/>
                <w:b/>
                <w:color w:val="FFFFFF" w:themeColor="background1"/>
                <w:sz w:val="20"/>
                <w:szCs w:val="20"/>
                <w:lang w:bidi="en-US"/>
              </w:rPr>
            </w:pPr>
            <w:r w:rsidRPr="00EC78EE">
              <w:rPr>
                <w:rFonts w:eastAsia="Andale Sans UI" w:cs="Times New Roman"/>
                <w:b/>
                <w:color w:val="FFFFFF" w:themeColor="background1"/>
                <w:sz w:val="20"/>
                <w:szCs w:val="20"/>
                <w:lang w:bidi="en-US"/>
              </w:rPr>
              <w:t>Val. Ass.</w:t>
            </w:r>
          </w:p>
        </w:tc>
        <w:tc>
          <w:tcPr>
            <w:tcW w:w="832" w:type="dxa"/>
            <w:shd w:val="clear" w:color="auto" w:fill="1F4E79" w:themeFill="accent1" w:themeFillShade="80"/>
            <w:tcMar>
              <w:left w:w="-10" w:type="dxa"/>
            </w:tcMar>
            <w:vAlign w:val="center"/>
          </w:tcPr>
          <w:p w14:paraId="2F723F82" w14:textId="77777777" w:rsidR="00CD1294" w:rsidRPr="00EC78EE" w:rsidRDefault="00CD1294" w:rsidP="0047755C">
            <w:pPr>
              <w:widowControl w:val="0"/>
              <w:spacing w:before="0" w:after="0"/>
              <w:jc w:val="center"/>
              <w:rPr>
                <w:rFonts w:eastAsia="Andale Sans UI" w:cs="Times New Roman"/>
                <w:b/>
                <w:color w:val="FFFFFF" w:themeColor="background1"/>
                <w:sz w:val="20"/>
                <w:szCs w:val="20"/>
                <w:lang w:bidi="en-US"/>
              </w:rPr>
            </w:pPr>
            <w:r w:rsidRPr="00EC78EE">
              <w:rPr>
                <w:rFonts w:eastAsia="Andale Sans UI" w:cs="Times New Roman"/>
                <w:b/>
                <w:color w:val="FFFFFF" w:themeColor="background1"/>
                <w:sz w:val="20"/>
                <w:szCs w:val="20"/>
                <w:lang w:bidi="en-US"/>
              </w:rPr>
              <w:t>%</w:t>
            </w:r>
          </w:p>
        </w:tc>
      </w:tr>
      <w:tr w:rsidR="00CD1294" w:rsidRPr="00BB147D" w14:paraId="430D89EF" w14:textId="77777777" w:rsidTr="003730A0">
        <w:trPr>
          <w:trHeight w:val="231"/>
          <w:jc w:val="center"/>
        </w:trPr>
        <w:tc>
          <w:tcPr>
            <w:tcW w:w="4539" w:type="dxa"/>
            <w:shd w:val="clear" w:color="auto" w:fill="auto"/>
            <w:tcMar>
              <w:left w:w="-10" w:type="dxa"/>
            </w:tcMar>
            <w:vAlign w:val="center"/>
          </w:tcPr>
          <w:p w14:paraId="589224AA" w14:textId="77777777" w:rsidR="00CD1294" w:rsidRPr="00BB147D" w:rsidRDefault="00CD1294" w:rsidP="0047755C">
            <w:pPr>
              <w:widowControl w:val="0"/>
              <w:spacing w:before="0" w:after="0" w:line="231" w:lineRule="exact"/>
              <w:ind w:left="40"/>
              <w:jc w:val="left"/>
              <w:rPr>
                <w:rFonts w:eastAsia="Andale Sans UI" w:cs="Times New Roman"/>
                <w:sz w:val="20"/>
                <w:szCs w:val="20"/>
                <w:lang w:bidi="en-US"/>
              </w:rPr>
            </w:pPr>
            <w:r w:rsidRPr="00BB147D">
              <w:rPr>
                <w:rFonts w:eastAsia="Andale Sans UI" w:cs="Times New Roman"/>
                <w:sz w:val="20"/>
                <w:szCs w:val="20"/>
                <w:lang w:bidi="en-US"/>
              </w:rPr>
              <w:t>A Agricoltura, silvicoltura pesca</w:t>
            </w:r>
          </w:p>
        </w:tc>
        <w:tc>
          <w:tcPr>
            <w:tcW w:w="1260" w:type="dxa"/>
            <w:shd w:val="clear" w:color="auto" w:fill="auto"/>
            <w:tcMar>
              <w:left w:w="-10" w:type="dxa"/>
            </w:tcMar>
            <w:vAlign w:val="center"/>
          </w:tcPr>
          <w:p w14:paraId="799562CC"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bidi="en-US"/>
              </w:rPr>
            </w:pPr>
            <w:r w:rsidRPr="00BB147D">
              <w:rPr>
                <w:rFonts w:eastAsia="Andale Sans UI" w:cs="Times New Roman"/>
                <w:sz w:val="20"/>
                <w:szCs w:val="20"/>
                <w:lang w:bidi="en-US"/>
              </w:rPr>
              <w:t>5.698</w:t>
            </w:r>
          </w:p>
        </w:tc>
        <w:tc>
          <w:tcPr>
            <w:tcW w:w="741" w:type="dxa"/>
            <w:shd w:val="clear" w:color="auto" w:fill="auto"/>
            <w:tcMar>
              <w:left w:w="-10" w:type="dxa"/>
            </w:tcMar>
            <w:vAlign w:val="center"/>
          </w:tcPr>
          <w:p w14:paraId="72FC3287"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bidi="en-US"/>
              </w:rPr>
            </w:pPr>
            <w:r w:rsidRPr="00BB147D">
              <w:rPr>
                <w:rFonts w:cs="Times New Roman"/>
                <w:sz w:val="20"/>
                <w:szCs w:val="20"/>
              </w:rPr>
              <w:t>24,2%</w:t>
            </w:r>
          </w:p>
        </w:tc>
        <w:tc>
          <w:tcPr>
            <w:tcW w:w="254" w:type="dxa"/>
            <w:shd w:val="clear" w:color="auto" w:fill="auto"/>
            <w:vAlign w:val="center"/>
          </w:tcPr>
          <w:p w14:paraId="502B6026" w14:textId="77777777" w:rsidR="00CD1294" w:rsidRPr="00BB147D" w:rsidRDefault="00CD1294" w:rsidP="0047755C">
            <w:pPr>
              <w:widowControl w:val="0"/>
              <w:spacing w:before="0" w:after="0" w:line="231" w:lineRule="exact"/>
              <w:jc w:val="right"/>
              <w:rPr>
                <w:rFonts w:eastAsia="Andale Sans UI" w:cs="Times New Roman"/>
                <w:sz w:val="20"/>
                <w:szCs w:val="20"/>
                <w:lang w:bidi="en-US"/>
              </w:rPr>
            </w:pPr>
          </w:p>
        </w:tc>
        <w:tc>
          <w:tcPr>
            <w:tcW w:w="1389" w:type="dxa"/>
            <w:shd w:val="clear" w:color="auto" w:fill="auto"/>
            <w:tcMar>
              <w:left w:w="-10" w:type="dxa"/>
            </w:tcMar>
            <w:vAlign w:val="center"/>
          </w:tcPr>
          <w:p w14:paraId="2B147C6E"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bidi="en-US"/>
              </w:rPr>
            </w:pPr>
            <w:r w:rsidRPr="00BB147D">
              <w:rPr>
                <w:rFonts w:eastAsia="Andale Sans UI" w:cs="Times New Roman"/>
                <w:sz w:val="20"/>
                <w:szCs w:val="20"/>
                <w:lang w:bidi="en-US"/>
              </w:rPr>
              <w:t>216.009</w:t>
            </w:r>
          </w:p>
        </w:tc>
        <w:tc>
          <w:tcPr>
            <w:tcW w:w="832" w:type="dxa"/>
            <w:shd w:val="clear" w:color="auto" w:fill="auto"/>
            <w:tcMar>
              <w:left w:w="-10" w:type="dxa"/>
            </w:tcMar>
          </w:tcPr>
          <w:p w14:paraId="4BF64DA5" w14:textId="77777777" w:rsidR="00CD1294" w:rsidRPr="00BB147D" w:rsidRDefault="00CD1294" w:rsidP="0047755C">
            <w:pPr>
              <w:widowControl w:val="0"/>
              <w:spacing w:before="0" w:after="0" w:line="231" w:lineRule="exact"/>
              <w:jc w:val="right"/>
              <w:rPr>
                <w:rFonts w:eastAsia="Andale Sans UI" w:cs="Times New Roman"/>
                <w:sz w:val="20"/>
                <w:szCs w:val="20"/>
                <w:lang w:bidi="en-US"/>
              </w:rPr>
            </w:pPr>
            <w:r w:rsidRPr="00BB147D">
              <w:rPr>
                <w:rFonts w:cs="Times New Roman"/>
                <w:sz w:val="20"/>
                <w:szCs w:val="20"/>
              </w:rPr>
              <w:t>16,2%</w:t>
            </w:r>
          </w:p>
        </w:tc>
      </w:tr>
      <w:tr w:rsidR="00CD1294" w:rsidRPr="00BB147D" w14:paraId="56CB9E1A" w14:textId="77777777" w:rsidTr="003730A0">
        <w:trPr>
          <w:trHeight w:val="233"/>
          <w:jc w:val="center"/>
        </w:trPr>
        <w:tc>
          <w:tcPr>
            <w:tcW w:w="4539" w:type="dxa"/>
            <w:shd w:val="clear" w:color="auto" w:fill="auto"/>
            <w:tcMar>
              <w:left w:w="-10" w:type="dxa"/>
            </w:tcMar>
            <w:vAlign w:val="center"/>
          </w:tcPr>
          <w:p w14:paraId="79716B3D"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B Estrazione di minerali da cave e miniere</w:t>
            </w:r>
          </w:p>
        </w:tc>
        <w:tc>
          <w:tcPr>
            <w:tcW w:w="1260" w:type="dxa"/>
            <w:shd w:val="clear" w:color="auto" w:fill="auto"/>
            <w:tcMar>
              <w:left w:w="-10" w:type="dxa"/>
            </w:tcMar>
            <w:vAlign w:val="center"/>
          </w:tcPr>
          <w:p w14:paraId="0F2C0610" w14:textId="77777777" w:rsidR="00CD1294" w:rsidRPr="00BB147D" w:rsidRDefault="00CD1294" w:rsidP="0047755C">
            <w:pPr>
              <w:widowControl w:val="0"/>
              <w:spacing w:before="0" w:after="0"/>
              <w:ind w:left="57" w:right="57"/>
              <w:jc w:val="right"/>
              <w:rPr>
                <w:rFonts w:eastAsia="Andale Sans UI" w:cs="Times New Roman"/>
                <w:sz w:val="20"/>
                <w:szCs w:val="20"/>
                <w:lang w:bidi="en-US"/>
              </w:rPr>
            </w:pPr>
            <w:r w:rsidRPr="00BB147D">
              <w:rPr>
                <w:rFonts w:eastAsia="Andale Sans UI" w:cs="Times New Roman"/>
                <w:sz w:val="20"/>
                <w:szCs w:val="20"/>
                <w:lang w:bidi="en-US"/>
              </w:rPr>
              <w:t>7</w:t>
            </w:r>
          </w:p>
        </w:tc>
        <w:tc>
          <w:tcPr>
            <w:tcW w:w="741" w:type="dxa"/>
            <w:shd w:val="clear" w:color="auto" w:fill="auto"/>
            <w:tcMar>
              <w:left w:w="-10" w:type="dxa"/>
            </w:tcMar>
            <w:vAlign w:val="center"/>
          </w:tcPr>
          <w:p w14:paraId="26F153E1" w14:textId="77777777" w:rsidR="00CD1294" w:rsidRPr="00BB147D" w:rsidRDefault="00CD1294" w:rsidP="0047755C">
            <w:pPr>
              <w:widowControl w:val="0"/>
              <w:spacing w:before="0" w:after="0"/>
              <w:ind w:left="57" w:right="57"/>
              <w:jc w:val="right"/>
              <w:rPr>
                <w:rFonts w:eastAsia="Andale Sans UI" w:cs="Times New Roman"/>
                <w:sz w:val="20"/>
                <w:szCs w:val="20"/>
                <w:lang w:bidi="en-US"/>
              </w:rPr>
            </w:pPr>
            <w:r w:rsidRPr="00BB147D">
              <w:rPr>
                <w:rFonts w:cs="Times New Roman"/>
                <w:sz w:val="20"/>
                <w:szCs w:val="20"/>
              </w:rPr>
              <w:t>0,0%</w:t>
            </w:r>
          </w:p>
        </w:tc>
        <w:tc>
          <w:tcPr>
            <w:tcW w:w="254" w:type="dxa"/>
            <w:shd w:val="clear" w:color="auto" w:fill="auto"/>
            <w:vAlign w:val="center"/>
          </w:tcPr>
          <w:p w14:paraId="132B9DD5" w14:textId="77777777" w:rsidR="00CD1294" w:rsidRPr="00BB147D" w:rsidRDefault="00CD1294" w:rsidP="0047755C">
            <w:pPr>
              <w:widowControl w:val="0"/>
              <w:spacing w:before="0" w:after="0" w:line="231" w:lineRule="exact"/>
              <w:jc w:val="right"/>
              <w:rPr>
                <w:rFonts w:eastAsia="Andale Sans UI" w:cs="Times New Roman"/>
                <w:sz w:val="20"/>
                <w:szCs w:val="20"/>
                <w:lang w:bidi="en-US"/>
              </w:rPr>
            </w:pPr>
          </w:p>
        </w:tc>
        <w:tc>
          <w:tcPr>
            <w:tcW w:w="1389" w:type="dxa"/>
            <w:shd w:val="clear" w:color="auto" w:fill="auto"/>
            <w:tcMar>
              <w:left w:w="-10" w:type="dxa"/>
            </w:tcMar>
            <w:vAlign w:val="center"/>
          </w:tcPr>
          <w:p w14:paraId="0B52A59C"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bidi="en-US"/>
              </w:rPr>
            </w:pPr>
            <w:r w:rsidRPr="00BB147D">
              <w:rPr>
                <w:rFonts w:eastAsia="Andale Sans UI" w:cs="Times New Roman"/>
                <w:sz w:val="20"/>
                <w:szCs w:val="20"/>
                <w:lang w:bidi="en-US"/>
              </w:rPr>
              <w:t>424</w:t>
            </w:r>
          </w:p>
        </w:tc>
        <w:tc>
          <w:tcPr>
            <w:tcW w:w="832" w:type="dxa"/>
            <w:shd w:val="clear" w:color="auto" w:fill="auto"/>
            <w:tcMar>
              <w:left w:w="-10" w:type="dxa"/>
            </w:tcMar>
          </w:tcPr>
          <w:p w14:paraId="7CA8121B" w14:textId="77777777" w:rsidR="00CD1294" w:rsidRPr="00BB147D" w:rsidRDefault="00CD1294" w:rsidP="0047755C">
            <w:pPr>
              <w:widowControl w:val="0"/>
              <w:spacing w:before="0" w:after="0" w:line="231" w:lineRule="exact"/>
              <w:jc w:val="right"/>
              <w:rPr>
                <w:rFonts w:eastAsia="Andale Sans UI" w:cs="Times New Roman"/>
                <w:sz w:val="20"/>
                <w:szCs w:val="20"/>
                <w:lang w:bidi="en-US"/>
              </w:rPr>
            </w:pPr>
            <w:r w:rsidRPr="00BB147D">
              <w:rPr>
                <w:rFonts w:cs="Times New Roman"/>
                <w:sz w:val="20"/>
                <w:szCs w:val="20"/>
              </w:rPr>
              <w:t>0,0%</w:t>
            </w:r>
          </w:p>
        </w:tc>
      </w:tr>
      <w:tr w:rsidR="00CD1294" w:rsidRPr="00BB147D" w14:paraId="6E201C80" w14:textId="77777777" w:rsidTr="003730A0">
        <w:trPr>
          <w:trHeight w:val="230"/>
          <w:jc w:val="center"/>
        </w:trPr>
        <w:tc>
          <w:tcPr>
            <w:tcW w:w="4539" w:type="dxa"/>
            <w:shd w:val="clear" w:color="auto" w:fill="auto"/>
            <w:tcMar>
              <w:left w:w="-10" w:type="dxa"/>
            </w:tcMar>
            <w:vAlign w:val="center"/>
          </w:tcPr>
          <w:p w14:paraId="5C7D34DE" w14:textId="77777777" w:rsidR="00CD1294" w:rsidRPr="00BB147D" w:rsidRDefault="00CD1294" w:rsidP="0047755C">
            <w:pPr>
              <w:widowControl w:val="0"/>
              <w:spacing w:before="0" w:after="0" w:line="231" w:lineRule="exact"/>
              <w:ind w:left="40"/>
              <w:jc w:val="left"/>
              <w:rPr>
                <w:rFonts w:eastAsia="Andale Sans UI" w:cs="Times New Roman"/>
                <w:sz w:val="20"/>
                <w:szCs w:val="20"/>
                <w:lang w:val="en-US" w:bidi="en-US"/>
              </w:rPr>
            </w:pPr>
            <w:r w:rsidRPr="00BB147D">
              <w:rPr>
                <w:rFonts w:eastAsia="Andale Sans UI" w:cs="Times New Roman"/>
                <w:sz w:val="20"/>
                <w:szCs w:val="20"/>
                <w:lang w:bidi="en-US"/>
              </w:rPr>
              <w:t xml:space="preserve">C </w:t>
            </w:r>
            <w:r w:rsidRPr="00BB147D">
              <w:rPr>
                <w:rFonts w:eastAsia="Andale Sans UI" w:cs="Times New Roman"/>
                <w:sz w:val="20"/>
                <w:szCs w:val="20"/>
                <w:lang w:val="en-US" w:bidi="en-US"/>
              </w:rPr>
              <w:t>Attività manifatturiere</w:t>
            </w:r>
          </w:p>
        </w:tc>
        <w:tc>
          <w:tcPr>
            <w:tcW w:w="1260" w:type="dxa"/>
            <w:shd w:val="clear" w:color="auto" w:fill="auto"/>
            <w:tcMar>
              <w:left w:w="-10" w:type="dxa"/>
            </w:tcMar>
            <w:vAlign w:val="center"/>
          </w:tcPr>
          <w:p w14:paraId="4A62184B"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2.008</w:t>
            </w:r>
          </w:p>
        </w:tc>
        <w:tc>
          <w:tcPr>
            <w:tcW w:w="741" w:type="dxa"/>
            <w:shd w:val="clear" w:color="auto" w:fill="auto"/>
            <w:tcMar>
              <w:left w:w="-10" w:type="dxa"/>
            </w:tcMar>
            <w:vAlign w:val="center"/>
          </w:tcPr>
          <w:p w14:paraId="304AC173"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8,5%</w:t>
            </w:r>
          </w:p>
        </w:tc>
        <w:tc>
          <w:tcPr>
            <w:tcW w:w="254" w:type="dxa"/>
            <w:shd w:val="clear" w:color="auto" w:fill="auto"/>
            <w:vAlign w:val="center"/>
          </w:tcPr>
          <w:p w14:paraId="3EEC2834"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04CF1B0D"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96.522</w:t>
            </w:r>
          </w:p>
        </w:tc>
        <w:tc>
          <w:tcPr>
            <w:tcW w:w="832" w:type="dxa"/>
            <w:shd w:val="clear" w:color="auto" w:fill="auto"/>
            <w:tcMar>
              <w:left w:w="-10" w:type="dxa"/>
            </w:tcMar>
          </w:tcPr>
          <w:p w14:paraId="184D7221"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7,2%</w:t>
            </w:r>
          </w:p>
        </w:tc>
      </w:tr>
      <w:tr w:rsidR="00CD1294" w:rsidRPr="00BB147D" w14:paraId="167EB3CA" w14:textId="77777777" w:rsidTr="003730A0">
        <w:trPr>
          <w:trHeight w:val="232"/>
          <w:jc w:val="center"/>
        </w:trPr>
        <w:tc>
          <w:tcPr>
            <w:tcW w:w="4539" w:type="dxa"/>
            <w:shd w:val="clear" w:color="auto" w:fill="auto"/>
            <w:tcMar>
              <w:left w:w="-10" w:type="dxa"/>
            </w:tcMar>
            <w:vAlign w:val="center"/>
          </w:tcPr>
          <w:p w14:paraId="60F24366"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D Fornitura di energia elettrica, gas,</w:t>
            </w:r>
          </w:p>
        </w:tc>
        <w:tc>
          <w:tcPr>
            <w:tcW w:w="1260" w:type="dxa"/>
            <w:shd w:val="clear" w:color="auto" w:fill="auto"/>
            <w:tcMar>
              <w:left w:w="-10" w:type="dxa"/>
            </w:tcMar>
            <w:vAlign w:val="center"/>
          </w:tcPr>
          <w:p w14:paraId="49108548"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29</w:t>
            </w:r>
          </w:p>
        </w:tc>
        <w:tc>
          <w:tcPr>
            <w:tcW w:w="741" w:type="dxa"/>
            <w:shd w:val="clear" w:color="auto" w:fill="auto"/>
            <w:tcMar>
              <w:left w:w="-10" w:type="dxa"/>
            </w:tcMar>
            <w:vAlign w:val="center"/>
          </w:tcPr>
          <w:p w14:paraId="19D60435"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0,1%</w:t>
            </w:r>
          </w:p>
        </w:tc>
        <w:tc>
          <w:tcPr>
            <w:tcW w:w="254" w:type="dxa"/>
            <w:shd w:val="clear" w:color="auto" w:fill="auto"/>
            <w:vAlign w:val="center"/>
          </w:tcPr>
          <w:p w14:paraId="426C320E"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4BC923E5"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1.183</w:t>
            </w:r>
          </w:p>
        </w:tc>
        <w:tc>
          <w:tcPr>
            <w:tcW w:w="832" w:type="dxa"/>
            <w:shd w:val="clear" w:color="auto" w:fill="auto"/>
            <w:tcMar>
              <w:left w:w="-10" w:type="dxa"/>
            </w:tcMar>
          </w:tcPr>
          <w:p w14:paraId="7E72D5BD"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0,1%</w:t>
            </w:r>
          </w:p>
        </w:tc>
      </w:tr>
      <w:tr w:rsidR="00CD1294" w:rsidRPr="00BB147D" w14:paraId="4A6FF4EC" w14:textId="77777777" w:rsidTr="003730A0">
        <w:trPr>
          <w:trHeight w:val="232"/>
          <w:jc w:val="center"/>
        </w:trPr>
        <w:tc>
          <w:tcPr>
            <w:tcW w:w="4539" w:type="dxa"/>
            <w:shd w:val="clear" w:color="auto" w:fill="auto"/>
            <w:tcMar>
              <w:left w:w="-10" w:type="dxa"/>
            </w:tcMar>
            <w:vAlign w:val="center"/>
          </w:tcPr>
          <w:p w14:paraId="15C4173D"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E Fornitura di acqua; reti fognarie, etc.</w:t>
            </w:r>
          </w:p>
        </w:tc>
        <w:tc>
          <w:tcPr>
            <w:tcW w:w="1260" w:type="dxa"/>
            <w:shd w:val="clear" w:color="auto" w:fill="auto"/>
            <w:tcMar>
              <w:left w:w="-10" w:type="dxa"/>
            </w:tcMar>
            <w:vAlign w:val="center"/>
          </w:tcPr>
          <w:p w14:paraId="1EBC443F"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18</w:t>
            </w:r>
          </w:p>
        </w:tc>
        <w:tc>
          <w:tcPr>
            <w:tcW w:w="741" w:type="dxa"/>
            <w:shd w:val="clear" w:color="auto" w:fill="auto"/>
            <w:tcMar>
              <w:left w:w="-10" w:type="dxa"/>
            </w:tcMar>
            <w:vAlign w:val="center"/>
          </w:tcPr>
          <w:p w14:paraId="3792EA7F"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0,1%</w:t>
            </w:r>
          </w:p>
        </w:tc>
        <w:tc>
          <w:tcPr>
            <w:tcW w:w="254" w:type="dxa"/>
            <w:shd w:val="clear" w:color="auto" w:fill="auto"/>
            <w:vAlign w:val="center"/>
          </w:tcPr>
          <w:p w14:paraId="1A3ADA2A"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5ED0306F"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1.451</w:t>
            </w:r>
          </w:p>
        </w:tc>
        <w:tc>
          <w:tcPr>
            <w:tcW w:w="832" w:type="dxa"/>
            <w:shd w:val="clear" w:color="auto" w:fill="auto"/>
            <w:tcMar>
              <w:left w:w="-10" w:type="dxa"/>
            </w:tcMar>
          </w:tcPr>
          <w:p w14:paraId="73DEEE7C"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0,1%</w:t>
            </w:r>
          </w:p>
        </w:tc>
      </w:tr>
      <w:tr w:rsidR="00CD1294" w:rsidRPr="00BB147D" w14:paraId="036F4EBB" w14:textId="77777777" w:rsidTr="003730A0">
        <w:trPr>
          <w:trHeight w:val="231"/>
          <w:jc w:val="center"/>
        </w:trPr>
        <w:tc>
          <w:tcPr>
            <w:tcW w:w="4539" w:type="dxa"/>
            <w:shd w:val="clear" w:color="auto" w:fill="auto"/>
            <w:tcMar>
              <w:left w:w="-10" w:type="dxa"/>
            </w:tcMar>
            <w:vAlign w:val="center"/>
          </w:tcPr>
          <w:p w14:paraId="4413CE89" w14:textId="77777777" w:rsidR="00CD1294" w:rsidRPr="00BB147D" w:rsidRDefault="00CD1294" w:rsidP="0047755C">
            <w:pPr>
              <w:widowControl w:val="0"/>
              <w:spacing w:before="0" w:after="0" w:line="231" w:lineRule="exact"/>
              <w:ind w:left="40"/>
              <w:jc w:val="left"/>
              <w:rPr>
                <w:rFonts w:eastAsia="Andale Sans UI" w:cs="Times New Roman"/>
                <w:sz w:val="20"/>
                <w:szCs w:val="20"/>
                <w:lang w:val="en-US" w:bidi="en-US"/>
              </w:rPr>
            </w:pPr>
            <w:r w:rsidRPr="00BB147D">
              <w:rPr>
                <w:rFonts w:eastAsia="Andale Sans UI" w:cs="Times New Roman"/>
                <w:sz w:val="20"/>
                <w:szCs w:val="20"/>
                <w:lang w:val="en-US" w:bidi="en-US"/>
              </w:rPr>
              <w:t>F Costruzioni</w:t>
            </w:r>
          </w:p>
        </w:tc>
        <w:tc>
          <w:tcPr>
            <w:tcW w:w="1260" w:type="dxa"/>
            <w:shd w:val="clear" w:color="auto" w:fill="auto"/>
            <w:tcMar>
              <w:left w:w="-10" w:type="dxa"/>
            </w:tcMar>
            <w:vAlign w:val="center"/>
          </w:tcPr>
          <w:p w14:paraId="46E73E94"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671</w:t>
            </w:r>
          </w:p>
        </w:tc>
        <w:tc>
          <w:tcPr>
            <w:tcW w:w="741" w:type="dxa"/>
            <w:shd w:val="clear" w:color="auto" w:fill="auto"/>
            <w:tcMar>
              <w:left w:w="-10" w:type="dxa"/>
            </w:tcMar>
            <w:vAlign w:val="center"/>
          </w:tcPr>
          <w:p w14:paraId="30588151"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2,9%</w:t>
            </w:r>
          </w:p>
        </w:tc>
        <w:tc>
          <w:tcPr>
            <w:tcW w:w="254" w:type="dxa"/>
            <w:shd w:val="clear" w:color="auto" w:fill="auto"/>
            <w:vAlign w:val="center"/>
          </w:tcPr>
          <w:p w14:paraId="4E65DA30"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34705481"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53.101</w:t>
            </w:r>
          </w:p>
        </w:tc>
        <w:tc>
          <w:tcPr>
            <w:tcW w:w="832" w:type="dxa"/>
            <w:shd w:val="clear" w:color="auto" w:fill="auto"/>
            <w:tcMar>
              <w:left w:w="-10" w:type="dxa"/>
            </w:tcMar>
          </w:tcPr>
          <w:p w14:paraId="5466B65F"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4,0%</w:t>
            </w:r>
          </w:p>
        </w:tc>
      </w:tr>
      <w:tr w:rsidR="00CD1294" w:rsidRPr="00BB147D" w14:paraId="3FCAC376" w14:textId="77777777" w:rsidTr="003730A0">
        <w:trPr>
          <w:trHeight w:val="233"/>
          <w:jc w:val="center"/>
        </w:trPr>
        <w:tc>
          <w:tcPr>
            <w:tcW w:w="4539" w:type="dxa"/>
            <w:shd w:val="clear" w:color="auto" w:fill="auto"/>
            <w:tcMar>
              <w:left w:w="-10" w:type="dxa"/>
            </w:tcMar>
            <w:vAlign w:val="center"/>
          </w:tcPr>
          <w:p w14:paraId="602C04D8"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G Commercio all'ingrosso e al dettaglio; ripar.</w:t>
            </w:r>
          </w:p>
        </w:tc>
        <w:tc>
          <w:tcPr>
            <w:tcW w:w="1260" w:type="dxa"/>
            <w:shd w:val="clear" w:color="auto" w:fill="auto"/>
            <w:tcMar>
              <w:left w:w="-10" w:type="dxa"/>
            </w:tcMar>
            <w:vAlign w:val="center"/>
          </w:tcPr>
          <w:p w14:paraId="13C2B30E"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5.813</w:t>
            </w:r>
          </w:p>
        </w:tc>
        <w:tc>
          <w:tcPr>
            <w:tcW w:w="741" w:type="dxa"/>
            <w:shd w:val="clear" w:color="auto" w:fill="auto"/>
            <w:tcMar>
              <w:left w:w="-10" w:type="dxa"/>
            </w:tcMar>
            <w:vAlign w:val="center"/>
          </w:tcPr>
          <w:p w14:paraId="2F5BD8BC"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24,7%</w:t>
            </w:r>
          </w:p>
        </w:tc>
        <w:tc>
          <w:tcPr>
            <w:tcW w:w="254" w:type="dxa"/>
            <w:shd w:val="clear" w:color="auto" w:fill="auto"/>
            <w:vAlign w:val="center"/>
          </w:tcPr>
          <w:p w14:paraId="7196640F"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31898365"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365.229</w:t>
            </w:r>
          </w:p>
        </w:tc>
        <w:tc>
          <w:tcPr>
            <w:tcW w:w="832" w:type="dxa"/>
            <w:shd w:val="clear" w:color="auto" w:fill="auto"/>
            <w:tcMar>
              <w:left w:w="-10" w:type="dxa"/>
            </w:tcMar>
          </w:tcPr>
          <w:p w14:paraId="03827B8F"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27,4%</w:t>
            </w:r>
          </w:p>
        </w:tc>
      </w:tr>
      <w:tr w:rsidR="00CD1294" w:rsidRPr="00BB147D" w14:paraId="1DCD0DA7" w14:textId="77777777" w:rsidTr="003730A0">
        <w:trPr>
          <w:trHeight w:val="230"/>
          <w:jc w:val="center"/>
        </w:trPr>
        <w:tc>
          <w:tcPr>
            <w:tcW w:w="4539" w:type="dxa"/>
            <w:shd w:val="clear" w:color="auto" w:fill="auto"/>
            <w:tcMar>
              <w:left w:w="-10" w:type="dxa"/>
            </w:tcMar>
            <w:vAlign w:val="center"/>
          </w:tcPr>
          <w:p w14:paraId="60B96DA4" w14:textId="77777777" w:rsidR="00CD1294" w:rsidRPr="00BB147D" w:rsidRDefault="00CD1294" w:rsidP="0047755C">
            <w:pPr>
              <w:widowControl w:val="0"/>
              <w:spacing w:before="0" w:after="0" w:line="231" w:lineRule="exact"/>
              <w:ind w:left="40"/>
              <w:jc w:val="left"/>
              <w:rPr>
                <w:rFonts w:eastAsia="Andale Sans UI" w:cs="Times New Roman"/>
                <w:sz w:val="20"/>
                <w:szCs w:val="20"/>
                <w:lang w:val="en-US" w:bidi="en-US"/>
              </w:rPr>
            </w:pPr>
            <w:r w:rsidRPr="00BB147D">
              <w:rPr>
                <w:rFonts w:eastAsia="Andale Sans UI" w:cs="Times New Roman"/>
                <w:sz w:val="20"/>
                <w:szCs w:val="20"/>
                <w:lang w:val="en-US" w:bidi="en-US"/>
              </w:rPr>
              <w:t>H Trasporto e magazzinaggio</w:t>
            </w:r>
          </w:p>
        </w:tc>
        <w:tc>
          <w:tcPr>
            <w:tcW w:w="1260" w:type="dxa"/>
            <w:shd w:val="clear" w:color="auto" w:fill="auto"/>
            <w:tcMar>
              <w:left w:w="-10" w:type="dxa"/>
            </w:tcMar>
            <w:vAlign w:val="center"/>
          </w:tcPr>
          <w:p w14:paraId="44B01C5F"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218</w:t>
            </w:r>
          </w:p>
        </w:tc>
        <w:tc>
          <w:tcPr>
            <w:tcW w:w="741" w:type="dxa"/>
            <w:shd w:val="clear" w:color="auto" w:fill="auto"/>
            <w:tcMar>
              <w:left w:w="-10" w:type="dxa"/>
            </w:tcMar>
            <w:vAlign w:val="center"/>
          </w:tcPr>
          <w:p w14:paraId="333D42A7"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0,9%</w:t>
            </w:r>
          </w:p>
        </w:tc>
        <w:tc>
          <w:tcPr>
            <w:tcW w:w="254" w:type="dxa"/>
            <w:shd w:val="clear" w:color="auto" w:fill="auto"/>
            <w:vAlign w:val="center"/>
          </w:tcPr>
          <w:p w14:paraId="5032C7D9"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4729BF1A"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17.231</w:t>
            </w:r>
          </w:p>
        </w:tc>
        <w:tc>
          <w:tcPr>
            <w:tcW w:w="832" w:type="dxa"/>
            <w:shd w:val="clear" w:color="auto" w:fill="auto"/>
            <w:tcMar>
              <w:left w:w="-10" w:type="dxa"/>
            </w:tcMar>
          </w:tcPr>
          <w:p w14:paraId="2795182C"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1,3%</w:t>
            </w:r>
          </w:p>
        </w:tc>
      </w:tr>
      <w:tr w:rsidR="00CD1294" w:rsidRPr="00BB147D" w14:paraId="1126BDA1" w14:textId="77777777" w:rsidTr="003730A0">
        <w:trPr>
          <w:trHeight w:val="232"/>
          <w:jc w:val="center"/>
        </w:trPr>
        <w:tc>
          <w:tcPr>
            <w:tcW w:w="4539" w:type="dxa"/>
            <w:shd w:val="clear" w:color="auto" w:fill="auto"/>
            <w:tcMar>
              <w:left w:w="-10" w:type="dxa"/>
            </w:tcMar>
            <w:vAlign w:val="center"/>
          </w:tcPr>
          <w:p w14:paraId="5E9185F3"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I Attività dei servizi di alloggio e di ristorazione</w:t>
            </w:r>
          </w:p>
        </w:tc>
        <w:tc>
          <w:tcPr>
            <w:tcW w:w="1260" w:type="dxa"/>
            <w:shd w:val="clear" w:color="auto" w:fill="auto"/>
            <w:tcMar>
              <w:left w:w="-10" w:type="dxa"/>
            </w:tcMar>
            <w:vAlign w:val="center"/>
          </w:tcPr>
          <w:p w14:paraId="0FCCA3A8"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2.172</w:t>
            </w:r>
          </w:p>
        </w:tc>
        <w:tc>
          <w:tcPr>
            <w:tcW w:w="741" w:type="dxa"/>
            <w:shd w:val="clear" w:color="auto" w:fill="auto"/>
            <w:tcMar>
              <w:left w:w="-10" w:type="dxa"/>
            </w:tcMar>
            <w:vAlign w:val="center"/>
          </w:tcPr>
          <w:p w14:paraId="38AF187B"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9,2%</w:t>
            </w:r>
          </w:p>
        </w:tc>
        <w:tc>
          <w:tcPr>
            <w:tcW w:w="254" w:type="dxa"/>
            <w:shd w:val="clear" w:color="auto" w:fill="auto"/>
            <w:vAlign w:val="center"/>
          </w:tcPr>
          <w:p w14:paraId="304B0638"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493A5C86"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130.621</w:t>
            </w:r>
          </w:p>
        </w:tc>
        <w:tc>
          <w:tcPr>
            <w:tcW w:w="832" w:type="dxa"/>
            <w:shd w:val="clear" w:color="auto" w:fill="auto"/>
            <w:tcMar>
              <w:left w:w="-10" w:type="dxa"/>
            </w:tcMar>
          </w:tcPr>
          <w:p w14:paraId="5EFC53C6"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9,8%</w:t>
            </w:r>
          </w:p>
        </w:tc>
      </w:tr>
      <w:tr w:rsidR="00CD1294" w:rsidRPr="00BB147D" w14:paraId="19B70023" w14:textId="77777777" w:rsidTr="003730A0">
        <w:trPr>
          <w:trHeight w:val="231"/>
          <w:jc w:val="center"/>
        </w:trPr>
        <w:tc>
          <w:tcPr>
            <w:tcW w:w="4539" w:type="dxa"/>
            <w:shd w:val="clear" w:color="auto" w:fill="auto"/>
            <w:tcMar>
              <w:left w:w="-10" w:type="dxa"/>
            </w:tcMar>
            <w:vAlign w:val="center"/>
          </w:tcPr>
          <w:p w14:paraId="16459625" w14:textId="77777777" w:rsidR="00CD1294" w:rsidRPr="00BB147D" w:rsidRDefault="00CD1294" w:rsidP="0047755C">
            <w:pPr>
              <w:widowControl w:val="0"/>
              <w:spacing w:before="0" w:after="0" w:line="231" w:lineRule="exact"/>
              <w:ind w:left="40"/>
              <w:jc w:val="left"/>
              <w:rPr>
                <w:rFonts w:eastAsia="Andale Sans UI" w:cs="Times New Roman"/>
                <w:sz w:val="20"/>
                <w:szCs w:val="20"/>
                <w:lang w:bidi="en-US"/>
              </w:rPr>
            </w:pPr>
            <w:r w:rsidRPr="00BB147D">
              <w:rPr>
                <w:rFonts w:eastAsia="Andale Sans UI" w:cs="Times New Roman"/>
                <w:sz w:val="20"/>
                <w:szCs w:val="20"/>
                <w:lang w:bidi="en-US"/>
              </w:rPr>
              <w:t>J Servizi di informazione e comunicazione</w:t>
            </w:r>
          </w:p>
        </w:tc>
        <w:tc>
          <w:tcPr>
            <w:tcW w:w="1260" w:type="dxa"/>
            <w:shd w:val="clear" w:color="auto" w:fill="auto"/>
            <w:tcMar>
              <w:left w:w="-10" w:type="dxa"/>
            </w:tcMar>
            <w:vAlign w:val="center"/>
          </w:tcPr>
          <w:p w14:paraId="069DB5F4"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355</w:t>
            </w:r>
          </w:p>
        </w:tc>
        <w:tc>
          <w:tcPr>
            <w:tcW w:w="741" w:type="dxa"/>
            <w:shd w:val="clear" w:color="auto" w:fill="auto"/>
            <w:tcMar>
              <w:left w:w="-10" w:type="dxa"/>
            </w:tcMar>
            <w:vAlign w:val="center"/>
          </w:tcPr>
          <w:p w14:paraId="6B5A0111"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1,5%</w:t>
            </w:r>
          </w:p>
        </w:tc>
        <w:tc>
          <w:tcPr>
            <w:tcW w:w="254" w:type="dxa"/>
            <w:shd w:val="clear" w:color="auto" w:fill="auto"/>
            <w:vAlign w:val="center"/>
          </w:tcPr>
          <w:p w14:paraId="76E7E88D"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39D16155"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24.632</w:t>
            </w:r>
          </w:p>
        </w:tc>
        <w:tc>
          <w:tcPr>
            <w:tcW w:w="832" w:type="dxa"/>
            <w:shd w:val="clear" w:color="auto" w:fill="auto"/>
            <w:tcMar>
              <w:left w:w="-10" w:type="dxa"/>
            </w:tcMar>
          </w:tcPr>
          <w:p w14:paraId="308FDA50"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1,9%</w:t>
            </w:r>
          </w:p>
        </w:tc>
      </w:tr>
      <w:tr w:rsidR="00CD1294" w:rsidRPr="00BB147D" w14:paraId="7298DD00" w14:textId="77777777" w:rsidTr="003730A0">
        <w:trPr>
          <w:trHeight w:val="232"/>
          <w:jc w:val="center"/>
        </w:trPr>
        <w:tc>
          <w:tcPr>
            <w:tcW w:w="4539" w:type="dxa"/>
            <w:shd w:val="clear" w:color="auto" w:fill="auto"/>
            <w:tcMar>
              <w:left w:w="-10" w:type="dxa"/>
            </w:tcMar>
            <w:vAlign w:val="center"/>
          </w:tcPr>
          <w:p w14:paraId="1C8D06B9"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K Attività finanziarie e assicurative</w:t>
            </w:r>
          </w:p>
        </w:tc>
        <w:tc>
          <w:tcPr>
            <w:tcW w:w="1260" w:type="dxa"/>
            <w:shd w:val="clear" w:color="auto" w:fill="auto"/>
            <w:tcMar>
              <w:left w:w="-10" w:type="dxa"/>
            </w:tcMar>
            <w:vAlign w:val="center"/>
          </w:tcPr>
          <w:p w14:paraId="6947B009"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510</w:t>
            </w:r>
          </w:p>
        </w:tc>
        <w:tc>
          <w:tcPr>
            <w:tcW w:w="741" w:type="dxa"/>
            <w:shd w:val="clear" w:color="auto" w:fill="auto"/>
            <w:tcMar>
              <w:left w:w="-10" w:type="dxa"/>
            </w:tcMar>
            <w:vAlign w:val="center"/>
          </w:tcPr>
          <w:p w14:paraId="7E393862"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2,2%</w:t>
            </w:r>
          </w:p>
        </w:tc>
        <w:tc>
          <w:tcPr>
            <w:tcW w:w="254" w:type="dxa"/>
            <w:shd w:val="clear" w:color="auto" w:fill="auto"/>
            <w:vAlign w:val="center"/>
          </w:tcPr>
          <w:p w14:paraId="7435161D"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339E42F5"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26.801</w:t>
            </w:r>
          </w:p>
        </w:tc>
        <w:tc>
          <w:tcPr>
            <w:tcW w:w="832" w:type="dxa"/>
            <w:shd w:val="clear" w:color="auto" w:fill="auto"/>
            <w:tcMar>
              <w:left w:w="-10" w:type="dxa"/>
            </w:tcMar>
          </w:tcPr>
          <w:p w14:paraId="597B848C"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2,0%</w:t>
            </w:r>
          </w:p>
        </w:tc>
      </w:tr>
      <w:tr w:rsidR="00CD1294" w:rsidRPr="00BB147D" w14:paraId="2F870987" w14:textId="77777777" w:rsidTr="003730A0">
        <w:trPr>
          <w:trHeight w:val="232"/>
          <w:jc w:val="center"/>
        </w:trPr>
        <w:tc>
          <w:tcPr>
            <w:tcW w:w="4539" w:type="dxa"/>
            <w:shd w:val="clear" w:color="auto" w:fill="auto"/>
            <w:tcMar>
              <w:left w:w="-10" w:type="dxa"/>
            </w:tcMar>
            <w:vAlign w:val="center"/>
          </w:tcPr>
          <w:p w14:paraId="6D6349A6" w14:textId="77777777" w:rsidR="00CD1294" w:rsidRPr="00BB147D" w:rsidRDefault="00CD1294" w:rsidP="0047755C">
            <w:pPr>
              <w:widowControl w:val="0"/>
              <w:spacing w:before="0" w:after="0"/>
              <w:ind w:left="40"/>
              <w:jc w:val="left"/>
              <w:rPr>
                <w:rFonts w:eastAsia="Andale Sans UI" w:cs="Times New Roman"/>
                <w:sz w:val="20"/>
                <w:szCs w:val="20"/>
                <w:lang w:val="en-US" w:bidi="en-US"/>
              </w:rPr>
            </w:pPr>
            <w:r w:rsidRPr="00BB147D">
              <w:rPr>
                <w:rFonts w:eastAsia="Andale Sans UI" w:cs="Times New Roman"/>
                <w:sz w:val="20"/>
                <w:szCs w:val="20"/>
                <w:lang w:val="en-US" w:bidi="en-US"/>
              </w:rPr>
              <w:t>L Attività immobiliari</w:t>
            </w:r>
          </w:p>
        </w:tc>
        <w:tc>
          <w:tcPr>
            <w:tcW w:w="1260" w:type="dxa"/>
            <w:shd w:val="clear" w:color="auto" w:fill="auto"/>
            <w:tcMar>
              <w:left w:w="-10" w:type="dxa"/>
            </w:tcMar>
            <w:vAlign w:val="center"/>
          </w:tcPr>
          <w:p w14:paraId="150D60DD"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818</w:t>
            </w:r>
          </w:p>
        </w:tc>
        <w:tc>
          <w:tcPr>
            <w:tcW w:w="741" w:type="dxa"/>
            <w:shd w:val="clear" w:color="auto" w:fill="auto"/>
            <w:tcMar>
              <w:left w:w="-10" w:type="dxa"/>
            </w:tcMar>
            <w:vAlign w:val="center"/>
          </w:tcPr>
          <w:p w14:paraId="3D49C5FE"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3,5%</w:t>
            </w:r>
          </w:p>
        </w:tc>
        <w:tc>
          <w:tcPr>
            <w:tcW w:w="254" w:type="dxa"/>
            <w:shd w:val="clear" w:color="auto" w:fill="auto"/>
            <w:vAlign w:val="center"/>
          </w:tcPr>
          <w:p w14:paraId="523D7498"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1AAEC476"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58.665</w:t>
            </w:r>
          </w:p>
        </w:tc>
        <w:tc>
          <w:tcPr>
            <w:tcW w:w="832" w:type="dxa"/>
            <w:shd w:val="clear" w:color="auto" w:fill="auto"/>
            <w:tcMar>
              <w:left w:w="-10" w:type="dxa"/>
            </w:tcMar>
          </w:tcPr>
          <w:p w14:paraId="3DB3A328"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4,4%</w:t>
            </w:r>
          </w:p>
        </w:tc>
      </w:tr>
      <w:tr w:rsidR="00CD1294" w:rsidRPr="00BB147D" w14:paraId="757C1132" w14:textId="77777777" w:rsidTr="003730A0">
        <w:trPr>
          <w:trHeight w:val="231"/>
          <w:jc w:val="center"/>
        </w:trPr>
        <w:tc>
          <w:tcPr>
            <w:tcW w:w="4539" w:type="dxa"/>
            <w:shd w:val="clear" w:color="auto" w:fill="auto"/>
            <w:tcMar>
              <w:left w:w="-10" w:type="dxa"/>
            </w:tcMar>
            <w:vAlign w:val="center"/>
          </w:tcPr>
          <w:p w14:paraId="6A854B45" w14:textId="77777777" w:rsidR="00CD1294" w:rsidRPr="00BB147D" w:rsidRDefault="00CD1294" w:rsidP="0047755C">
            <w:pPr>
              <w:widowControl w:val="0"/>
              <w:spacing w:before="0" w:after="0" w:line="231" w:lineRule="exact"/>
              <w:ind w:left="40"/>
              <w:jc w:val="left"/>
              <w:rPr>
                <w:rFonts w:eastAsia="Andale Sans UI" w:cs="Times New Roman"/>
                <w:sz w:val="20"/>
                <w:szCs w:val="20"/>
                <w:lang w:bidi="en-US"/>
              </w:rPr>
            </w:pPr>
            <w:r w:rsidRPr="00BB147D">
              <w:rPr>
                <w:rFonts w:eastAsia="Andale Sans UI" w:cs="Times New Roman"/>
                <w:sz w:val="20"/>
                <w:szCs w:val="20"/>
                <w:lang w:bidi="en-US"/>
              </w:rPr>
              <w:t>M Attività professionali, scientifiche e tecniche</w:t>
            </w:r>
          </w:p>
        </w:tc>
        <w:tc>
          <w:tcPr>
            <w:tcW w:w="1260" w:type="dxa"/>
            <w:shd w:val="clear" w:color="auto" w:fill="auto"/>
            <w:tcMar>
              <w:left w:w="-10" w:type="dxa"/>
            </w:tcMar>
            <w:vAlign w:val="center"/>
          </w:tcPr>
          <w:p w14:paraId="16A57DFF"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484</w:t>
            </w:r>
          </w:p>
        </w:tc>
        <w:tc>
          <w:tcPr>
            <w:tcW w:w="741" w:type="dxa"/>
            <w:shd w:val="clear" w:color="auto" w:fill="auto"/>
            <w:tcMar>
              <w:left w:w="-10" w:type="dxa"/>
            </w:tcMar>
            <w:vAlign w:val="center"/>
          </w:tcPr>
          <w:p w14:paraId="65DF50A3"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2,1%</w:t>
            </w:r>
          </w:p>
        </w:tc>
        <w:tc>
          <w:tcPr>
            <w:tcW w:w="254" w:type="dxa"/>
            <w:shd w:val="clear" w:color="auto" w:fill="auto"/>
            <w:vAlign w:val="center"/>
          </w:tcPr>
          <w:p w14:paraId="4325757A"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0F189141"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37.787</w:t>
            </w:r>
          </w:p>
        </w:tc>
        <w:tc>
          <w:tcPr>
            <w:tcW w:w="832" w:type="dxa"/>
            <w:shd w:val="clear" w:color="auto" w:fill="auto"/>
            <w:tcMar>
              <w:left w:w="-10" w:type="dxa"/>
            </w:tcMar>
          </w:tcPr>
          <w:p w14:paraId="3C892C7A"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2,8%</w:t>
            </w:r>
          </w:p>
        </w:tc>
      </w:tr>
      <w:tr w:rsidR="00CD1294" w:rsidRPr="00BB147D" w14:paraId="7EBBB4FA" w14:textId="77777777" w:rsidTr="003730A0">
        <w:trPr>
          <w:trHeight w:val="232"/>
          <w:jc w:val="center"/>
        </w:trPr>
        <w:tc>
          <w:tcPr>
            <w:tcW w:w="4539" w:type="dxa"/>
            <w:shd w:val="clear" w:color="auto" w:fill="auto"/>
            <w:tcMar>
              <w:left w:w="-10" w:type="dxa"/>
            </w:tcMar>
            <w:vAlign w:val="center"/>
          </w:tcPr>
          <w:p w14:paraId="33AC92F1"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N Noleggio, agenzie di viaggio, servizi supporto imp.</w:t>
            </w:r>
          </w:p>
        </w:tc>
        <w:tc>
          <w:tcPr>
            <w:tcW w:w="1260" w:type="dxa"/>
            <w:shd w:val="clear" w:color="auto" w:fill="auto"/>
            <w:tcMar>
              <w:left w:w="-10" w:type="dxa"/>
            </w:tcMar>
            <w:vAlign w:val="center"/>
          </w:tcPr>
          <w:p w14:paraId="7E8DF10D"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731</w:t>
            </w:r>
          </w:p>
        </w:tc>
        <w:tc>
          <w:tcPr>
            <w:tcW w:w="741" w:type="dxa"/>
            <w:shd w:val="clear" w:color="auto" w:fill="auto"/>
            <w:tcMar>
              <w:left w:w="-10" w:type="dxa"/>
            </w:tcMar>
            <w:vAlign w:val="center"/>
          </w:tcPr>
          <w:p w14:paraId="26658732"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3,1%</w:t>
            </w:r>
          </w:p>
        </w:tc>
        <w:tc>
          <w:tcPr>
            <w:tcW w:w="254" w:type="dxa"/>
            <w:shd w:val="clear" w:color="auto" w:fill="auto"/>
            <w:vAlign w:val="center"/>
          </w:tcPr>
          <w:p w14:paraId="20004C3A"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4679165A"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51.358</w:t>
            </w:r>
          </w:p>
        </w:tc>
        <w:tc>
          <w:tcPr>
            <w:tcW w:w="832" w:type="dxa"/>
            <w:shd w:val="clear" w:color="auto" w:fill="auto"/>
            <w:tcMar>
              <w:left w:w="-10" w:type="dxa"/>
            </w:tcMar>
          </w:tcPr>
          <w:p w14:paraId="2E5B46E6"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3,9%</w:t>
            </w:r>
          </w:p>
        </w:tc>
      </w:tr>
      <w:tr w:rsidR="00CD1294" w:rsidRPr="00BB147D" w14:paraId="0A4E988A" w14:textId="77777777" w:rsidTr="003730A0">
        <w:trPr>
          <w:trHeight w:val="232"/>
          <w:jc w:val="center"/>
        </w:trPr>
        <w:tc>
          <w:tcPr>
            <w:tcW w:w="4539" w:type="dxa"/>
            <w:shd w:val="clear" w:color="auto" w:fill="auto"/>
            <w:tcMar>
              <w:left w:w="-10" w:type="dxa"/>
            </w:tcMar>
            <w:vAlign w:val="center"/>
          </w:tcPr>
          <w:p w14:paraId="021AC958" w14:textId="77777777" w:rsidR="00CD1294" w:rsidRPr="00BB147D" w:rsidRDefault="00CD1294" w:rsidP="0047755C">
            <w:pPr>
              <w:widowControl w:val="0"/>
              <w:spacing w:before="0" w:after="0"/>
              <w:ind w:left="40"/>
              <w:jc w:val="left"/>
              <w:rPr>
                <w:rFonts w:eastAsia="Andale Sans UI" w:cs="Times New Roman"/>
                <w:sz w:val="20"/>
                <w:szCs w:val="20"/>
                <w:lang w:val="en-US" w:bidi="en-US"/>
              </w:rPr>
            </w:pPr>
            <w:r w:rsidRPr="00BB147D">
              <w:rPr>
                <w:rFonts w:eastAsia="Andale Sans UI" w:cs="Times New Roman"/>
                <w:sz w:val="20"/>
                <w:szCs w:val="20"/>
                <w:lang w:val="en-US" w:bidi="en-US"/>
              </w:rPr>
              <w:t>P Istruzione</w:t>
            </w:r>
          </w:p>
        </w:tc>
        <w:tc>
          <w:tcPr>
            <w:tcW w:w="1260" w:type="dxa"/>
            <w:shd w:val="clear" w:color="auto" w:fill="auto"/>
            <w:tcMar>
              <w:left w:w="-10" w:type="dxa"/>
            </w:tcMar>
            <w:vAlign w:val="center"/>
          </w:tcPr>
          <w:p w14:paraId="58AAE572"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107</w:t>
            </w:r>
          </w:p>
        </w:tc>
        <w:tc>
          <w:tcPr>
            <w:tcW w:w="741" w:type="dxa"/>
            <w:shd w:val="clear" w:color="auto" w:fill="auto"/>
            <w:tcMar>
              <w:left w:w="-10" w:type="dxa"/>
            </w:tcMar>
            <w:vAlign w:val="center"/>
          </w:tcPr>
          <w:p w14:paraId="2F313443"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0,5%</w:t>
            </w:r>
          </w:p>
        </w:tc>
        <w:tc>
          <w:tcPr>
            <w:tcW w:w="254" w:type="dxa"/>
            <w:shd w:val="clear" w:color="auto" w:fill="auto"/>
            <w:vAlign w:val="center"/>
          </w:tcPr>
          <w:p w14:paraId="0DAEC3C3"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0498C604"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8.965</w:t>
            </w:r>
          </w:p>
        </w:tc>
        <w:tc>
          <w:tcPr>
            <w:tcW w:w="832" w:type="dxa"/>
            <w:shd w:val="clear" w:color="auto" w:fill="auto"/>
            <w:tcMar>
              <w:left w:w="-10" w:type="dxa"/>
            </w:tcMar>
          </w:tcPr>
          <w:p w14:paraId="73F14770"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0,7%</w:t>
            </w:r>
          </w:p>
        </w:tc>
      </w:tr>
      <w:tr w:rsidR="00CD1294" w:rsidRPr="00BB147D" w14:paraId="14329CB4" w14:textId="77777777" w:rsidTr="003730A0">
        <w:trPr>
          <w:trHeight w:val="231"/>
          <w:jc w:val="center"/>
        </w:trPr>
        <w:tc>
          <w:tcPr>
            <w:tcW w:w="4539" w:type="dxa"/>
            <w:shd w:val="clear" w:color="auto" w:fill="auto"/>
            <w:tcMar>
              <w:left w:w="-10" w:type="dxa"/>
            </w:tcMar>
            <w:vAlign w:val="center"/>
          </w:tcPr>
          <w:p w14:paraId="043E9B90" w14:textId="77777777" w:rsidR="00CD1294" w:rsidRPr="00BB147D" w:rsidRDefault="00CD1294" w:rsidP="0047755C">
            <w:pPr>
              <w:widowControl w:val="0"/>
              <w:spacing w:before="0" w:after="0" w:line="231" w:lineRule="exact"/>
              <w:ind w:left="40"/>
              <w:jc w:val="left"/>
              <w:rPr>
                <w:rFonts w:eastAsia="Andale Sans UI" w:cs="Times New Roman"/>
                <w:sz w:val="20"/>
                <w:szCs w:val="20"/>
                <w:lang w:bidi="en-US"/>
              </w:rPr>
            </w:pPr>
            <w:r w:rsidRPr="00BB147D">
              <w:rPr>
                <w:rFonts w:eastAsia="Andale Sans UI" w:cs="Times New Roman"/>
                <w:sz w:val="20"/>
                <w:szCs w:val="20"/>
                <w:lang w:bidi="en-US"/>
              </w:rPr>
              <w:t>Q Sanità e assistenza sociale</w:t>
            </w:r>
          </w:p>
        </w:tc>
        <w:tc>
          <w:tcPr>
            <w:tcW w:w="1260" w:type="dxa"/>
            <w:shd w:val="clear" w:color="auto" w:fill="auto"/>
            <w:tcMar>
              <w:left w:w="-10" w:type="dxa"/>
            </w:tcMar>
            <w:vAlign w:val="center"/>
          </w:tcPr>
          <w:p w14:paraId="70E283FB"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264</w:t>
            </w:r>
          </w:p>
        </w:tc>
        <w:tc>
          <w:tcPr>
            <w:tcW w:w="741" w:type="dxa"/>
            <w:shd w:val="clear" w:color="auto" w:fill="auto"/>
            <w:tcMar>
              <w:left w:w="-10" w:type="dxa"/>
            </w:tcMar>
            <w:vAlign w:val="center"/>
          </w:tcPr>
          <w:p w14:paraId="3CEE1584"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1,1%</w:t>
            </w:r>
          </w:p>
        </w:tc>
        <w:tc>
          <w:tcPr>
            <w:tcW w:w="254" w:type="dxa"/>
            <w:shd w:val="clear" w:color="auto" w:fill="auto"/>
            <w:vAlign w:val="center"/>
          </w:tcPr>
          <w:p w14:paraId="14BC40FF"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15163A86"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15.711</w:t>
            </w:r>
          </w:p>
        </w:tc>
        <w:tc>
          <w:tcPr>
            <w:tcW w:w="832" w:type="dxa"/>
            <w:shd w:val="clear" w:color="auto" w:fill="auto"/>
            <w:tcMar>
              <w:left w:w="-10" w:type="dxa"/>
            </w:tcMar>
          </w:tcPr>
          <w:p w14:paraId="10CFEFE3"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1,2%</w:t>
            </w:r>
          </w:p>
        </w:tc>
      </w:tr>
      <w:tr w:rsidR="00CD1294" w:rsidRPr="00BB147D" w14:paraId="3A8707E4" w14:textId="77777777" w:rsidTr="003730A0">
        <w:trPr>
          <w:trHeight w:val="232"/>
          <w:jc w:val="center"/>
        </w:trPr>
        <w:tc>
          <w:tcPr>
            <w:tcW w:w="4539" w:type="dxa"/>
            <w:shd w:val="clear" w:color="auto" w:fill="auto"/>
            <w:tcMar>
              <w:left w:w="-10" w:type="dxa"/>
            </w:tcMar>
            <w:vAlign w:val="center"/>
          </w:tcPr>
          <w:p w14:paraId="74B25292"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R Attività artistiche, sportive, di intrattenimento</w:t>
            </w:r>
          </w:p>
        </w:tc>
        <w:tc>
          <w:tcPr>
            <w:tcW w:w="1260" w:type="dxa"/>
            <w:shd w:val="clear" w:color="auto" w:fill="auto"/>
            <w:tcMar>
              <w:left w:w="-10" w:type="dxa"/>
            </w:tcMar>
            <w:vAlign w:val="center"/>
          </w:tcPr>
          <w:p w14:paraId="7816992E"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228</w:t>
            </w:r>
          </w:p>
        </w:tc>
        <w:tc>
          <w:tcPr>
            <w:tcW w:w="741" w:type="dxa"/>
            <w:shd w:val="clear" w:color="auto" w:fill="auto"/>
            <w:tcMar>
              <w:left w:w="-10" w:type="dxa"/>
            </w:tcMar>
            <w:vAlign w:val="center"/>
          </w:tcPr>
          <w:p w14:paraId="15FF7A84"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1,0%</w:t>
            </w:r>
          </w:p>
        </w:tc>
        <w:tc>
          <w:tcPr>
            <w:tcW w:w="254" w:type="dxa"/>
            <w:shd w:val="clear" w:color="auto" w:fill="auto"/>
            <w:vAlign w:val="center"/>
          </w:tcPr>
          <w:p w14:paraId="050BD6B9"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32393699"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17.862</w:t>
            </w:r>
          </w:p>
        </w:tc>
        <w:tc>
          <w:tcPr>
            <w:tcW w:w="832" w:type="dxa"/>
            <w:shd w:val="clear" w:color="auto" w:fill="auto"/>
            <w:tcMar>
              <w:left w:w="-10" w:type="dxa"/>
            </w:tcMar>
          </w:tcPr>
          <w:p w14:paraId="57F058AF"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1,3%</w:t>
            </w:r>
          </w:p>
        </w:tc>
      </w:tr>
      <w:tr w:rsidR="00CD1294" w:rsidRPr="00BB147D" w14:paraId="3AA913B7" w14:textId="77777777" w:rsidTr="003730A0">
        <w:trPr>
          <w:trHeight w:val="232"/>
          <w:jc w:val="center"/>
        </w:trPr>
        <w:tc>
          <w:tcPr>
            <w:tcW w:w="4539" w:type="dxa"/>
            <w:shd w:val="clear" w:color="auto" w:fill="auto"/>
            <w:tcMar>
              <w:left w:w="-10" w:type="dxa"/>
            </w:tcMar>
            <w:vAlign w:val="center"/>
          </w:tcPr>
          <w:p w14:paraId="69469941"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S Altre attività di servizi</w:t>
            </w:r>
          </w:p>
        </w:tc>
        <w:tc>
          <w:tcPr>
            <w:tcW w:w="1260" w:type="dxa"/>
            <w:shd w:val="clear" w:color="auto" w:fill="auto"/>
            <w:tcMar>
              <w:left w:w="-10" w:type="dxa"/>
            </w:tcMar>
            <w:vAlign w:val="center"/>
          </w:tcPr>
          <w:p w14:paraId="5472543D"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2.166</w:t>
            </w:r>
          </w:p>
        </w:tc>
        <w:tc>
          <w:tcPr>
            <w:tcW w:w="741" w:type="dxa"/>
            <w:shd w:val="clear" w:color="auto" w:fill="auto"/>
            <w:tcMar>
              <w:left w:w="-10" w:type="dxa"/>
            </w:tcMar>
            <w:vAlign w:val="center"/>
          </w:tcPr>
          <w:p w14:paraId="41168B24"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9,2%</w:t>
            </w:r>
          </w:p>
        </w:tc>
        <w:tc>
          <w:tcPr>
            <w:tcW w:w="254" w:type="dxa"/>
            <w:shd w:val="clear" w:color="auto" w:fill="auto"/>
            <w:vAlign w:val="center"/>
          </w:tcPr>
          <w:p w14:paraId="18E4BBE6"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1A09158A"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122.082</w:t>
            </w:r>
          </w:p>
        </w:tc>
        <w:tc>
          <w:tcPr>
            <w:tcW w:w="832" w:type="dxa"/>
            <w:shd w:val="clear" w:color="auto" w:fill="auto"/>
            <w:tcMar>
              <w:left w:w="-10" w:type="dxa"/>
            </w:tcMar>
          </w:tcPr>
          <w:p w14:paraId="698BFE56"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9,2%</w:t>
            </w:r>
          </w:p>
        </w:tc>
      </w:tr>
      <w:tr w:rsidR="00CD1294" w:rsidRPr="00BB147D" w14:paraId="0F49DA7F" w14:textId="77777777" w:rsidTr="003730A0">
        <w:trPr>
          <w:trHeight w:val="231"/>
          <w:jc w:val="center"/>
        </w:trPr>
        <w:tc>
          <w:tcPr>
            <w:tcW w:w="4539" w:type="dxa"/>
            <w:shd w:val="clear" w:color="auto" w:fill="auto"/>
            <w:tcMar>
              <w:left w:w="-10" w:type="dxa"/>
            </w:tcMar>
            <w:vAlign w:val="center"/>
          </w:tcPr>
          <w:p w14:paraId="03663198" w14:textId="77777777" w:rsidR="00CD1294" w:rsidRPr="00BB147D" w:rsidRDefault="00CD1294" w:rsidP="0047755C">
            <w:pPr>
              <w:widowControl w:val="0"/>
              <w:spacing w:before="0" w:after="0" w:line="231" w:lineRule="exact"/>
              <w:ind w:left="40"/>
              <w:jc w:val="left"/>
              <w:rPr>
                <w:rFonts w:eastAsia="Andale Sans UI" w:cs="Times New Roman"/>
                <w:sz w:val="20"/>
                <w:szCs w:val="20"/>
                <w:lang w:val="en-US" w:bidi="en-US"/>
              </w:rPr>
            </w:pPr>
            <w:r w:rsidRPr="00BB147D">
              <w:rPr>
                <w:rFonts w:eastAsia="Andale Sans UI" w:cs="Times New Roman"/>
                <w:sz w:val="20"/>
                <w:szCs w:val="20"/>
                <w:lang w:val="en-US" w:bidi="en-US"/>
              </w:rPr>
              <w:t>X Imprese non classificate</w:t>
            </w:r>
          </w:p>
        </w:tc>
        <w:tc>
          <w:tcPr>
            <w:tcW w:w="1260" w:type="dxa"/>
            <w:shd w:val="clear" w:color="auto" w:fill="auto"/>
            <w:tcMar>
              <w:left w:w="-10" w:type="dxa"/>
            </w:tcMar>
            <w:vAlign w:val="center"/>
          </w:tcPr>
          <w:p w14:paraId="02894D18"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1.203</w:t>
            </w:r>
          </w:p>
        </w:tc>
        <w:tc>
          <w:tcPr>
            <w:tcW w:w="741" w:type="dxa"/>
            <w:shd w:val="clear" w:color="auto" w:fill="auto"/>
            <w:tcMar>
              <w:left w:w="-10" w:type="dxa"/>
            </w:tcMar>
            <w:vAlign w:val="center"/>
          </w:tcPr>
          <w:p w14:paraId="685F4006"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5,1%</w:t>
            </w:r>
          </w:p>
        </w:tc>
        <w:tc>
          <w:tcPr>
            <w:tcW w:w="254" w:type="dxa"/>
            <w:shd w:val="clear" w:color="auto" w:fill="auto"/>
            <w:vAlign w:val="center"/>
          </w:tcPr>
          <w:p w14:paraId="292809C3"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000B57AF"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85.733</w:t>
            </w:r>
          </w:p>
        </w:tc>
        <w:tc>
          <w:tcPr>
            <w:tcW w:w="832" w:type="dxa"/>
            <w:shd w:val="clear" w:color="auto" w:fill="auto"/>
            <w:tcMar>
              <w:left w:w="-10" w:type="dxa"/>
            </w:tcMar>
          </w:tcPr>
          <w:p w14:paraId="4E2F7FE2"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6,4%</w:t>
            </w:r>
          </w:p>
        </w:tc>
      </w:tr>
      <w:tr w:rsidR="00CD1294" w:rsidRPr="00BB147D" w14:paraId="3577D07E" w14:textId="77777777" w:rsidTr="003730A0">
        <w:trPr>
          <w:trHeight w:val="231"/>
          <w:jc w:val="center"/>
        </w:trPr>
        <w:tc>
          <w:tcPr>
            <w:tcW w:w="4539" w:type="dxa"/>
            <w:shd w:val="clear" w:color="auto" w:fill="auto"/>
            <w:tcMar>
              <w:left w:w="-10" w:type="dxa"/>
            </w:tcMar>
            <w:vAlign w:val="center"/>
          </w:tcPr>
          <w:p w14:paraId="1F4FEFA3" w14:textId="77777777" w:rsidR="00CD1294" w:rsidRPr="00BB147D" w:rsidRDefault="00CD1294" w:rsidP="0047755C">
            <w:pPr>
              <w:widowControl w:val="0"/>
              <w:spacing w:before="0" w:after="0" w:line="231" w:lineRule="exact"/>
              <w:ind w:left="40"/>
              <w:jc w:val="left"/>
              <w:rPr>
                <w:rFonts w:eastAsia="Andale Sans UI" w:cs="Times New Roman"/>
                <w:sz w:val="20"/>
                <w:szCs w:val="20"/>
                <w:lang w:val="en-US" w:bidi="en-US"/>
              </w:rPr>
            </w:pPr>
            <w:r w:rsidRPr="00BB147D">
              <w:rPr>
                <w:rFonts w:eastAsia="Andale Sans UI" w:cs="Times New Roman"/>
                <w:sz w:val="20"/>
                <w:szCs w:val="20"/>
                <w:lang w:val="en-US" w:bidi="en-US"/>
              </w:rPr>
              <w:t>TOTALE</w:t>
            </w:r>
          </w:p>
        </w:tc>
        <w:tc>
          <w:tcPr>
            <w:tcW w:w="1260" w:type="dxa"/>
            <w:shd w:val="clear" w:color="auto" w:fill="auto"/>
            <w:tcMar>
              <w:left w:w="-10" w:type="dxa"/>
            </w:tcMar>
            <w:vAlign w:val="center"/>
          </w:tcPr>
          <w:p w14:paraId="58A90E37"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23.500</w:t>
            </w:r>
          </w:p>
        </w:tc>
        <w:tc>
          <w:tcPr>
            <w:tcW w:w="741" w:type="dxa"/>
            <w:shd w:val="clear" w:color="auto" w:fill="auto"/>
            <w:tcMar>
              <w:left w:w="-10" w:type="dxa"/>
            </w:tcMar>
            <w:vAlign w:val="center"/>
          </w:tcPr>
          <w:p w14:paraId="68933130"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sidRPr="00BB147D">
              <w:rPr>
                <w:rFonts w:cs="Times New Roman"/>
                <w:sz w:val="20"/>
                <w:szCs w:val="20"/>
              </w:rPr>
              <w:t>100,0%</w:t>
            </w:r>
          </w:p>
        </w:tc>
        <w:tc>
          <w:tcPr>
            <w:tcW w:w="254" w:type="dxa"/>
            <w:shd w:val="clear" w:color="auto" w:fill="auto"/>
            <w:vAlign w:val="center"/>
          </w:tcPr>
          <w:p w14:paraId="71D2FD23"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89" w:type="dxa"/>
            <w:shd w:val="clear" w:color="auto" w:fill="auto"/>
            <w:tcMar>
              <w:left w:w="-10" w:type="dxa"/>
            </w:tcMar>
            <w:vAlign w:val="center"/>
          </w:tcPr>
          <w:p w14:paraId="46462DD6"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BB147D">
              <w:rPr>
                <w:rFonts w:eastAsia="Andale Sans UI" w:cs="Times New Roman"/>
                <w:sz w:val="20"/>
                <w:szCs w:val="20"/>
                <w:lang w:val="en-US" w:bidi="en-US"/>
              </w:rPr>
              <w:t>1.331.367</w:t>
            </w:r>
          </w:p>
        </w:tc>
        <w:tc>
          <w:tcPr>
            <w:tcW w:w="832" w:type="dxa"/>
            <w:shd w:val="clear" w:color="auto" w:fill="auto"/>
            <w:tcMar>
              <w:left w:w="-10" w:type="dxa"/>
            </w:tcMar>
          </w:tcPr>
          <w:p w14:paraId="0D5949FB"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100,0%</w:t>
            </w:r>
          </w:p>
        </w:tc>
      </w:tr>
    </w:tbl>
    <w:p w14:paraId="50862EFD" w14:textId="77777777" w:rsidR="00CD1294" w:rsidRPr="00C5324D" w:rsidRDefault="00CD1294" w:rsidP="00CD1294">
      <w:pPr>
        <w:widowControl w:val="0"/>
        <w:spacing w:before="0" w:after="0"/>
        <w:ind w:firstLine="708"/>
        <w:jc w:val="left"/>
        <w:rPr>
          <w:rFonts w:eastAsia="Times New Roman" w:cs="Times New Roman"/>
          <w:i/>
          <w:color w:val="000000"/>
          <w:sz w:val="16"/>
          <w:szCs w:val="24"/>
          <w:lang w:bidi="en-US"/>
        </w:rPr>
      </w:pPr>
      <w:r w:rsidRPr="00C5324D">
        <w:rPr>
          <w:rFonts w:eastAsia="Times New Roman" w:cs="Times New Roman"/>
          <w:i/>
          <w:color w:val="000000"/>
          <w:sz w:val="16"/>
          <w:szCs w:val="24"/>
          <w:lang w:bidi="en-US"/>
        </w:rPr>
        <w:t>Fonte: Elaborazione Unioncamere Umbria su dati Infocamere</w:t>
      </w:r>
      <w:r>
        <w:rPr>
          <w:rFonts w:eastAsia="Times New Roman" w:cs="Times New Roman"/>
          <w:i/>
          <w:color w:val="000000"/>
          <w:sz w:val="16"/>
          <w:szCs w:val="24"/>
          <w:lang w:bidi="en-US"/>
        </w:rPr>
        <w:t xml:space="preserve"> 2017</w:t>
      </w:r>
    </w:p>
    <w:p w14:paraId="2329D1EA" w14:textId="1781FF8C" w:rsidR="00EC78EE" w:rsidRDefault="00EC78EE">
      <w:pPr>
        <w:spacing w:before="0" w:after="160" w:line="259" w:lineRule="auto"/>
        <w:jc w:val="left"/>
        <w:rPr>
          <w:rFonts w:eastAsia="Times New Roman" w:cs="Times New Roman"/>
          <w:i/>
          <w:color w:val="000000"/>
          <w:sz w:val="16"/>
          <w:szCs w:val="24"/>
          <w:lang w:bidi="en-US"/>
        </w:rPr>
      </w:pPr>
      <w:r>
        <w:rPr>
          <w:rFonts w:eastAsia="Times New Roman" w:cs="Times New Roman"/>
          <w:i/>
          <w:color w:val="000000"/>
          <w:sz w:val="16"/>
          <w:szCs w:val="24"/>
          <w:lang w:bidi="en-US"/>
        </w:rPr>
        <w:br w:type="page"/>
      </w:r>
    </w:p>
    <w:p w14:paraId="71354BCA" w14:textId="77777777" w:rsidR="00CD1294" w:rsidRPr="00C5324D" w:rsidRDefault="00CD1294" w:rsidP="00CD1294">
      <w:pPr>
        <w:widowControl w:val="0"/>
        <w:spacing w:before="0" w:after="0"/>
        <w:jc w:val="left"/>
        <w:rPr>
          <w:rFonts w:eastAsia="Times New Roman" w:cs="Times New Roman"/>
          <w:i/>
          <w:color w:val="000000"/>
          <w:sz w:val="16"/>
          <w:szCs w:val="24"/>
          <w:lang w:bidi="en-US"/>
        </w:rPr>
      </w:pPr>
    </w:p>
    <w:p w14:paraId="0F600A4B" w14:textId="31D93718" w:rsidR="00CD1294" w:rsidRDefault="00CD1294" w:rsidP="00EC78EE">
      <w:pPr>
        <w:pStyle w:val="Titolotabella"/>
      </w:pPr>
      <w:r>
        <w:t>Tab</w:t>
      </w:r>
      <w:r w:rsidR="00EC78EE">
        <w:t>ella</w:t>
      </w:r>
      <w:r>
        <w:t xml:space="preserve"> </w:t>
      </w:r>
      <w:r w:rsidR="00EC78EE">
        <w:t>8</w:t>
      </w:r>
      <w:r>
        <w:t xml:space="preserve"> - </w:t>
      </w:r>
      <w:r w:rsidRPr="00735455">
        <w:t xml:space="preserve">Imprese </w:t>
      </w:r>
      <w:r>
        <w:t>giova</w:t>
      </w:r>
      <w:r w:rsidRPr="00735455">
        <w:t>nili per settore</w:t>
      </w:r>
      <w:r>
        <w:t xml:space="preserve"> di attività in Umbria e Italia (</w:t>
      </w:r>
      <w:r w:rsidRPr="00735455">
        <w:t>201</w:t>
      </w:r>
      <w:r>
        <w:t>7</w:t>
      </w:r>
      <w:r w:rsidRPr="00735455">
        <w:t>)</w:t>
      </w:r>
    </w:p>
    <w:tbl>
      <w:tblPr>
        <w:tblW w:w="9015"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0" w:type="dxa"/>
          <w:right w:w="0" w:type="dxa"/>
        </w:tblCellMar>
        <w:tblLook w:val="0000" w:firstRow="0" w:lastRow="0" w:firstColumn="0" w:lastColumn="0" w:noHBand="0" w:noVBand="0"/>
      </w:tblPr>
      <w:tblGrid>
        <w:gridCol w:w="4342"/>
        <w:gridCol w:w="1232"/>
        <w:gridCol w:w="733"/>
        <w:gridCol w:w="527"/>
        <w:gridCol w:w="1361"/>
        <w:gridCol w:w="820"/>
      </w:tblGrid>
      <w:tr w:rsidR="00CD1294" w:rsidRPr="00BB147D" w14:paraId="3668DD73" w14:textId="77777777" w:rsidTr="00EC78EE">
        <w:trPr>
          <w:trHeight w:val="251"/>
          <w:jc w:val="center"/>
        </w:trPr>
        <w:tc>
          <w:tcPr>
            <w:tcW w:w="4342" w:type="dxa"/>
            <w:vMerge w:val="restart"/>
            <w:shd w:val="clear" w:color="auto" w:fill="1F4E79" w:themeFill="accent1" w:themeFillShade="80"/>
            <w:tcMar>
              <w:left w:w="-10" w:type="dxa"/>
            </w:tcMar>
            <w:vAlign w:val="center"/>
          </w:tcPr>
          <w:p w14:paraId="7277A155" w14:textId="77777777" w:rsidR="00CD1294" w:rsidRPr="00EC78EE" w:rsidRDefault="00CD1294" w:rsidP="0047755C">
            <w:pPr>
              <w:widowControl w:val="0"/>
              <w:snapToGrid w:val="0"/>
              <w:spacing w:before="0" w:after="0"/>
              <w:jc w:val="center"/>
              <w:rPr>
                <w:rFonts w:eastAsia="Andale Sans UI" w:cs="Times New Roman"/>
                <w:b/>
                <w:color w:val="FFFFFF" w:themeColor="background1"/>
                <w:sz w:val="20"/>
                <w:szCs w:val="20"/>
                <w:lang w:bidi="en-US"/>
              </w:rPr>
            </w:pPr>
            <w:r w:rsidRPr="00EC78EE">
              <w:rPr>
                <w:rFonts w:eastAsia="Andale Sans UI" w:cs="Times New Roman"/>
                <w:b/>
                <w:color w:val="FFFFFF" w:themeColor="background1"/>
                <w:sz w:val="20"/>
                <w:szCs w:val="20"/>
                <w:lang w:bidi="en-US"/>
              </w:rPr>
              <w:t>Settore ATECO</w:t>
            </w:r>
          </w:p>
        </w:tc>
        <w:tc>
          <w:tcPr>
            <w:tcW w:w="1965" w:type="dxa"/>
            <w:gridSpan w:val="2"/>
            <w:shd w:val="clear" w:color="auto" w:fill="1F4E79" w:themeFill="accent1" w:themeFillShade="80"/>
            <w:tcMar>
              <w:left w:w="-10" w:type="dxa"/>
            </w:tcMar>
            <w:vAlign w:val="center"/>
          </w:tcPr>
          <w:p w14:paraId="72751BA8" w14:textId="77777777" w:rsidR="00CD1294" w:rsidRPr="00EC78EE" w:rsidRDefault="00CD1294" w:rsidP="0047755C">
            <w:pPr>
              <w:widowControl w:val="0"/>
              <w:spacing w:before="0" w:after="0"/>
              <w:ind w:left="560"/>
              <w:jc w:val="center"/>
              <w:rPr>
                <w:rFonts w:eastAsia="Andale Sans UI" w:cs="Times New Roman"/>
                <w:b/>
                <w:color w:val="FFFFFF" w:themeColor="background1"/>
                <w:sz w:val="20"/>
                <w:szCs w:val="20"/>
                <w:lang w:val="en-US" w:bidi="en-US"/>
              </w:rPr>
            </w:pPr>
            <w:r w:rsidRPr="00EC78EE">
              <w:rPr>
                <w:rFonts w:eastAsia="Andale Sans UI" w:cs="Times New Roman"/>
                <w:b/>
                <w:color w:val="FFFFFF" w:themeColor="background1"/>
                <w:sz w:val="20"/>
                <w:szCs w:val="20"/>
                <w:lang w:val="en-US" w:bidi="en-US"/>
              </w:rPr>
              <w:t>UMBRIA</w:t>
            </w:r>
          </w:p>
        </w:tc>
        <w:tc>
          <w:tcPr>
            <w:tcW w:w="527" w:type="dxa"/>
            <w:shd w:val="clear" w:color="auto" w:fill="1F4E79" w:themeFill="accent1" w:themeFillShade="80"/>
            <w:vAlign w:val="center"/>
          </w:tcPr>
          <w:p w14:paraId="11B2FDE3" w14:textId="77777777" w:rsidR="00CD1294" w:rsidRPr="00EC78EE" w:rsidRDefault="00CD1294" w:rsidP="0047755C">
            <w:pPr>
              <w:widowControl w:val="0"/>
              <w:snapToGrid w:val="0"/>
              <w:spacing w:before="0" w:after="0"/>
              <w:jc w:val="left"/>
              <w:rPr>
                <w:rFonts w:eastAsia="Andale Sans UI" w:cs="Times New Roman"/>
                <w:b/>
                <w:color w:val="FFFFFF" w:themeColor="background1"/>
                <w:sz w:val="20"/>
                <w:szCs w:val="20"/>
                <w:lang w:val="en-US" w:bidi="en-US"/>
              </w:rPr>
            </w:pPr>
          </w:p>
        </w:tc>
        <w:tc>
          <w:tcPr>
            <w:tcW w:w="2181" w:type="dxa"/>
            <w:gridSpan w:val="2"/>
            <w:shd w:val="clear" w:color="auto" w:fill="1F4E79" w:themeFill="accent1" w:themeFillShade="80"/>
            <w:tcMar>
              <w:left w:w="-10" w:type="dxa"/>
            </w:tcMar>
            <w:vAlign w:val="center"/>
          </w:tcPr>
          <w:p w14:paraId="1AC298B3" w14:textId="77777777" w:rsidR="00CD1294" w:rsidRPr="00EC78EE" w:rsidRDefault="00CD1294" w:rsidP="0047755C">
            <w:pPr>
              <w:widowControl w:val="0"/>
              <w:spacing w:before="0" w:after="0"/>
              <w:ind w:right="124"/>
              <w:jc w:val="center"/>
              <w:rPr>
                <w:rFonts w:eastAsia="Andale Sans UI" w:cs="Times New Roman"/>
                <w:b/>
                <w:color w:val="FFFFFF" w:themeColor="background1"/>
                <w:sz w:val="20"/>
                <w:szCs w:val="20"/>
                <w:lang w:val="en-US" w:bidi="en-US"/>
              </w:rPr>
            </w:pPr>
            <w:r w:rsidRPr="00EC78EE">
              <w:rPr>
                <w:rFonts w:eastAsia="Andale Sans UI" w:cs="Times New Roman"/>
                <w:b/>
                <w:color w:val="FFFFFF" w:themeColor="background1"/>
                <w:sz w:val="20"/>
                <w:szCs w:val="20"/>
                <w:lang w:val="en-US" w:bidi="en-US"/>
              </w:rPr>
              <w:t>ITALIA</w:t>
            </w:r>
          </w:p>
        </w:tc>
      </w:tr>
      <w:tr w:rsidR="00CD1294" w:rsidRPr="00BB147D" w14:paraId="35A9952C" w14:textId="77777777" w:rsidTr="00EC78EE">
        <w:trPr>
          <w:trHeight w:val="232"/>
          <w:jc w:val="center"/>
        </w:trPr>
        <w:tc>
          <w:tcPr>
            <w:tcW w:w="4342" w:type="dxa"/>
            <w:vMerge/>
            <w:shd w:val="clear" w:color="auto" w:fill="1F4E79" w:themeFill="accent1" w:themeFillShade="80"/>
            <w:tcMar>
              <w:left w:w="-10" w:type="dxa"/>
            </w:tcMar>
            <w:vAlign w:val="center"/>
          </w:tcPr>
          <w:p w14:paraId="7004571F" w14:textId="77777777" w:rsidR="00CD1294" w:rsidRPr="00EC78EE" w:rsidRDefault="00CD1294" w:rsidP="0047755C">
            <w:pPr>
              <w:widowControl w:val="0"/>
              <w:snapToGrid w:val="0"/>
              <w:spacing w:before="0" w:after="0"/>
              <w:jc w:val="left"/>
              <w:rPr>
                <w:rFonts w:eastAsia="Andale Sans UI" w:cs="Times New Roman"/>
                <w:b/>
                <w:color w:val="FFFFFF" w:themeColor="background1"/>
                <w:sz w:val="20"/>
                <w:szCs w:val="20"/>
                <w:lang w:val="en-US" w:bidi="en-US"/>
              </w:rPr>
            </w:pPr>
          </w:p>
        </w:tc>
        <w:tc>
          <w:tcPr>
            <w:tcW w:w="1232" w:type="dxa"/>
            <w:shd w:val="clear" w:color="auto" w:fill="1F4E79" w:themeFill="accent1" w:themeFillShade="80"/>
            <w:tcMar>
              <w:left w:w="-10" w:type="dxa"/>
            </w:tcMar>
            <w:vAlign w:val="center"/>
          </w:tcPr>
          <w:p w14:paraId="718F3200" w14:textId="77777777" w:rsidR="00CD1294" w:rsidRPr="00EC78EE" w:rsidRDefault="00CD1294" w:rsidP="0047755C">
            <w:pPr>
              <w:widowControl w:val="0"/>
              <w:spacing w:before="0" w:after="0"/>
              <w:jc w:val="center"/>
              <w:rPr>
                <w:rFonts w:eastAsia="Andale Sans UI" w:cs="Times New Roman"/>
                <w:b/>
                <w:color w:val="FFFFFF" w:themeColor="background1"/>
                <w:sz w:val="20"/>
                <w:szCs w:val="20"/>
                <w:lang w:val="en-US" w:bidi="en-US"/>
              </w:rPr>
            </w:pPr>
            <w:r w:rsidRPr="00EC78EE">
              <w:rPr>
                <w:rFonts w:eastAsia="Andale Sans UI" w:cs="Times New Roman"/>
                <w:b/>
                <w:color w:val="FFFFFF" w:themeColor="background1"/>
                <w:sz w:val="20"/>
                <w:szCs w:val="20"/>
                <w:lang w:val="en-US" w:bidi="en-US"/>
              </w:rPr>
              <w:t>Val. ass.</w:t>
            </w:r>
          </w:p>
        </w:tc>
        <w:tc>
          <w:tcPr>
            <w:tcW w:w="733" w:type="dxa"/>
            <w:shd w:val="clear" w:color="auto" w:fill="1F4E79" w:themeFill="accent1" w:themeFillShade="80"/>
            <w:tcMar>
              <w:left w:w="-10" w:type="dxa"/>
            </w:tcMar>
            <w:vAlign w:val="center"/>
          </w:tcPr>
          <w:p w14:paraId="1D7E2004" w14:textId="3FBDFFE6" w:rsidR="00CD1294" w:rsidRPr="00EC78EE" w:rsidRDefault="00EC78EE" w:rsidP="0047755C">
            <w:pPr>
              <w:widowControl w:val="0"/>
              <w:snapToGrid w:val="0"/>
              <w:spacing w:before="0" w:after="0"/>
              <w:jc w:val="center"/>
              <w:rPr>
                <w:rFonts w:eastAsia="Andale Sans UI" w:cs="Times New Roman"/>
                <w:b/>
                <w:color w:val="FFFFFF" w:themeColor="background1"/>
                <w:sz w:val="20"/>
                <w:szCs w:val="20"/>
                <w:lang w:val="en-US" w:bidi="en-US"/>
              </w:rPr>
            </w:pPr>
            <w:r>
              <w:rPr>
                <w:rFonts w:eastAsia="Andale Sans UI" w:cs="Times New Roman"/>
                <w:b/>
                <w:color w:val="FFFFFF" w:themeColor="background1"/>
                <w:sz w:val="20"/>
                <w:szCs w:val="20"/>
                <w:lang w:val="en-US" w:bidi="en-US"/>
              </w:rPr>
              <w:t>%</w:t>
            </w:r>
          </w:p>
        </w:tc>
        <w:tc>
          <w:tcPr>
            <w:tcW w:w="527" w:type="dxa"/>
            <w:shd w:val="clear" w:color="auto" w:fill="1F4E79" w:themeFill="accent1" w:themeFillShade="80"/>
            <w:vAlign w:val="center"/>
          </w:tcPr>
          <w:p w14:paraId="0A9EF03B" w14:textId="77777777" w:rsidR="00CD1294" w:rsidRPr="00EC78EE" w:rsidRDefault="00CD1294" w:rsidP="0047755C">
            <w:pPr>
              <w:widowControl w:val="0"/>
              <w:spacing w:before="0" w:after="0"/>
              <w:rPr>
                <w:rFonts w:eastAsia="Andale Sans UI" w:cs="Times New Roman"/>
                <w:b/>
                <w:color w:val="FFFFFF" w:themeColor="background1"/>
                <w:sz w:val="20"/>
                <w:szCs w:val="20"/>
                <w:lang w:val="en-US" w:bidi="en-US"/>
              </w:rPr>
            </w:pPr>
          </w:p>
        </w:tc>
        <w:tc>
          <w:tcPr>
            <w:tcW w:w="1361" w:type="dxa"/>
            <w:shd w:val="clear" w:color="auto" w:fill="1F4E79" w:themeFill="accent1" w:themeFillShade="80"/>
            <w:tcMar>
              <w:left w:w="-10" w:type="dxa"/>
            </w:tcMar>
            <w:vAlign w:val="center"/>
          </w:tcPr>
          <w:p w14:paraId="0E72B272" w14:textId="77777777" w:rsidR="00CD1294" w:rsidRPr="00EC78EE" w:rsidRDefault="00CD1294" w:rsidP="0047755C">
            <w:pPr>
              <w:widowControl w:val="0"/>
              <w:spacing w:before="0" w:after="0"/>
              <w:jc w:val="center"/>
              <w:rPr>
                <w:rFonts w:eastAsia="Andale Sans UI" w:cs="Times New Roman"/>
                <w:b/>
                <w:color w:val="FFFFFF" w:themeColor="background1"/>
                <w:sz w:val="20"/>
                <w:szCs w:val="20"/>
                <w:lang w:bidi="en-US"/>
              </w:rPr>
            </w:pPr>
            <w:r w:rsidRPr="00EC78EE">
              <w:rPr>
                <w:rFonts w:eastAsia="Andale Sans UI" w:cs="Times New Roman"/>
                <w:b/>
                <w:color w:val="FFFFFF" w:themeColor="background1"/>
                <w:sz w:val="20"/>
                <w:szCs w:val="20"/>
                <w:lang w:bidi="en-US"/>
              </w:rPr>
              <w:t>Val. Ass.</w:t>
            </w:r>
          </w:p>
        </w:tc>
        <w:tc>
          <w:tcPr>
            <w:tcW w:w="820" w:type="dxa"/>
            <w:shd w:val="clear" w:color="auto" w:fill="1F4E79" w:themeFill="accent1" w:themeFillShade="80"/>
            <w:tcMar>
              <w:left w:w="-10" w:type="dxa"/>
            </w:tcMar>
            <w:vAlign w:val="center"/>
          </w:tcPr>
          <w:p w14:paraId="61347CEE" w14:textId="77777777" w:rsidR="00CD1294" w:rsidRPr="00EC78EE" w:rsidRDefault="00CD1294" w:rsidP="0047755C">
            <w:pPr>
              <w:widowControl w:val="0"/>
              <w:spacing w:before="0" w:after="0"/>
              <w:jc w:val="center"/>
              <w:rPr>
                <w:rFonts w:eastAsia="Andale Sans UI" w:cs="Times New Roman"/>
                <w:b/>
                <w:color w:val="FFFFFF" w:themeColor="background1"/>
                <w:sz w:val="20"/>
                <w:szCs w:val="20"/>
                <w:lang w:bidi="en-US"/>
              </w:rPr>
            </w:pPr>
            <w:r w:rsidRPr="00EC78EE">
              <w:rPr>
                <w:rFonts w:eastAsia="Andale Sans UI" w:cs="Times New Roman"/>
                <w:b/>
                <w:color w:val="FFFFFF" w:themeColor="background1"/>
                <w:sz w:val="20"/>
                <w:szCs w:val="20"/>
                <w:lang w:bidi="en-US"/>
              </w:rPr>
              <w:t>%</w:t>
            </w:r>
          </w:p>
        </w:tc>
      </w:tr>
      <w:tr w:rsidR="00CD1294" w:rsidRPr="00BB147D" w14:paraId="1EDBAEBA" w14:textId="77777777" w:rsidTr="003730A0">
        <w:trPr>
          <w:trHeight w:val="231"/>
          <w:jc w:val="center"/>
        </w:trPr>
        <w:tc>
          <w:tcPr>
            <w:tcW w:w="4342" w:type="dxa"/>
            <w:shd w:val="clear" w:color="auto" w:fill="auto"/>
            <w:tcMar>
              <w:left w:w="-10" w:type="dxa"/>
            </w:tcMar>
            <w:vAlign w:val="center"/>
          </w:tcPr>
          <w:p w14:paraId="45CC833D" w14:textId="77777777" w:rsidR="00CD1294" w:rsidRPr="00BB147D" w:rsidRDefault="00CD1294" w:rsidP="0047755C">
            <w:pPr>
              <w:widowControl w:val="0"/>
              <w:spacing w:before="0" w:after="0" w:line="231" w:lineRule="exact"/>
              <w:ind w:left="40"/>
              <w:jc w:val="left"/>
              <w:rPr>
                <w:rFonts w:eastAsia="Andale Sans UI" w:cs="Times New Roman"/>
                <w:sz w:val="20"/>
                <w:szCs w:val="20"/>
                <w:lang w:bidi="en-US"/>
              </w:rPr>
            </w:pPr>
            <w:r w:rsidRPr="00BB147D">
              <w:rPr>
                <w:rFonts w:eastAsia="Andale Sans UI" w:cs="Times New Roman"/>
                <w:sz w:val="20"/>
                <w:szCs w:val="20"/>
                <w:lang w:bidi="en-US"/>
              </w:rPr>
              <w:t>A Agricoltura, silvicoltura pesca</w:t>
            </w:r>
          </w:p>
        </w:tc>
        <w:tc>
          <w:tcPr>
            <w:tcW w:w="1232" w:type="dxa"/>
            <w:shd w:val="clear" w:color="auto" w:fill="auto"/>
            <w:tcMar>
              <w:left w:w="-10" w:type="dxa"/>
            </w:tcMar>
            <w:vAlign w:val="center"/>
          </w:tcPr>
          <w:p w14:paraId="51D39539"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bidi="en-US"/>
              </w:rPr>
            </w:pPr>
            <w:r>
              <w:rPr>
                <w:rFonts w:eastAsia="Andale Sans UI" w:cs="Times New Roman"/>
                <w:sz w:val="20"/>
                <w:szCs w:val="20"/>
                <w:lang w:bidi="en-US"/>
              </w:rPr>
              <w:t>1.322</w:t>
            </w:r>
          </w:p>
        </w:tc>
        <w:tc>
          <w:tcPr>
            <w:tcW w:w="733" w:type="dxa"/>
            <w:shd w:val="clear" w:color="auto" w:fill="auto"/>
            <w:tcMar>
              <w:left w:w="-10" w:type="dxa"/>
            </w:tcMar>
            <w:vAlign w:val="center"/>
          </w:tcPr>
          <w:p w14:paraId="3D109249"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bidi="en-US"/>
              </w:rPr>
            </w:pPr>
          </w:p>
        </w:tc>
        <w:tc>
          <w:tcPr>
            <w:tcW w:w="527" w:type="dxa"/>
            <w:shd w:val="clear" w:color="auto" w:fill="auto"/>
            <w:vAlign w:val="center"/>
          </w:tcPr>
          <w:p w14:paraId="3FC8C78C" w14:textId="77777777" w:rsidR="00CD1294" w:rsidRPr="00BB147D" w:rsidRDefault="00CD1294" w:rsidP="0047755C">
            <w:pPr>
              <w:widowControl w:val="0"/>
              <w:spacing w:before="0" w:after="0" w:line="231" w:lineRule="exact"/>
              <w:jc w:val="right"/>
              <w:rPr>
                <w:rFonts w:eastAsia="Andale Sans UI" w:cs="Times New Roman"/>
                <w:sz w:val="20"/>
                <w:szCs w:val="20"/>
                <w:lang w:bidi="en-US"/>
              </w:rPr>
            </w:pPr>
            <w:r>
              <w:rPr>
                <w:rFonts w:eastAsia="Andale Sans UI" w:cs="Times New Roman"/>
                <w:sz w:val="20"/>
                <w:szCs w:val="20"/>
                <w:lang w:bidi="en-US"/>
              </w:rPr>
              <w:t>15,9%</w:t>
            </w:r>
          </w:p>
        </w:tc>
        <w:tc>
          <w:tcPr>
            <w:tcW w:w="1361" w:type="dxa"/>
            <w:shd w:val="clear" w:color="auto" w:fill="auto"/>
            <w:tcMar>
              <w:left w:w="-10" w:type="dxa"/>
            </w:tcMar>
            <w:vAlign w:val="center"/>
          </w:tcPr>
          <w:p w14:paraId="149C1536"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bidi="en-US"/>
              </w:rPr>
            </w:pPr>
            <w:r>
              <w:rPr>
                <w:rFonts w:eastAsia="Andale Sans UI" w:cs="Times New Roman"/>
                <w:sz w:val="20"/>
                <w:szCs w:val="20"/>
                <w:lang w:bidi="en-US"/>
              </w:rPr>
              <w:t>55.331</w:t>
            </w:r>
          </w:p>
        </w:tc>
        <w:tc>
          <w:tcPr>
            <w:tcW w:w="820" w:type="dxa"/>
            <w:shd w:val="clear" w:color="auto" w:fill="auto"/>
            <w:tcMar>
              <w:left w:w="-10" w:type="dxa"/>
            </w:tcMar>
          </w:tcPr>
          <w:p w14:paraId="42E679CE" w14:textId="77777777" w:rsidR="00CD1294" w:rsidRPr="00BB147D" w:rsidRDefault="00CD1294" w:rsidP="0047755C">
            <w:pPr>
              <w:widowControl w:val="0"/>
              <w:spacing w:before="0" w:after="0" w:line="231" w:lineRule="exact"/>
              <w:jc w:val="right"/>
              <w:rPr>
                <w:rFonts w:eastAsia="Andale Sans UI" w:cs="Times New Roman"/>
                <w:sz w:val="20"/>
                <w:szCs w:val="20"/>
                <w:lang w:bidi="en-US"/>
              </w:rPr>
            </w:pPr>
            <w:r>
              <w:rPr>
                <w:rFonts w:eastAsia="Andale Sans UI" w:cs="Times New Roman"/>
                <w:sz w:val="20"/>
                <w:szCs w:val="20"/>
                <w:lang w:bidi="en-US"/>
              </w:rPr>
              <w:t>9,3%</w:t>
            </w:r>
          </w:p>
        </w:tc>
      </w:tr>
      <w:tr w:rsidR="00CD1294" w:rsidRPr="00BB147D" w14:paraId="3616EFAC" w14:textId="77777777" w:rsidTr="003730A0">
        <w:trPr>
          <w:trHeight w:val="233"/>
          <w:jc w:val="center"/>
        </w:trPr>
        <w:tc>
          <w:tcPr>
            <w:tcW w:w="4342" w:type="dxa"/>
            <w:shd w:val="clear" w:color="auto" w:fill="auto"/>
            <w:tcMar>
              <w:left w:w="-10" w:type="dxa"/>
            </w:tcMar>
            <w:vAlign w:val="center"/>
          </w:tcPr>
          <w:p w14:paraId="6CCAD5B5"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B Estrazione di minerali da cave e miniere</w:t>
            </w:r>
          </w:p>
        </w:tc>
        <w:tc>
          <w:tcPr>
            <w:tcW w:w="1232" w:type="dxa"/>
            <w:shd w:val="clear" w:color="auto" w:fill="auto"/>
            <w:tcMar>
              <w:left w:w="-10" w:type="dxa"/>
            </w:tcMar>
            <w:vAlign w:val="center"/>
          </w:tcPr>
          <w:p w14:paraId="3C756D2D" w14:textId="77777777" w:rsidR="00CD1294" w:rsidRPr="00BB147D"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2</w:t>
            </w:r>
          </w:p>
        </w:tc>
        <w:tc>
          <w:tcPr>
            <w:tcW w:w="733" w:type="dxa"/>
            <w:shd w:val="clear" w:color="auto" w:fill="auto"/>
            <w:tcMar>
              <w:left w:w="-10" w:type="dxa"/>
            </w:tcMar>
            <w:vAlign w:val="center"/>
          </w:tcPr>
          <w:p w14:paraId="7FEA2AE4" w14:textId="77777777" w:rsidR="00CD1294" w:rsidRPr="00BB147D" w:rsidRDefault="00CD1294" w:rsidP="0047755C">
            <w:pPr>
              <w:widowControl w:val="0"/>
              <w:spacing w:before="0" w:after="0"/>
              <w:ind w:left="57" w:right="57"/>
              <w:jc w:val="right"/>
              <w:rPr>
                <w:rFonts w:eastAsia="Andale Sans UI" w:cs="Times New Roman"/>
                <w:sz w:val="20"/>
                <w:szCs w:val="20"/>
                <w:lang w:bidi="en-US"/>
              </w:rPr>
            </w:pPr>
          </w:p>
        </w:tc>
        <w:tc>
          <w:tcPr>
            <w:tcW w:w="527" w:type="dxa"/>
            <w:shd w:val="clear" w:color="auto" w:fill="auto"/>
            <w:vAlign w:val="center"/>
          </w:tcPr>
          <w:p w14:paraId="557C5AF9" w14:textId="77777777" w:rsidR="00CD1294" w:rsidRPr="00BB147D" w:rsidRDefault="00CD1294" w:rsidP="0047755C">
            <w:pPr>
              <w:widowControl w:val="0"/>
              <w:spacing w:before="0" w:after="0" w:line="231" w:lineRule="exact"/>
              <w:jc w:val="right"/>
              <w:rPr>
                <w:rFonts w:eastAsia="Andale Sans UI" w:cs="Times New Roman"/>
                <w:sz w:val="20"/>
                <w:szCs w:val="20"/>
                <w:lang w:bidi="en-US"/>
              </w:rPr>
            </w:pPr>
            <w:r>
              <w:rPr>
                <w:rFonts w:eastAsia="Andale Sans UI" w:cs="Times New Roman"/>
                <w:sz w:val="20"/>
                <w:szCs w:val="20"/>
                <w:lang w:bidi="en-US"/>
              </w:rPr>
              <w:t>0,0%</w:t>
            </w:r>
          </w:p>
        </w:tc>
        <w:tc>
          <w:tcPr>
            <w:tcW w:w="1361" w:type="dxa"/>
            <w:shd w:val="clear" w:color="auto" w:fill="auto"/>
            <w:tcMar>
              <w:left w:w="-10" w:type="dxa"/>
            </w:tcMar>
            <w:vAlign w:val="center"/>
          </w:tcPr>
          <w:p w14:paraId="1EBADCE6"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bidi="en-US"/>
              </w:rPr>
            </w:pPr>
            <w:r>
              <w:rPr>
                <w:rFonts w:eastAsia="Andale Sans UI" w:cs="Times New Roman"/>
                <w:sz w:val="20"/>
                <w:szCs w:val="20"/>
                <w:lang w:bidi="en-US"/>
              </w:rPr>
              <w:t>67</w:t>
            </w:r>
          </w:p>
        </w:tc>
        <w:tc>
          <w:tcPr>
            <w:tcW w:w="820" w:type="dxa"/>
            <w:shd w:val="clear" w:color="auto" w:fill="auto"/>
            <w:tcMar>
              <w:left w:w="-10" w:type="dxa"/>
            </w:tcMar>
          </w:tcPr>
          <w:p w14:paraId="01B92040" w14:textId="77777777" w:rsidR="00CD1294" w:rsidRPr="00BB147D" w:rsidRDefault="00CD1294" w:rsidP="0047755C">
            <w:pPr>
              <w:widowControl w:val="0"/>
              <w:spacing w:before="0" w:after="0" w:line="231" w:lineRule="exact"/>
              <w:jc w:val="right"/>
              <w:rPr>
                <w:rFonts w:eastAsia="Andale Sans UI" w:cs="Times New Roman"/>
                <w:sz w:val="20"/>
                <w:szCs w:val="20"/>
                <w:lang w:bidi="en-US"/>
              </w:rPr>
            </w:pPr>
            <w:r>
              <w:rPr>
                <w:rFonts w:eastAsia="Andale Sans UI" w:cs="Times New Roman"/>
                <w:sz w:val="20"/>
                <w:szCs w:val="20"/>
                <w:lang w:bidi="en-US"/>
              </w:rPr>
              <w:t>0,0%</w:t>
            </w:r>
          </w:p>
        </w:tc>
      </w:tr>
      <w:tr w:rsidR="00CD1294" w:rsidRPr="00BB147D" w14:paraId="2FEDA5DE" w14:textId="77777777" w:rsidTr="003730A0">
        <w:trPr>
          <w:trHeight w:val="230"/>
          <w:jc w:val="center"/>
        </w:trPr>
        <w:tc>
          <w:tcPr>
            <w:tcW w:w="4342" w:type="dxa"/>
            <w:shd w:val="clear" w:color="auto" w:fill="auto"/>
            <w:tcMar>
              <w:left w:w="-10" w:type="dxa"/>
            </w:tcMar>
            <w:vAlign w:val="center"/>
          </w:tcPr>
          <w:p w14:paraId="28F56AB6" w14:textId="77777777" w:rsidR="00CD1294" w:rsidRPr="00BB147D" w:rsidRDefault="00CD1294" w:rsidP="0047755C">
            <w:pPr>
              <w:widowControl w:val="0"/>
              <w:spacing w:before="0" w:after="0" w:line="231" w:lineRule="exact"/>
              <w:ind w:left="40"/>
              <w:jc w:val="left"/>
              <w:rPr>
                <w:rFonts w:eastAsia="Andale Sans UI" w:cs="Times New Roman"/>
                <w:sz w:val="20"/>
                <w:szCs w:val="20"/>
                <w:lang w:val="en-US" w:bidi="en-US"/>
              </w:rPr>
            </w:pPr>
            <w:r w:rsidRPr="00BB147D">
              <w:rPr>
                <w:rFonts w:eastAsia="Andale Sans UI" w:cs="Times New Roman"/>
                <w:sz w:val="20"/>
                <w:szCs w:val="20"/>
                <w:lang w:bidi="en-US"/>
              </w:rPr>
              <w:t xml:space="preserve">C </w:t>
            </w:r>
            <w:r w:rsidRPr="00BB147D">
              <w:rPr>
                <w:rFonts w:eastAsia="Andale Sans UI" w:cs="Times New Roman"/>
                <w:sz w:val="20"/>
                <w:szCs w:val="20"/>
                <w:lang w:val="en-US" w:bidi="en-US"/>
              </w:rPr>
              <w:t>Attività manifatturiere</w:t>
            </w:r>
          </w:p>
        </w:tc>
        <w:tc>
          <w:tcPr>
            <w:tcW w:w="1232" w:type="dxa"/>
            <w:shd w:val="clear" w:color="auto" w:fill="auto"/>
            <w:tcMar>
              <w:left w:w="-10" w:type="dxa"/>
            </w:tcMar>
            <w:vAlign w:val="center"/>
          </w:tcPr>
          <w:p w14:paraId="6A0B8EB3"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520</w:t>
            </w:r>
          </w:p>
        </w:tc>
        <w:tc>
          <w:tcPr>
            <w:tcW w:w="733" w:type="dxa"/>
            <w:shd w:val="clear" w:color="auto" w:fill="auto"/>
            <w:tcMar>
              <w:left w:w="-10" w:type="dxa"/>
            </w:tcMar>
            <w:vAlign w:val="center"/>
          </w:tcPr>
          <w:p w14:paraId="586E46E9"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p>
        </w:tc>
        <w:tc>
          <w:tcPr>
            <w:tcW w:w="527" w:type="dxa"/>
            <w:shd w:val="clear" w:color="auto" w:fill="auto"/>
            <w:vAlign w:val="center"/>
          </w:tcPr>
          <w:p w14:paraId="19A34957"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6,3%</w:t>
            </w:r>
          </w:p>
        </w:tc>
        <w:tc>
          <w:tcPr>
            <w:tcW w:w="1361" w:type="dxa"/>
            <w:shd w:val="clear" w:color="auto" w:fill="auto"/>
            <w:tcMar>
              <w:left w:w="-10" w:type="dxa"/>
            </w:tcMar>
            <w:vAlign w:val="center"/>
          </w:tcPr>
          <w:p w14:paraId="28414947"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33.382</w:t>
            </w:r>
          </w:p>
        </w:tc>
        <w:tc>
          <w:tcPr>
            <w:tcW w:w="820" w:type="dxa"/>
            <w:shd w:val="clear" w:color="auto" w:fill="auto"/>
            <w:tcMar>
              <w:left w:w="-10" w:type="dxa"/>
            </w:tcMar>
          </w:tcPr>
          <w:p w14:paraId="6BA4E4E2"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5,6%</w:t>
            </w:r>
          </w:p>
        </w:tc>
      </w:tr>
      <w:tr w:rsidR="00CD1294" w:rsidRPr="00BB147D" w14:paraId="7E75C7FE" w14:textId="77777777" w:rsidTr="003730A0">
        <w:trPr>
          <w:trHeight w:val="232"/>
          <w:jc w:val="center"/>
        </w:trPr>
        <w:tc>
          <w:tcPr>
            <w:tcW w:w="4342" w:type="dxa"/>
            <w:shd w:val="clear" w:color="auto" w:fill="auto"/>
            <w:tcMar>
              <w:left w:w="-10" w:type="dxa"/>
            </w:tcMar>
            <w:vAlign w:val="center"/>
          </w:tcPr>
          <w:p w14:paraId="4B01018D"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D Fornitura di energia elettrica, gas,</w:t>
            </w:r>
          </w:p>
        </w:tc>
        <w:tc>
          <w:tcPr>
            <w:tcW w:w="1232" w:type="dxa"/>
            <w:shd w:val="clear" w:color="auto" w:fill="auto"/>
            <w:tcMar>
              <w:left w:w="-10" w:type="dxa"/>
            </w:tcMar>
            <w:vAlign w:val="center"/>
          </w:tcPr>
          <w:p w14:paraId="00A55824"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11</w:t>
            </w:r>
          </w:p>
        </w:tc>
        <w:tc>
          <w:tcPr>
            <w:tcW w:w="733" w:type="dxa"/>
            <w:shd w:val="clear" w:color="auto" w:fill="auto"/>
            <w:tcMar>
              <w:left w:w="-10" w:type="dxa"/>
            </w:tcMar>
            <w:vAlign w:val="center"/>
          </w:tcPr>
          <w:p w14:paraId="62330F5A"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p>
        </w:tc>
        <w:tc>
          <w:tcPr>
            <w:tcW w:w="527" w:type="dxa"/>
            <w:shd w:val="clear" w:color="auto" w:fill="auto"/>
            <w:vAlign w:val="center"/>
          </w:tcPr>
          <w:p w14:paraId="5BE0EB54" w14:textId="77777777" w:rsidR="00CD1294" w:rsidRPr="00666E99" w:rsidRDefault="00CD1294" w:rsidP="0047755C">
            <w:pPr>
              <w:widowControl w:val="0"/>
              <w:spacing w:before="0" w:after="0" w:line="231" w:lineRule="exact"/>
              <w:jc w:val="right"/>
              <w:rPr>
                <w:rFonts w:eastAsia="Andale Sans UI" w:cs="Times New Roman"/>
                <w:sz w:val="20"/>
                <w:szCs w:val="20"/>
                <w:lang w:bidi="en-US"/>
              </w:rPr>
            </w:pPr>
            <w:r>
              <w:rPr>
                <w:rFonts w:eastAsia="Andale Sans UI" w:cs="Times New Roman"/>
                <w:sz w:val="20"/>
                <w:szCs w:val="20"/>
                <w:lang w:bidi="en-US"/>
              </w:rPr>
              <w:t>0,1%</w:t>
            </w:r>
          </w:p>
        </w:tc>
        <w:tc>
          <w:tcPr>
            <w:tcW w:w="1361" w:type="dxa"/>
            <w:shd w:val="clear" w:color="auto" w:fill="auto"/>
            <w:tcMar>
              <w:left w:w="-10" w:type="dxa"/>
            </w:tcMar>
            <w:vAlign w:val="center"/>
          </w:tcPr>
          <w:p w14:paraId="5EB0CF94"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547</w:t>
            </w:r>
          </w:p>
        </w:tc>
        <w:tc>
          <w:tcPr>
            <w:tcW w:w="820" w:type="dxa"/>
            <w:shd w:val="clear" w:color="auto" w:fill="auto"/>
            <w:tcMar>
              <w:left w:w="-10" w:type="dxa"/>
            </w:tcMar>
          </w:tcPr>
          <w:p w14:paraId="40184758"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0,1%</w:t>
            </w:r>
          </w:p>
        </w:tc>
      </w:tr>
      <w:tr w:rsidR="00CD1294" w:rsidRPr="00BB147D" w14:paraId="49B44471" w14:textId="77777777" w:rsidTr="003730A0">
        <w:trPr>
          <w:trHeight w:val="232"/>
          <w:jc w:val="center"/>
        </w:trPr>
        <w:tc>
          <w:tcPr>
            <w:tcW w:w="4342" w:type="dxa"/>
            <w:shd w:val="clear" w:color="auto" w:fill="auto"/>
            <w:tcMar>
              <w:left w:w="-10" w:type="dxa"/>
            </w:tcMar>
            <w:vAlign w:val="center"/>
          </w:tcPr>
          <w:p w14:paraId="078650FD"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E Fornitura di acqua; reti fognarie, etc.</w:t>
            </w:r>
          </w:p>
        </w:tc>
        <w:tc>
          <w:tcPr>
            <w:tcW w:w="1232" w:type="dxa"/>
            <w:shd w:val="clear" w:color="auto" w:fill="auto"/>
            <w:tcMar>
              <w:left w:w="-10" w:type="dxa"/>
            </w:tcMar>
            <w:vAlign w:val="center"/>
          </w:tcPr>
          <w:p w14:paraId="46DDBB2C"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5</w:t>
            </w:r>
          </w:p>
        </w:tc>
        <w:tc>
          <w:tcPr>
            <w:tcW w:w="733" w:type="dxa"/>
            <w:shd w:val="clear" w:color="auto" w:fill="auto"/>
            <w:tcMar>
              <w:left w:w="-10" w:type="dxa"/>
            </w:tcMar>
            <w:vAlign w:val="center"/>
          </w:tcPr>
          <w:p w14:paraId="436268D7"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p>
        </w:tc>
        <w:tc>
          <w:tcPr>
            <w:tcW w:w="527" w:type="dxa"/>
            <w:shd w:val="clear" w:color="auto" w:fill="auto"/>
            <w:vAlign w:val="center"/>
          </w:tcPr>
          <w:p w14:paraId="315CE27D" w14:textId="77777777" w:rsidR="00CD1294" w:rsidRPr="00666E99" w:rsidRDefault="00CD1294" w:rsidP="0047755C">
            <w:pPr>
              <w:widowControl w:val="0"/>
              <w:spacing w:before="0" w:after="0" w:line="231" w:lineRule="exact"/>
              <w:jc w:val="right"/>
              <w:rPr>
                <w:rFonts w:eastAsia="Andale Sans UI" w:cs="Times New Roman"/>
                <w:sz w:val="20"/>
                <w:szCs w:val="20"/>
                <w:lang w:bidi="en-US"/>
              </w:rPr>
            </w:pPr>
            <w:r>
              <w:rPr>
                <w:rFonts w:eastAsia="Andale Sans UI" w:cs="Times New Roman"/>
                <w:sz w:val="20"/>
                <w:szCs w:val="20"/>
                <w:lang w:bidi="en-US"/>
              </w:rPr>
              <w:t>0,1%</w:t>
            </w:r>
          </w:p>
        </w:tc>
        <w:tc>
          <w:tcPr>
            <w:tcW w:w="1361" w:type="dxa"/>
            <w:shd w:val="clear" w:color="auto" w:fill="auto"/>
            <w:tcMar>
              <w:left w:w="-10" w:type="dxa"/>
            </w:tcMar>
            <w:vAlign w:val="center"/>
          </w:tcPr>
          <w:p w14:paraId="53699BD8"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700</w:t>
            </w:r>
          </w:p>
        </w:tc>
        <w:tc>
          <w:tcPr>
            <w:tcW w:w="820" w:type="dxa"/>
            <w:shd w:val="clear" w:color="auto" w:fill="auto"/>
            <w:tcMar>
              <w:left w:w="-10" w:type="dxa"/>
            </w:tcMar>
          </w:tcPr>
          <w:p w14:paraId="158C7D6C"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0,1%</w:t>
            </w:r>
          </w:p>
        </w:tc>
      </w:tr>
      <w:tr w:rsidR="00CD1294" w:rsidRPr="00BB147D" w14:paraId="192707CC" w14:textId="77777777" w:rsidTr="003730A0">
        <w:trPr>
          <w:trHeight w:val="232"/>
          <w:jc w:val="center"/>
        </w:trPr>
        <w:tc>
          <w:tcPr>
            <w:tcW w:w="4342" w:type="dxa"/>
            <w:shd w:val="clear" w:color="auto" w:fill="auto"/>
            <w:tcMar>
              <w:left w:w="-10" w:type="dxa"/>
            </w:tcMar>
            <w:vAlign w:val="center"/>
          </w:tcPr>
          <w:p w14:paraId="23B28356"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val="en-US" w:bidi="en-US"/>
              </w:rPr>
              <w:t>F Costruzioni</w:t>
            </w:r>
          </w:p>
        </w:tc>
        <w:tc>
          <w:tcPr>
            <w:tcW w:w="1232" w:type="dxa"/>
            <w:shd w:val="clear" w:color="auto" w:fill="auto"/>
            <w:tcMar>
              <w:left w:w="-10" w:type="dxa"/>
            </w:tcMar>
            <w:vAlign w:val="center"/>
          </w:tcPr>
          <w:p w14:paraId="12653D62" w14:textId="77777777" w:rsidR="00CD1294"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1.009</w:t>
            </w:r>
          </w:p>
        </w:tc>
        <w:tc>
          <w:tcPr>
            <w:tcW w:w="733" w:type="dxa"/>
            <w:shd w:val="clear" w:color="auto" w:fill="auto"/>
            <w:tcMar>
              <w:left w:w="-10" w:type="dxa"/>
            </w:tcMar>
            <w:vAlign w:val="center"/>
          </w:tcPr>
          <w:p w14:paraId="50F0827C"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p>
        </w:tc>
        <w:tc>
          <w:tcPr>
            <w:tcW w:w="527" w:type="dxa"/>
            <w:shd w:val="clear" w:color="auto" w:fill="auto"/>
            <w:vAlign w:val="center"/>
          </w:tcPr>
          <w:p w14:paraId="35CABD7E" w14:textId="77777777" w:rsidR="00CD1294" w:rsidRDefault="00CD1294" w:rsidP="0047755C">
            <w:pPr>
              <w:widowControl w:val="0"/>
              <w:spacing w:before="0" w:after="0" w:line="231" w:lineRule="exact"/>
              <w:jc w:val="right"/>
              <w:rPr>
                <w:rFonts w:eastAsia="Andale Sans UI" w:cs="Times New Roman"/>
                <w:sz w:val="20"/>
                <w:szCs w:val="20"/>
                <w:lang w:bidi="en-US"/>
              </w:rPr>
            </w:pPr>
            <w:r>
              <w:rPr>
                <w:rFonts w:eastAsia="Andale Sans UI" w:cs="Times New Roman"/>
                <w:sz w:val="20"/>
                <w:szCs w:val="20"/>
                <w:lang w:bidi="en-US"/>
              </w:rPr>
              <w:t>12,1%</w:t>
            </w:r>
          </w:p>
        </w:tc>
        <w:tc>
          <w:tcPr>
            <w:tcW w:w="1361" w:type="dxa"/>
            <w:shd w:val="clear" w:color="auto" w:fill="auto"/>
            <w:tcMar>
              <w:left w:w="-10" w:type="dxa"/>
            </w:tcMar>
            <w:vAlign w:val="center"/>
          </w:tcPr>
          <w:p w14:paraId="3DD45A93" w14:textId="77777777" w:rsidR="00CD1294"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78.122</w:t>
            </w:r>
          </w:p>
        </w:tc>
        <w:tc>
          <w:tcPr>
            <w:tcW w:w="820" w:type="dxa"/>
            <w:shd w:val="clear" w:color="auto" w:fill="auto"/>
            <w:tcMar>
              <w:left w:w="-10" w:type="dxa"/>
            </w:tcMar>
          </w:tcPr>
          <w:p w14:paraId="16A37E0A" w14:textId="77777777" w:rsidR="00CD1294"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13,2</w:t>
            </w:r>
          </w:p>
        </w:tc>
      </w:tr>
      <w:tr w:rsidR="00CD1294" w:rsidRPr="00BB147D" w14:paraId="61490F85" w14:textId="77777777" w:rsidTr="003730A0">
        <w:trPr>
          <w:trHeight w:val="233"/>
          <w:jc w:val="center"/>
        </w:trPr>
        <w:tc>
          <w:tcPr>
            <w:tcW w:w="4342" w:type="dxa"/>
            <w:shd w:val="clear" w:color="auto" w:fill="auto"/>
            <w:tcMar>
              <w:left w:w="-10" w:type="dxa"/>
            </w:tcMar>
            <w:vAlign w:val="center"/>
          </w:tcPr>
          <w:p w14:paraId="0962DF80"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G Commercio all'ingrosso e al dettaglio; ripar.</w:t>
            </w:r>
          </w:p>
        </w:tc>
        <w:tc>
          <w:tcPr>
            <w:tcW w:w="1232" w:type="dxa"/>
            <w:shd w:val="clear" w:color="auto" w:fill="auto"/>
            <w:tcMar>
              <w:left w:w="-10" w:type="dxa"/>
            </w:tcMar>
            <w:vAlign w:val="center"/>
          </w:tcPr>
          <w:p w14:paraId="3124E26E"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2.289</w:t>
            </w:r>
          </w:p>
        </w:tc>
        <w:tc>
          <w:tcPr>
            <w:tcW w:w="733" w:type="dxa"/>
            <w:shd w:val="clear" w:color="auto" w:fill="auto"/>
            <w:tcMar>
              <w:left w:w="-10" w:type="dxa"/>
            </w:tcMar>
            <w:vAlign w:val="center"/>
          </w:tcPr>
          <w:p w14:paraId="6F0F60E3"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27,5%</w:t>
            </w:r>
          </w:p>
        </w:tc>
        <w:tc>
          <w:tcPr>
            <w:tcW w:w="527" w:type="dxa"/>
            <w:shd w:val="clear" w:color="auto" w:fill="auto"/>
            <w:vAlign w:val="center"/>
          </w:tcPr>
          <w:p w14:paraId="3C04D6E2" w14:textId="77777777" w:rsidR="00CD1294" w:rsidRPr="00666E99" w:rsidRDefault="00CD1294" w:rsidP="0047755C">
            <w:pPr>
              <w:widowControl w:val="0"/>
              <w:spacing w:before="0" w:after="0" w:line="231" w:lineRule="exact"/>
              <w:jc w:val="right"/>
              <w:rPr>
                <w:rFonts w:eastAsia="Andale Sans UI" w:cs="Times New Roman"/>
                <w:sz w:val="20"/>
                <w:szCs w:val="20"/>
                <w:lang w:bidi="en-US"/>
              </w:rPr>
            </w:pPr>
          </w:p>
        </w:tc>
        <w:tc>
          <w:tcPr>
            <w:tcW w:w="1361" w:type="dxa"/>
            <w:shd w:val="clear" w:color="auto" w:fill="auto"/>
            <w:tcMar>
              <w:left w:w="-10" w:type="dxa"/>
            </w:tcMar>
            <w:vAlign w:val="center"/>
          </w:tcPr>
          <w:p w14:paraId="20B45DAB" w14:textId="77777777" w:rsidR="00CD1294" w:rsidRPr="00726ED0" w:rsidRDefault="00CD1294" w:rsidP="0047755C">
            <w:pPr>
              <w:widowControl w:val="0"/>
              <w:spacing w:before="0" w:after="0" w:line="231" w:lineRule="exact"/>
              <w:ind w:left="57" w:right="57"/>
              <w:jc w:val="right"/>
              <w:rPr>
                <w:rFonts w:eastAsia="Andale Sans UI" w:cs="Times New Roman"/>
                <w:sz w:val="20"/>
                <w:szCs w:val="20"/>
                <w:lang w:bidi="en-US"/>
              </w:rPr>
            </w:pPr>
            <w:r>
              <w:rPr>
                <w:rFonts w:eastAsia="Andale Sans UI" w:cs="Times New Roman"/>
                <w:sz w:val="20"/>
                <w:szCs w:val="20"/>
                <w:lang w:bidi="en-US"/>
              </w:rPr>
              <w:t>165.964</w:t>
            </w:r>
          </w:p>
        </w:tc>
        <w:tc>
          <w:tcPr>
            <w:tcW w:w="820" w:type="dxa"/>
            <w:shd w:val="clear" w:color="auto" w:fill="auto"/>
            <w:tcMar>
              <w:left w:w="-10" w:type="dxa"/>
            </w:tcMar>
          </w:tcPr>
          <w:p w14:paraId="427A1A20" w14:textId="77777777" w:rsidR="00CD1294" w:rsidRPr="00726ED0" w:rsidRDefault="00CD1294" w:rsidP="0047755C">
            <w:pPr>
              <w:widowControl w:val="0"/>
              <w:spacing w:before="0" w:after="0" w:line="231" w:lineRule="exact"/>
              <w:jc w:val="right"/>
              <w:rPr>
                <w:rFonts w:eastAsia="Andale Sans UI" w:cs="Times New Roman"/>
                <w:sz w:val="20"/>
                <w:szCs w:val="20"/>
                <w:lang w:bidi="en-US"/>
              </w:rPr>
            </w:pPr>
            <w:r>
              <w:rPr>
                <w:rFonts w:eastAsia="Andale Sans UI" w:cs="Times New Roman"/>
                <w:sz w:val="20"/>
                <w:szCs w:val="20"/>
                <w:lang w:bidi="en-US"/>
              </w:rPr>
              <w:t>28,0%</w:t>
            </w:r>
          </w:p>
        </w:tc>
      </w:tr>
      <w:tr w:rsidR="00CD1294" w:rsidRPr="00BB147D" w14:paraId="192F3952" w14:textId="77777777" w:rsidTr="003730A0">
        <w:trPr>
          <w:trHeight w:val="230"/>
          <w:jc w:val="center"/>
        </w:trPr>
        <w:tc>
          <w:tcPr>
            <w:tcW w:w="4342" w:type="dxa"/>
            <w:shd w:val="clear" w:color="auto" w:fill="auto"/>
            <w:tcMar>
              <w:left w:w="-10" w:type="dxa"/>
            </w:tcMar>
            <w:vAlign w:val="center"/>
          </w:tcPr>
          <w:p w14:paraId="4AE54F9C" w14:textId="77777777" w:rsidR="00CD1294" w:rsidRPr="00BB147D" w:rsidRDefault="00CD1294" w:rsidP="0047755C">
            <w:pPr>
              <w:widowControl w:val="0"/>
              <w:spacing w:before="0" w:after="0" w:line="231" w:lineRule="exact"/>
              <w:ind w:left="40"/>
              <w:jc w:val="left"/>
              <w:rPr>
                <w:rFonts w:eastAsia="Andale Sans UI" w:cs="Times New Roman"/>
                <w:sz w:val="20"/>
                <w:szCs w:val="20"/>
                <w:lang w:val="en-US" w:bidi="en-US"/>
              </w:rPr>
            </w:pPr>
            <w:r w:rsidRPr="00BB147D">
              <w:rPr>
                <w:rFonts w:eastAsia="Andale Sans UI" w:cs="Times New Roman"/>
                <w:sz w:val="20"/>
                <w:szCs w:val="20"/>
                <w:lang w:val="en-US" w:bidi="en-US"/>
              </w:rPr>
              <w:t>H Trasporto e magazzinaggio</w:t>
            </w:r>
          </w:p>
        </w:tc>
        <w:tc>
          <w:tcPr>
            <w:tcW w:w="1232" w:type="dxa"/>
            <w:shd w:val="clear" w:color="auto" w:fill="auto"/>
            <w:tcMar>
              <w:left w:w="-10" w:type="dxa"/>
            </w:tcMar>
            <w:vAlign w:val="center"/>
          </w:tcPr>
          <w:p w14:paraId="5A2BFBE5"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109</w:t>
            </w:r>
          </w:p>
        </w:tc>
        <w:tc>
          <w:tcPr>
            <w:tcW w:w="733" w:type="dxa"/>
            <w:shd w:val="clear" w:color="auto" w:fill="auto"/>
            <w:tcMar>
              <w:left w:w="-10" w:type="dxa"/>
            </w:tcMar>
            <w:vAlign w:val="center"/>
          </w:tcPr>
          <w:p w14:paraId="646B736E"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Pr>
                <w:rFonts w:eastAsia="Andale Sans UI" w:cs="Times New Roman"/>
                <w:sz w:val="20"/>
                <w:szCs w:val="20"/>
                <w:lang w:val="en-US" w:bidi="en-US"/>
              </w:rPr>
              <w:t>1,3%</w:t>
            </w:r>
          </w:p>
        </w:tc>
        <w:tc>
          <w:tcPr>
            <w:tcW w:w="527" w:type="dxa"/>
            <w:shd w:val="clear" w:color="auto" w:fill="auto"/>
            <w:vAlign w:val="center"/>
          </w:tcPr>
          <w:p w14:paraId="09382ABE"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61" w:type="dxa"/>
            <w:shd w:val="clear" w:color="auto" w:fill="auto"/>
            <w:tcMar>
              <w:left w:w="-10" w:type="dxa"/>
            </w:tcMar>
            <w:vAlign w:val="center"/>
          </w:tcPr>
          <w:p w14:paraId="4ACC5E17"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11.602</w:t>
            </w:r>
          </w:p>
        </w:tc>
        <w:tc>
          <w:tcPr>
            <w:tcW w:w="820" w:type="dxa"/>
            <w:shd w:val="clear" w:color="auto" w:fill="auto"/>
            <w:tcMar>
              <w:left w:w="-10" w:type="dxa"/>
            </w:tcMar>
          </w:tcPr>
          <w:p w14:paraId="1D42727F"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2,0%</w:t>
            </w:r>
          </w:p>
        </w:tc>
      </w:tr>
      <w:tr w:rsidR="00CD1294" w:rsidRPr="00BB147D" w14:paraId="08045D11" w14:textId="77777777" w:rsidTr="003730A0">
        <w:trPr>
          <w:trHeight w:val="232"/>
          <w:jc w:val="center"/>
        </w:trPr>
        <w:tc>
          <w:tcPr>
            <w:tcW w:w="4342" w:type="dxa"/>
            <w:shd w:val="clear" w:color="auto" w:fill="auto"/>
            <w:tcMar>
              <w:left w:w="-10" w:type="dxa"/>
            </w:tcMar>
            <w:vAlign w:val="center"/>
          </w:tcPr>
          <w:p w14:paraId="43B6C7B2"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I Attività dei servizi di alloggio e di ristorazione</w:t>
            </w:r>
          </w:p>
        </w:tc>
        <w:tc>
          <w:tcPr>
            <w:tcW w:w="1232" w:type="dxa"/>
            <w:shd w:val="clear" w:color="auto" w:fill="auto"/>
            <w:tcMar>
              <w:left w:w="-10" w:type="dxa"/>
            </w:tcMar>
            <w:vAlign w:val="center"/>
          </w:tcPr>
          <w:p w14:paraId="5617C763"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801</w:t>
            </w:r>
          </w:p>
        </w:tc>
        <w:tc>
          <w:tcPr>
            <w:tcW w:w="733" w:type="dxa"/>
            <w:shd w:val="clear" w:color="auto" w:fill="auto"/>
            <w:tcMar>
              <w:left w:w="-10" w:type="dxa"/>
            </w:tcMar>
            <w:vAlign w:val="center"/>
          </w:tcPr>
          <w:p w14:paraId="694904FE"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9,6%</w:t>
            </w:r>
          </w:p>
        </w:tc>
        <w:tc>
          <w:tcPr>
            <w:tcW w:w="527" w:type="dxa"/>
            <w:shd w:val="clear" w:color="auto" w:fill="auto"/>
            <w:vAlign w:val="center"/>
          </w:tcPr>
          <w:p w14:paraId="315170EC" w14:textId="77777777" w:rsidR="00CD1294" w:rsidRPr="00666E99" w:rsidRDefault="00CD1294" w:rsidP="0047755C">
            <w:pPr>
              <w:widowControl w:val="0"/>
              <w:spacing w:before="0" w:after="0" w:line="231" w:lineRule="exact"/>
              <w:jc w:val="right"/>
              <w:rPr>
                <w:rFonts w:eastAsia="Andale Sans UI" w:cs="Times New Roman"/>
                <w:sz w:val="20"/>
                <w:szCs w:val="20"/>
                <w:lang w:bidi="en-US"/>
              </w:rPr>
            </w:pPr>
          </w:p>
        </w:tc>
        <w:tc>
          <w:tcPr>
            <w:tcW w:w="1361" w:type="dxa"/>
            <w:shd w:val="clear" w:color="auto" w:fill="auto"/>
            <w:tcMar>
              <w:left w:w="-10" w:type="dxa"/>
            </w:tcMar>
            <w:vAlign w:val="center"/>
          </w:tcPr>
          <w:p w14:paraId="1C65CFC0"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62.587</w:t>
            </w:r>
          </w:p>
        </w:tc>
        <w:tc>
          <w:tcPr>
            <w:tcW w:w="820" w:type="dxa"/>
            <w:shd w:val="clear" w:color="auto" w:fill="auto"/>
            <w:tcMar>
              <w:left w:w="-10" w:type="dxa"/>
            </w:tcMar>
          </w:tcPr>
          <w:p w14:paraId="08DFAD34"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10,6%</w:t>
            </w:r>
          </w:p>
        </w:tc>
      </w:tr>
      <w:tr w:rsidR="00CD1294" w:rsidRPr="00BB147D" w14:paraId="5EE8B045" w14:textId="77777777" w:rsidTr="003730A0">
        <w:trPr>
          <w:trHeight w:val="231"/>
          <w:jc w:val="center"/>
        </w:trPr>
        <w:tc>
          <w:tcPr>
            <w:tcW w:w="4342" w:type="dxa"/>
            <w:shd w:val="clear" w:color="auto" w:fill="auto"/>
            <w:tcMar>
              <w:left w:w="-10" w:type="dxa"/>
            </w:tcMar>
            <w:vAlign w:val="center"/>
          </w:tcPr>
          <w:p w14:paraId="2A72F8FE" w14:textId="77777777" w:rsidR="00CD1294" w:rsidRPr="00BB147D" w:rsidRDefault="00CD1294" w:rsidP="0047755C">
            <w:pPr>
              <w:widowControl w:val="0"/>
              <w:spacing w:before="0" w:after="0" w:line="231" w:lineRule="exact"/>
              <w:ind w:left="40"/>
              <w:jc w:val="left"/>
              <w:rPr>
                <w:rFonts w:eastAsia="Andale Sans UI" w:cs="Times New Roman"/>
                <w:sz w:val="20"/>
                <w:szCs w:val="20"/>
                <w:lang w:bidi="en-US"/>
              </w:rPr>
            </w:pPr>
            <w:r w:rsidRPr="00BB147D">
              <w:rPr>
                <w:rFonts w:eastAsia="Andale Sans UI" w:cs="Times New Roman"/>
                <w:sz w:val="20"/>
                <w:szCs w:val="20"/>
                <w:lang w:bidi="en-US"/>
              </w:rPr>
              <w:t>J Servizi di informazione e comunicazione</w:t>
            </w:r>
          </w:p>
        </w:tc>
        <w:tc>
          <w:tcPr>
            <w:tcW w:w="1232" w:type="dxa"/>
            <w:shd w:val="clear" w:color="auto" w:fill="auto"/>
            <w:tcMar>
              <w:left w:w="-10" w:type="dxa"/>
            </w:tcMar>
            <w:vAlign w:val="center"/>
          </w:tcPr>
          <w:p w14:paraId="17C6FB5F" w14:textId="77777777" w:rsidR="00CD1294" w:rsidRPr="00666E99" w:rsidRDefault="00CD1294" w:rsidP="0047755C">
            <w:pPr>
              <w:widowControl w:val="0"/>
              <w:spacing w:before="0" w:after="0" w:line="231" w:lineRule="exact"/>
              <w:ind w:left="57" w:right="57"/>
              <w:jc w:val="right"/>
              <w:rPr>
                <w:rFonts w:eastAsia="Andale Sans UI" w:cs="Times New Roman"/>
                <w:sz w:val="20"/>
                <w:szCs w:val="20"/>
                <w:lang w:bidi="en-US"/>
              </w:rPr>
            </w:pPr>
            <w:r>
              <w:rPr>
                <w:rFonts w:eastAsia="Andale Sans UI" w:cs="Times New Roman"/>
                <w:sz w:val="20"/>
                <w:szCs w:val="20"/>
                <w:lang w:bidi="en-US"/>
              </w:rPr>
              <w:t>136</w:t>
            </w:r>
          </w:p>
        </w:tc>
        <w:tc>
          <w:tcPr>
            <w:tcW w:w="733" w:type="dxa"/>
            <w:shd w:val="clear" w:color="auto" w:fill="auto"/>
            <w:tcMar>
              <w:left w:w="-10" w:type="dxa"/>
            </w:tcMar>
            <w:vAlign w:val="center"/>
          </w:tcPr>
          <w:p w14:paraId="47A62FD9"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p>
        </w:tc>
        <w:tc>
          <w:tcPr>
            <w:tcW w:w="527" w:type="dxa"/>
            <w:shd w:val="clear" w:color="auto" w:fill="auto"/>
            <w:vAlign w:val="center"/>
          </w:tcPr>
          <w:p w14:paraId="4D86647C" w14:textId="77777777" w:rsidR="00CD1294" w:rsidRPr="00666E99" w:rsidRDefault="00CD1294" w:rsidP="0047755C">
            <w:pPr>
              <w:widowControl w:val="0"/>
              <w:spacing w:before="0" w:after="0" w:line="231" w:lineRule="exact"/>
              <w:jc w:val="right"/>
              <w:rPr>
                <w:rFonts w:eastAsia="Andale Sans UI" w:cs="Times New Roman"/>
                <w:sz w:val="20"/>
                <w:szCs w:val="20"/>
                <w:lang w:bidi="en-US"/>
              </w:rPr>
            </w:pPr>
            <w:r>
              <w:rPr>
                <w:rFonts w:eastAsia="Andale Sans UI" w:cs="Times New Roman"/>
                <w:sz w:val="20"/>
                <w:szCs w:val="20"/>
                <w:lang w:bidi="en-US"/>
              </w:rPr>
              <w:t>1,6%</w:t>
            </w:r>
          </w:p>
        </w:tc>
        <w:tc>
          <w:tcPr>
            <w:tcW w:w="1361" w:type="dxa"/>
            <w:shd w:val="clear" w:color="auto" w:fill="auto"/>
            <w:tcMar>
              <w:left w:w="-10" w:type="dxa"/>
            </w:tcMar>
            <w:vAlign w:val="center"/>
          </w:tcPr>
          <w:p w14:paraId="37C9BBEB"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12.807</w:t>
            </w:r>
          </w:p>
        </w:tc>
        <w:tc>
          <w:tcPr>
            <w:tcW w:w="820" w:type="dxa"/>
            <w:shd w:val="clear" w:color="auto" w:fill="auto"/>
            <w:tcMar>
              <w:left w:w="-10" w:type="dxa"/>
            </w:tcMar>
          </w:tcPr>
          <w:p w14:paraId="513AFC2A"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2,2%</w:t>
            </w:r>
          </w:p>
        </w:tc>
      </w:tr>
      <w:tr w:rsidR="00CD1294" w:rsidRPr="00BB147D" w14:paraId="4583DD2C" w14:textId="77777777" w:rsidTr="003730A0">
        <w:trPr>
          <w:trHeight w:val="232"/>
          <w:jc w:val="center"/>
        </w:trPr>
        <w:tc>
          <w:tcPr>
            <w:tcW w:w="4342" w:type="dxa"/>
            <w:shd w:val="clear" w:color="auto" w:fill="auto"/>
            <w:tcMar>
              <w:left w:w="-10" w:type="dxa"/>
            </w:tcMar>
            <w:vAlign w:val="center"/>
          </w:tcPr>
          <w:p w14:paraId="1FBF3F2E"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K Attività finanziarie e assicurative</w:t>
            </w:r>
          </w:p>
        </w:tc>
        <w:tc>
          <w:tcPr>
            <w:tcW w:w="1232" w:type="dxa"/>
            <w:shd w:val="clear" w:color="auto" w:fill="auto"/>
            <w:tcMar>
              <w:left w:w="-10" w:type="dxa"/>
            </w:tcMar>
            <w:vAlign w:val="center"/>
          </w:tcPr>
          <w:p w14:paraId="06E781B6"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248</w:t>
            </w:r>
          </w:p>
        </w:tc>
        <w:tc>
          <w:tcPr>
            <w:tcW w:w="733" w:type="dxa"/>
            <w:shd w:val="clear" w:color="auto" w:fill="auto"/>
            <w:tcMar>
              <w:left w:w="-10" w:type="dxa"/>
            </w:tcMar>
            <w:vAlign w:val="center"/>
          </w:tcPr>
          <w:p w14:paraId="7A67C6DB"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p>
        </w:tc>
        <w:tc>
          <w:tcPr>
            <w:tcW w:w="527" w:type="dxa"/>
            <w:shd w:val="clear" w:color="auto" w:fill="auto"/>
            <w:vAlign w:val="center"/>
          </w:tcPr>
          <w:p w14:paraId="7A44B20C" w14:textId="77777777" w:rsidR="00CD1294" w:rsidRPr="00666E99" w:rsidRDefault="00CD1294" w:rsidP="0047755C">
            <w:pPr>
              <w:widowControl w:val="0"/>
              <w:spacing w:before="0" w:after="0" w:line="231" w:lineRule="exact"/>
              <w:jc w:val="right"/>
              <w:rPr>
                <w:rFonts w:eastAsia="Andale Sans UI" w:cs="Times New Roman"/>
                <w:sz w:val="20"/>
                <w:szCs w:val="20"/>
                <w:lang w:bidi="en-US"/>
              </w:rPr>
            </w:pPr>
            <w:r>
              <w:rPr>
                <w:rFonts w:eastAsia="Andale Sans UI" w:cs="Times New Roman"/>
                <w:sz w:val="20"/>
                <w:szCs w:val="20"/>
                <w:lang w:bidi="en-US"/>
              </w:rPr>
              <w:t>3,0%</w:t>
            </w:r>
          </w:p>
        </w:tc>
        <w:tc>
          <w:tcPr>
            <w:tcW w:w="1361" w:type="dxa"/>
            <w:shd w:val="clear" w:color="auto" w:fill="auto"/>
            <w:tcMar>
              <w:left w:w="-10" w:type="dxa"/>
            </w:tcMar>
            <w:vAlign w:val="center"/>
          </w:tcPr>
          <w:p w14:paraId="386F652E"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14.786</w:t>
            </w:r>
          </w:p>
        </w:tc>
        <w:tc>
          <w:tcPr>
            <w:tcW w:w="820" w:type="dxa"/>
            <w:shd w:val="clear" w:color="auto" w:fill="auto"/>
            <w:tcMar>
              <w:left w:w="-10" w:type="dxa"/>
            </w:tcMar>
          </w:tcPr>
          <w:p w14:paraId="24896211"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2,5%</w:t>
            </w:r>
          </w:p>
        </w:tc>
      </w:tr>
      <w:tr w:rsidR="00CD1294" w:rsidRPr="00BB147D" w14:paraId="184C507E" w14:textId="77777777" w:rsidTr="003730A0">
        <w:trPr>
          <w:trHeight w:val="232"/>
          <w:jc w:val="center"/>
        </w:trPr>
        <w:tc>
          <w:tcPr>
            <w:tcW w:w="4342" w:type="dxa"/>
            <w:shd w:val="clear" w:color="auto" w:fill="auto"/>
            <w:tcMar>
              <w:left w:w="-10" w:type="dxa"/>
            </w:tcMar>
            <w:vAlign w:val="center"/>
          </w:tcPr>
          <w:p w14:paraId="6EC8C742" w14:textId="77777777" w:rsidR="00CD1294" w:rsidRPr="00BB147D" w:rsidRDefault="00CD1294" w:rsidP="0047755C">
            <w:pPr>
              <w:widowControl w:val="0"/>
              <w:spacing w:before="0" w:after="0"/>
              <w:ind w:left="40"/>
              <w:jc w:val="left"/>
              <w:rPr>
                <w:rFonts w:eastAsia="Andale Sans UI" w:cs="Times New Roman"/>
                <w:sz w:val="20"/>
                <w:szCs w:val="20"/>
                <w:lang w:val="en-US" w:bidi="en-US"/>
              </w:rPr>
            </w:pPr>
            <w:r w:rsidRPr="00BB147D">
              <w:rPr>
                <w:rFonts w:eastAsia="Andale Sans UI" w:cs="Times New Roman"/>
                <w:sz w:val="20"/>
                <w:szCs w:val="20"/>
                <w:lang w:val="en-US" w:bidi="en-US"/>
              </w:rPr>
              <w:t>L Attività immobiliari</w:t>
            </w:r>
          </w:p>
        </w:tc>
        <w:tc>
          <w:tcPr>
            <w:tcW w:w="1232" w:type="dxa"/>
            <w:shd w:val="clear" w:color="auto" w:fill="auto"/>
            <w:tcMar>
              <w:left w:w="-10" w:type="dxa"/>
            </w:tcMar>
            <w:vAlign w:val="center"/>
          </w:tcPr>
          <w:p w14:paraId="27912CDC"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Pr>
                <w:rFonts w:eastAsia="Andale Sans UI" w:cs="Times New Roman"/>
                <w:sz w:val="20"/>
                <w:szCs w:val="20"/>
                <w:lang w:val="en-US" w:bidi="en-US"/>
              </w:rPr>
              <w:t>153</w:t>
            </w:r>
          </w:p>
        </w:tc>
        <w:tc>
          <w:tcPr>
            <w:tcW w:w="733" w:type="dxa"/>
            <w:shd w:val="clear" w:color="auto" w:fill="auto"/>
            <w:tcMar>
              <w:left w:w="-10" w:type="dxa"/>
            </w:tcMar>
            <w:vAlign w:val="center"/>
          </w:tcPr>
          <w:p w14:paraId="0772AD65"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Pr>
                <w:rFonts w:eastAsia="Andale Sans UI" w:cs="Times New Roman"/>
                <w:sz w:val="20"/>
                <w:szCs w:val="20"/>
                <w:lang w:val="en-US" w:bidi="en-US"/>
              </w:rPr>
              <w:t>1,8%</w:t>
            </w:r>
          </w:p>
        </w:tc>
        <w:tc>
          <w:tcPr>
            <w:tcW w:w="527" w:type="dxa"/>
            <w:shd w:val="clear" w:color="auto" w:fill="auto"/>
            <w:vAlign w:val="center"/>
          </w:tcPr>
          <w:p w14:paraId="5572BB61"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61" w:type="dxa"/>
            <w:shd w:val="clear" w:color="auto" w:fill="auto"/>
            <w:tcMar>
              <w:left w:w="-10" w:type="dxa"/>
            </w:tcMar>
            <w:vAlign w:val="center"/>
          </w:tcPr>
          <w:p w14:paraId="2D8B6137"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9.570</w:t>
            </w:r>
          </w:p>
        </w:tc>
        <w:tc>
          <w:tcPr>
            <w:tcW w:w="820" w:type="dxa"/>
            <w:shd w:val="clear" w:color="auto" w:fill="auto"/>
            <w:tcMar>
              <w:left w:w="-10" w:type="dxa"/>
            </w:tcMar>
          </w:tcPr>
          <w:p w14:paraId="571D40D0"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1,6%</w:t>
            </w:r>
          </w:p>
        </w:tc>
      </w:tr>
      <w:tr w:rsidR="00CD1294" w:rsidRPr="00BB147D" w14:paraId="792CA079" w14:textId="77777777" w:rsidTr="003730A0">
        <w:trPr>
          <w:trHeight w:val="231"/>
          <w:jc w:val="center"/>
        </w:trPr>
        <w:tc>
          <w:tcPr>
            <w:tcW w:w="4342" w:type="dxa"/>
            <w:shd w:val="clear" w:color="auto" w:fill="auto"/>
            <w:tcMar>
              <w:left w:w="-10" w:type="dxa"/>
            </w:tcMar>
            <w:vAlign w:val="center"/>
          </w:tcPr>
          <w:p w14:paraId="42B8BEF3" w14:textId="77777777" w:rsidR="00CD1294" w:rsidRPr="00BB147D" w:rsidRDefault="00CD1294" w:rsidP="0047755C">
            <w:pPr>
              <w:widowControl w:val="0"/>
              <w:spacing w:before="0" w:after="0" w:line="231" w:lineRule="exact"/>
              <w:ind w:left="40"/>
              <w:jc w:val="left"/>
              <w:rPr>
                <w:rFonts w:eastAsia="Andale Sans UI" w:cs="Times New Roman"/>
                <w:sz w:val="20"/>
                <w:szCs w:val="20"/>
                <w:lang w:bidi="en-US"/>
              </w:rPr>
            </w:pPr>
            <w:r w:rsidRPr="00BB147D">
              <w:rPr>
                <w:rFonts w:eastAsia="Andale Sans UI" w:cs="Times New Roman"/>
                <w:sz w:val="20"/>
                <w:szCs w:val="20"/>
                <w:lang w:bidi="en-US"/>
              </w:rPr>
              <w:t>M Attività professionali, scientifiche e tecniche</w:t>
            </w:r>
          </w:p>
        </w:tc>
        <w:tc>
          <w:tcPr>
            <w:tcW w:w="1232" w:type="dxa"/>
            <w:shd w:val="clear" w:color="auto" w:fill="auto"/>
            <w:tcMar>
              <w:left w:w="-10" w:type="dxa"/>
            </w:tcMar>
            <w:vAlign w:val="center"/>
          </w:tcPr>
          <w:p w14:paraId="44824D90" w14:textId="77777777" w:rsidR="00CD1294" w:rsidRPr="00666E99" w:rsidRDefault="00CD1294" w:rsidP="0047755C">
            <w:pPr>
              <w:widowControl w:val="0"/>
              <w:spacing w:before="0" w:after="0" w:line="231" w:lineRule="exact"/>
              <w:ind w:left="57" w:right="57"/>
              <w:jc w:val="right"/>
              <w:rPr>
                <w:rFonts w:eastAsia="Andale Sans UI" w:cs="Times New Roman"/>
                <w:sz w:val="20"/>
                <w:szCs w:val="20"/>
                <w:lang w:bidi="en-US"/>
              </w:rPr>
            </w:pPr>
            <w:r>
              <w:rPr>
                <w:rFonts w:eastAsia="Andale Sans UI" w:cs="Times New Roman"/>
                <w:sz w:val="20"/>
                <w:szCs w:val="20"/>
                <w:lang w:bidi="en-US"/>
              </w:rPr>
              <w:t>183</w:t>
            </w:r>
          </w:p>
        </w:tc>
        <w:tc>
          <w:tcPr>
            <w:tcW w:w="733" w:type="dxa"/>
            <w:shd w:val="clear" w:color="auto" w:fill="auto"/>
            <w:tcMar>
              <w:left w:w="-10" w:type="dxa"/>
            </w:tcMar>
            <w:vAlign w:val="center"/>
          </w:tcPr>
          <w:p w14:paraId="55E66C9F"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2,2%</w:t>
            </w:r>
          </w:p>
        </w:tc>
        <w:tc>
          <w:tcPr>
            <w:tcW w:w="527" w:type="dxa"/>
            <w:shd w:val="clear" w:color="auto" w:fill="auto"/>
            <w:vAlign w:val="center"/>
          </w:tcPr>
          <w:p w14:paraId="03E1EB67" w14:textId="77777777" w:rsidR="00CD1294" w:rsidRPr="00666E99" w:rsidRDefault="00CD1294" w:rsidP="0047755C">
            <w:pPr>
              <w:widowControl w:val="0"/>
              <w:spacing w:before="0" w:after="0" w:line="231" w:lineRule="exact"/>
              <w:jc w:val="right"/>
              <w:rPr>
                <w:rFonts w:eastAsia="Andale Sans UI" w:cs="Times New Roman"/>
                <w:sz w:val="20"/>
                <w:szCs w:val="20"/>
                <w:lang w:bidi="en-US"/>
              </w:rPr>
            </w:pPr>
          </w:p>
        </w:tc>
        <w:tc>
          <w:tcPr>
            <w:tcW w:w="1361" w:type="dxa"/>
            <w:shd w:val="clear" w:color="auto" w:fill="auto"/>
            <w:tcMar>
              <w:left w:w="-10" w:type="dxa"/>
            </w:tcMar>
            <w:vAlign w:val="center"/>
          </w:tcPr>
          <w:p w14:paraId="0D108784"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16.233</w:t>
            </w:r>
          </w:p>
        </w:tc>
        <w:tc>
          <w:tcPr>
            <w:tcW w:w="820" w:type="dxa"/>
            <w:shd w:val="clear" w:color="auto" w:fill="auto"/>
            <w:tcMar>
              <w:left w:w="-10" w:type="dxa"/>
            </w:tcMar>
          </w:tcPr>
          <w:p w14:paraId="4E2B962A"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2,7%</w:t>
            </w:r>
          </w:p>
        </w:tc>
      </w:tr>
      <w:tr w:rsidR="00CD1294" w:rsidRPr="00BB147D" w14:paraId="23AFE40E" w14:textId="77777777" w:rsidTr="003730A0">
        <w:trPr>
          <w:trHeight w:val="232"/>
          <w:jc w:val="center"/>
        </w:trPr>
        <w:tc>
          <w:tcPr>
            <w:tcW w:w="4342" w:type="dxa"/>
            <w:shd w:val="clear" w:color="auto" w:fill="auto"/>
            <w:tcMar>
              <w:left w:w="-10" w:type="dxa"/>
            </w:tcMar>
            <w:vAlign w:val="center"/>
          </w:tcPr>
          <w:p w14:paraId="40152C48"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N Noleggio, agenzie di viaggio, servizi supporto imp.</w:t>
            </w:r>
          </w:p>
        </w:tc>
        <w:tc>
          <w:tcPr>
            <w:tcW w:w="1232" w:type="dxa"/>
            <w:shd w:val="clear" w:color="auto" w:fill="auto"/>
            <w:tcMar>
              <w:left w:w="-10" w:type="dxa"/>
            </w:tcMar>
            <w:vAlign w:val="center"/>
          </w:tcPr>
          <w:p w14:paraId="07509669"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275</w:t>
            </w:r>
          </w:p>
        </w:tc>
        <w:tc>
          <w:tcPr>
            <w:tcW w:w="733" w:type="dxa"/>
            <w:shd w:val="clear" w:color="auto" w:fill="auto"/>
            <w:tcMar>
              <w:left w:w="-10" w:type="dxa"/>
            </w:tcMar>
            <w:vAlign w:val="center"/>
          </w:tcPr>
          <w:p w14:paraId="39A6DBDD"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3,3%</w:t>
            </w:r>
          </w:p>
        </w:tc>
        <w:tc>
          <w:tcPr>
            <w:tcW w:w="527" w:type="dxa"/>
            <w:shd w:val="clear" w:color="auto" w:fill="auto"/>
            <w:vAlign w:val="center"/>
          </w:tcPr>
          <w:p w14:paraId="514D7D15" w14:textId="77777777" w:rsidR="00CD1294" w:rsidRPr="00666E99" w:rsidRDefault="00CD1294" w:rsidP="0047755C">
            <w:pPr>
              <w:widowControl w:val="0"/>
              <w:spacing w:before="0" w:after="0" w:line="231" w:lineRule="exact"/>
              <w:jc w:val="right"/>
              <w:rPr>
                <w:rFonts w:eastAsia="Andale Sans UI" w:cs="Times New Roman"/>
                <w:sz w:val="20"/>
                <w:szCs w:val="20"/>
                <w:lang w:bidi="en-US"/>
              </w:rPr>
            </w:pPr>
          </w:p>
        </w:tc>
        <w:tc>
          <w:tcPr>
            <w:tcW w:w="1361" w:type="dxa"/>
            <w:shd w:val="clear" w:color="auto" w:fill="auto"/>
            <w:tcMar>
              <w:left w:w="-10" w:type="dxa"/>
            </w:tcMar>
            <w:vAlign w:val="center"/>
          </w:tcPr>
          <w:p w14:paraId="24C479A1"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26.562</w:t>
            </w:r>
          </w:p>
        </w:tc>
        <w:tc>
          <w:tcPr>
            <w:tcW w:w="820" w:type="dxa"/>
            <w:shd w:val="clear" w:color="auto" w:fill="auto"/>
            <w:tcMar>
              <w:left w:w="-10" w:type="dxa"/>
            </w:tcMar>
            <w:vAlign w:val="center"/>
          </w:tcPr>
          <w:p w14:paraId="207AD7A7"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4,5%</w:t>
            </w:r>
          </w:p>
        </w:tc>
      </w:tr>
      <w:tr w:rsidR="00CD1294" w:rsidRPr="00BB147D" w14:paraId="62D28023" w14:textId="77777777" w:rsidTr="003730A0">
        <w:trPr>
          <w:trHeight w:val="232"/>
          <w:jc w:val="center"/>
        </w:trPr>
        <w:tc>
          <w:tcPr>
            <w:tcW w:w="4342" w:type="dxa"/>
            <w:shd w:val="clear" w:color="auto" w:fill="auto"/>
            <w:tcMar>
              <w:left w:w="-10" w:type="dxa"/>
            </w:tcMar>
            <w:vAlign w:val="center"/>
          </w:tcPr>
          <w:p w14:paraId="2DCCC461" w14:textId="77777777" w:rsidR="00CD1294" w:rsidRPr="00BB147D" w:rsidRDefault="00CD1294" w:rsidP="0047755C">
            <w:pPr>
              <w:widowControl w:val="0"/>
              <w:spacing w:before="0" w:after="0"/>
              <w:ind w:left="40"/>
              <w:jc w:val="left"/>
              <w:rPr>
                <w:rFonts w:eastAsia="Andale Sans UI" w:cs="Times New Roman"/>
                <w:sz w:val="20"/>
                <w:szCs w:val="20"/>
                <w:lang w:val="en-US" w:bidi="en-US"/>
              </w:rPr>
            </w:pPr>
            <w:r w:rsidRPr="00BB147D">
              <w:rPr>
                <w:rFonts w:eastAsia="Andale Sans UI" w:cs="Times New Roman"/>
                <w:sz w:val="20"/>
                <w:szCs w:val="20"/>
                <w:lang w:val="en-US" w:bidi="en-US"/>
              </w:rPr>
              <w:t>P Istruzione</w:t>
            </w:r>
          </w:p>
        </w:tc>
        <w:tc>
          <w:tcPr>
            <w:tcW w:w="1232" w:type="dxa"/>
            <w:shd w:val="clear" w:color="auto" w:fill="auto"/>
            <w:tcMar>
              <w:left w:w="-10" w:type="dxa"/>
            </w:tcMar>
            <w:vAlign w:val="center"/>
          </w:tcPr>
          <w:p w14:paraId="2396882B"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Pr>
                <w:rFonts w:eastAsia="Andale Sans UI" w:cs="Times New Roman"/>
                <w:sz w:val="20"/>
                <w:szCs w:val="20"/>
                <w:lang w:val="en-US" w:bidi="en-US"/>
              </w:rPr>
              <w:t>16</w:t>
            </w:r>
          </w:p>
        </w:tc>
        <w:tc>
          <w:tcPr>
            <w:tcW w:w="733" w:type="dxa"/>
            <w:shd w:val="clear" w:color="auto" w:fill="auto"/>
            <w:tcMar>
              <w:left w:w="-10" w:type="dxa"/>
            </w:tcMar>
            <w:vAlign w:val="center"/>
          </w:tcPr>
          <w:p w14:paraId="60F2A5AC"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p>
        </w:tc>
        <w:tc>
          <w:tcPr>
            <w:tcW w:w="527" w:type="dxa"/>
            <w:shd w:val="clear" w:color="auto" w:fill="auto"/>
            <w:vAlign w:val="center"/>
          </w:tcPr>
          <w:p w14:paraId="57CA9F55"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0,2%</w:t>
            </w:r>
          </w:p>
        </w:tc>
        <w:tc>
          <w:tcPr>
            <w:tcW w:w="1361" w:type="dxa"/>
            <w:shd w:val="clear" w:color="auto" w:fill="auto"/>
            <w:tcMar>
              <w:left w:w="-10" w:type="dxa"/>
            </w:tcMar>
            <w:vAlign w:val="center"/>
          </w:tcPr>
          <w:p w14:paraId="134F76A5"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1.818</w:t>
            </w:r>
          </w:p>
        </w:tc>
        <w:tc>
          <w:tcPr>
            <w:tcW w:w="820" w:type="dxa"/>
            <w:shd w:val="clear" w:color="auto" w:fill="auto"/>
            <w:tcMar>
              <w:left w:w="-10" w:type="dxa"/>
            </w:tcMar>
          </w:tcPr>
          <w:p w14:paraId="6A874798"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0,3%</w:t>
            </w:r>
          </w:p>
        </w:tc>
      </w:tr>
      <w:tr w:rsidR="00CD1294" w:rsidRPr="00BB147D" w14:paraId="6774B31A" w14:textId="77777777" w:rsidTr="003730A0">
        <w:trPr>
          <w:trHeight w:val="231"/>
          <w:jc w:val="center"/>
        </w:trPr>
        <w:tc>
          <w:tcPr>
            <w:tcW w:w="4342" w:type="dxa"/>
            <w:shd w:val="clear" w:color="auto" w:fill="auto"/>
            <w:tcMar>
              <w:left w:w="-10" w:type="dxa"/>
            </w:tcMar>
            <w:vAlign w:val="center"/>
          </w:tcPr>
          <w:p w14:paraId="408AAA76" w14:textId="77777777" w:rsidR="00CD1294" w:rsidRPr="00BB147D" w:rsidRDefault="00CD1294" w:rsidP="0047755C">
            <w:pPr>
              <w:widowControl w:val="0"/>
              <w:spacing w:before="0" w:after="0" w:line="231" w:lineRule="exact"/>
              <w:ind w:left="40"/>
              <w:jc w:val="left"/>
              <w:rPr>
                <w:rFonts w:eastAsia="Andale Sans UI" w:cs="Times New Roman"/>
                <w:sz w:val="20"/>
                <w:szCs w:val="20"/>
                <w:lang w:bidi="en-US"/>
              </w:rPr>
            </w:pPr>
            <w:r w:rsidRPr="00BB147D">
              <w:rPr>
                <w:rFonts w:eastAsia="Andale Sans UI" w:cs="Times New Roman"/>
                <w:sz w:val="20"/>
                <w:szCs w:val="20"/>
                <w:lang w:bidi="en-US"/>
              </w:rPr>
              <w:t>Q Sanità e assistenza sociale</w:t>
            </w:r>
          </w:p>
        </w:tc>
        <w:tc>
          <w:tcPr>
            <w:tcW w:w="1232" w:type="dxa"/>
            <w:shd w:val="clear" w:color="auto" w:fill="auto"/>
            <w:tcMar>
              <w:left w:w="-10" w:type="dxa"/>
            </w:tcMar>
            <w:vAlign w:val="center"/>
          </w:tcPr>
          <w:p w14:paraId="22BA525A" w14:textId="77777777" w:rsidR="00CD1294" w:rsidRPr="00666E99" w:rsidRDefault="00CD1294" w:rsidP="0047755C">
            <w:pPr>
              <w:widowControl w:val="0"/>
              <w:spacing w:before="0" w:after="0" w:line="231" w:lineRule="exact"/>
              <w:ind w:left="57" w:right="57"/>
              <w:jc w:val="right"/>
              <w:rPr>
                <w:rFonts w:eastAsia="Andale Sans UI" w:cs="Times New Roman"/>
                <w:sz w:val="20"/>
                <w:szCs w:val="20"/>
                <w:lang w:bidi="en-US"/>
              </w:rPr>
            </w:pPr>
            <w:r>
              <w:rPr>
                <w:rFonts w:eastAsia="Andale Sans UI" w:cs="Times New Roman"/>
                <w:sz w:val="20"/>
                <w:szCs w:val="20"/>
                <w:lang w:bidi="en-US"/>
              </w:rPr>
              <w:t>55</w:t>
            </w:r>
          </w:p>
        </w:tc>
        <w:tc>
          <w:tcPr>
            <w:tcW w:w="733" w:type="dxa"/>
            <w:shd w:val="clear" w:color="auto" w:fill="auto"/>
            <w:tcMar>
              <w:left w:w="-10" w:type="dxa"/>
            </w:tcMar>
            <w:vAlign w:val="center"/>
          </w:tcPr>
          <w:p w14:paraId="60F6063C"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p>
        </w:tc>
        <w:tc>
          <w:tcPr>
            <w:tcW w:w="527" w:type="dxa"/>
            <w:shd w:val="clear" w:color="auto" w:fill="auto"/>
            <w:vAlign w:val="center"/>
          </w:tcPr>
          <w:p w14:paraId="595A06D5" w14:textId="77777777" w:rsidR="00CD1294" w:rsidRPr="00666E99" w:rsidRDefault="00CD1294" w:rsidP="0047755C">
            <w:pPr>
              <w:widowControl w:val="0"/>
              <w:spacing w:before="0" w:after="0" w:line="231" w:lineRule="exact"/>
              <w:jc w:val="right"/>
              <w:rPr>
                <w:rFonts w:eastAsia="Andale Sans UI" w:cs="Times New Roman"/>
                <w:sz w:val="20"/>
                <w:szCs w:val="20"/>
                <w:lang w:bidi="en-US"/>
              </w:rPr>
            </w:pPr>
            <w:r>
              <w:rPr>
                <w:rFonts w:eastAsia="Andale Sans UI" w:cs="Times New Roman"/>
                <w:sz w:val="20"/>
                <w:szCs w:val="20"/>
                <w:lang w:bidi="en-US"/>
              </w:rPr>
              <w:t>0,7%</w:t>
            </w:r>
          </w:p>
        </w:tc>
        <w:tc>
          <w:tcPr>
            <w:tcW w:w="1361" w:type="dxa"/>
            <w:shd w:val="clear" w:color="auto" w:fill="auto"/>
            <w:tcMar>
              <w:left w:w="-10" w:type="dxa"/>
            </w:tcMar>
            <w:vAlign w:val="center"/>
          </w:tcPr>
          <w:p w14:paraId="6DC50DD1"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3.276</w:t>
            </w:r>
          </w:p>
        </w:tc>
        <w:tc>
          <w:tcPr>
            <w:tcW w:w="820" w:type="dxa"/>
            <w:shd w:val="clear" w:color="auto" w:fill="auto"/>
            <w:tcMar>
              <w:left w:w="-10" w:type="dxa"/>
            </w:tcMar>
          </w:tcPr>
          <w:p w14:paraId="3BAFEF1B"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0,6%</w:t>
            </w:r>
          </w:p>
        </w:tc>
      </w:tr>
      <w:tr w:rsidR="00CD1294" w:rsidRPr="00BB147D" w14:paraId="067ABEF7" w14:textId="77777777" w:rsidTr="003730A0">
        <w:trPr>
          <w:trHeight w:val="232"/>
          <w:jc w:val="center"/>
        </w:trPr>
        <w:tc>
          <w:tcPr>
            <w:tcW w:w="4342" w:type="dxa"/>
            <w:shd w:val="clear" w:color="auto" w:fill="auto"/>
            <w:tcMar>
              <w:left w:w="-10" w:type="dxa"/>
            </w:tcMar>
            <w:vAlign w:val="center"/>
          </w:tcPr>
          <w:p w14:paraId="0307D38D"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R Attività artistiche, sportive, di intrattenimento</w:t>
            </w:r>
          </w:p>
        </w:tc>
        <w:tc>
          <w:tcPr>
            <w:tcW w:w="1232" w:type="dxa"/>
            <w:shd w:val="clear" w:color="auto" w:fill="auto"/>
            <w:tcMar>
              <w:left w:w="-10" w:type="dxa"/>
            </w:tcMar>
            <w:vAlign w:val="center"/>
          </w:tcPr>
          <w:p w14:paraId="5E4B794D"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101</w:t>
            </w:r>
          </w:p>
        </w:tc>
        <w:tc>
          <w:tcPr>
            <w:tcW w:w="733" w:type="dxa"/>
            <w:shd w:val="clear" w:color="auto" w:fill="auto"/>
            <w:tcMar>
              <w:left w:w="-10" w:type="dxa"/>
            </w:tcMar>
            <w:vAlign w:val="center"/>
          </w:tcPr>
          <w:p w14:paraId="107957D8"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1,2%</w:t>
            </w:r>
          </w:p>
        </w:tc>
        <w:tc>
          <w:tcPr>
            <w:tcW w:w="527" w:type="dxa"/>
            <w:shd w:val="clear" w:color="auto" w:fill="auto"/>
            <w:vAlign w:val="center"/>
          </w:tcPr>
          <w:p w14:paraId="1A2BADEC" w14:textId="77777777" w:rsidR="00CD1294" w:rsidRPr="00666E99" w:rsidRDefault="00CD1294" w:rsidP="0047755C">
            <w:pPr>
              <w:widowControl w:val="0"/>
              <w:spacing w:before="0" w:after="0" w:line="231" w:lineRule="exact"/>
              <w:jc w:val="right"/>
              <w:rPr>
                <w:rFonts w:eastAsia="Andale Sans UI" w:cs="Times New Roman"/>
                <w:sz w:val="20"/>
                <w:szCs w:val="20"/>
                <w:lang w:bidi="en-US"/>
              </w:rPr>
            </w:pPr>
          </w:p>
        </w:tc>
        <w:tc>
          <w:tcPr>
            <w:tcW w:w="1361" w:type="dxa"/>
            <w:shd w:val="clear" w:color="auto" w:fill="auto"/>
            <w:tcMar>
              <w:left w:w="-10" w:type="dxa"/>
            </w:tcMar>
            <w:vAlign w:val="center"/>
          </w:tcPr>
          <w:p w14:paraId="18BBEFE8"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8.720</w:t>
            </w:r>
          </w:p>
        </w:tc>
        <w:tc>
          <w:tcPr>
            <w:tcW w:w="820" w:type="dxa"/>
            <w:shd w:val="clear" w:color="auto" w:fill="auto"/>
            <w:tcMar>
              <w:left w:w="-10" w:type="dxa"/>
            </w:tcMar>
          </w:tcPr>
          <w:p w14:paraId="7CEF6175"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1,5%</w:t>
            </w:r>
          </w:p>
        </w:tc>
      </w:tr>
      <w:tr w:rsidR="00CD1294" w:rsidRPr="00BB147D" w14:paraId="34173554" w14:textId="77777777" w:rsidTr="003730A0">
        <w:trPr>
          <w:trHeight w:val="232"/>
          <w:jc w:val="center"/>
        </w:trPr>
        <w:tc>
          <w:tcPr>
            <w:tcW w:w="4342" w:type="dxa"/>
            <w:shd w:val="clear" w:color="auto" w:fill="auto"/>
            <w:tcMar>
              <w:left w:w="-10" w:type="dxa"/>
            </w:tcMar>
            <w:vAlign w:val="center"/>
          </w:tcPr>
          <w:p w14:paraId="2DFCCE24" w14:textId="77777777" w:rsidR="00CD1294" w:rsidRPr="00BB147D" w:rsidRDefault="00CD1294" w:rsidP="0047755C">
            <w:pPr>
              <w:widowControl w:val="0"/>
              <w:spacing w:before="0" w:after="0"/>
              <w:ind w:left="40"/>
              <w:jc w:val="left"/>
              <w:rPr>
                <w:rFonts w:eastAsia="Andale Sans UI" w:cs="Times New Roman"/>
                <w:sz w:val="20"/>
                <w:szCs w:val="20"/>
                <w:lang w:bidi="en-US"/>
              </w:rPr>
            </w:pPr>
            <w:r w:rsidRPr="00BB147D">
              <w:rPr>
                <w:rFonts w:eastAsia="Andale Sans UI" w:cs="Times New Roman"/>
                <w:sz w:val="20"/>
                <w:szCs w:val="20"/>
                <w:lang w:bidi="en-US"/>
              </w:rPr>
              <w:t>S Altre attività di servizi</w:t>
            </w:r>
          </w:p>
        </w:tc>
        <w:tc>
          <w:tcPr>
            <w:tcW w:w="1232" w:type="dxa"/>
            <w:shd w:val="clear" w:color="auto" w:fill="auto"/>
            <w:tcMar>
              <w:left w:w="-10" w:type="dxa"/>
            </w:tcMar>
            <w:vAlign w:val="center"/>
          </w:tcPr>
          <w:p w14:paraId="567D0EB2"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r>
              <w:rPr>
                <w:rFonts w:eastAsia="Andale Sans UI" w:cs="Times New Roman"/>
                <w:sz w:val="20"/>
                <w:szCs w:val="20"/>
                <w:lang w:bidi="en-US"/>
              </w:rPr>
              <w:t>455</w:t>
            </w:r>
          </w:p>
        </w:tc>
        <w:tc>
          <w:tcPr>
            <w:tcW w:w="733" w:type="dxa"/>
            <w:shd w:val="clear" w:color="auto" w:fill="auto"/>
            <w:tcMar>
              <w:left w:w="-10" w:type="dxa"/>
            </w:tcMar>
            <w:vAlign w:val="center"/>
          </w:tcPr>
          <w:p w14:paraId="16A9B7C8" w14:textId="77777777" w:rsidR="00CD1294" w:rsidRPr="00666E99" w:rsidRDefault="00CD1294" w:rsidP="0047755C">
            <w:pPr>
              <w:widowControl w:val="0"/>
              <w:spacing w:before="0" w:after="0"/>
              <w:ind w:left="57" w:right="57"/>
              <w:jc w:val="right"/>
              <w:rPr>
                <w:rFonts w:eastAsia="Andale Sans UI" w:cs="Times New Roman"/>
                <w:sz w:val="20"/>
                <w:szCs w:val="20"/>
                <w:lang w:bidi="en-US"/>
              </w:rPr>
            </w:pPr>
          </w:p>
        </w:tc>
        <w:tc>
          <w:tcPr>
            <w:tcW w:w="527" w:type="dxa"/>
            <w:shd w:val="clear" w:color="auto" w:fill="auto"/>
            <w:vAlign w:val="center"/>
          </w:tcPr>
          <w:p w14:paraId="07FC2377" w14:textId="77777777" w:rsidR="00CD1294" w:rsidRPr="00666E99" w:rsidRDefault="00CD1294" w:rsidP="0047755C">
            <w:pPr>
              <w:widowControl w:val="0"/>
              <w:spacing w:before="0" w:after="0" w:line="231" w:lineRule="exact"/>
              <w:jc w:val="right"/>
              <w:rPr>
                <w:rFonts w:eastAsia="Andale Sans UI" w:cs="Times New Roman"/>
                <w:sz w:val="20"/>
                <w:szCs w:val="20"/>
                <w:lang w:bidi="en-US"/>
              </w:rPr>
            </w:pPr>
            <w:r>
              <w:rPr>
                <w:rFonts w:eastAsia="Andale Sans UI" w:cs="Times New Roman"/>
                <w:sz w:val="20"/>
                <w:szCs w:val="20"/>
                <w:lang w:bidi="en-US"/>
              </w:rPr>
              <w:t>5,5%</w:t>
            </w:r>
          </w:p>
        </w:tc>
        <w:tc>
          <w:tcPr>
            <w:tcW w:w="1361" w:type="dxa"/>
            <w:shd w:val="clear" w:color="auto" w:fill="auto"/>
            <w:tcMar>
              <w:left w:w="-10" w:type="dxa"/>
            </w:tcMar>
            <w:vAlign w:val="center"/>
          </w:tcPr>
          <w:p w14:paraId="6EE93B5C"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34.055</w:t>
            </w:r>
          </w:p>
        </w:tc>
        <w:tc>
          <w:tcPr>
            <w:tcW w:w="820" w:type="dxa"/>
            <w:shd w:val="clear" w:color="auto" w:fill="auto"/>
            <w:tcMar>
              <w:left w:w="-10" w:type="dxa"/>
            </w:tcMar>
          </w:tcPr>
          <w:p w14:paraId="04971BEE"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5,7%</w:t>
            </w:r>
          </w:p>
        </w:tc>
      </w:tr>
      <w:tr w:rsidR="00CD1294" w:rsidRPr="00BB147D" w14:paraId="0C344BB9" w14:textId="77777777" w:rsidTr="003730A0">
        <w:trPr>
          <w:trHeight w:val="231"/>
          <w:jc w:val="center"/>
        </w:trPr>
        <w:tc>
          <w:tcPr>
            <w:tcW w:w="4342" w:type="dxa"/>
            <w:shd w:val="clear" w:color="auto" w:fill="auto"/>
            <w:tcMar>
              <w:left w:w="-10" w:type="dxa"/>
            </w:tcMar>
            <w:vAlign w:val="center"/>
          </w:tcPr>
          <w:p w14:paraId="7965B65F" w14:textId="77777777" w:rsidR="00CD1294" w:rsidRPr="00BB147D" w:rsidRDefault="00CD1294" w:rsidP="0047755C">
            <w:pPr>
              <w:widowControl w:val="0"/>
              <w:spacing w:before="0" w:after="0" w:line="231" w:lineRule="exact"/>
              <w:ind w:left="40"/>
              <w:jc w:val="left"/>
              <w:rPr>
                <w:rFonts w:eastAsia="Andale Sans UI" w:cs="Times New Roman"/>
                <w:sz w:val="20"/>
                <w:szCs w:val="20"/>
                <w:lang w:val="en-US" w:bidi="en-US"/>
              </w:rPr>
            </w:pPr>
            <w:r w:rsidRPr="00BB147D">
              <w:rPr>
                <w:rFonts w:eastAsia="Andale Sans UI" w:cs="Times New Roman"/>
                <w:sz w:val="20"/>
                <w:szCs w:val="20"/>
                <w:lang w:val="en-US" w:bidi="en-US"/>
              </w:rPr>
              <w:t>X Imprese non classificate</w:t>
            </w:r>
          </w:p>
        </w:tc>
        <w:tc>
          <w:tcPr>
            <w:tcW w:w="1232" w:type="dxa"/>
            <w:shd w:val="clear" w:color="auto" w:fill="auto"/>
            <w:tcMar>
              <w:left w:w="-10" w:type="dxa"/>
            </w:tcMar>
            <w:vAlign w:val="center"/>
          </w:tcPr>
          <w:p w14:paraId="4E125911"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620</w:t>
            </w:r>
          </w:p>
        </w:tc>
        <w:tc>
          <w:tcPr>
            <w:tcW w:w="733" w:type="dxa"/>
            <w:shd w:val="clear" w:color="auto" w:fill="auto"/>
            <w:tcMar>
              <w:left w:w="-10" w:type="dxa"/>
            </w:tcMar>
            <w:vAlign w:val="center"/>
          </w:tcPr>
          <w:p w14:paraId="30EFB313"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r>
              <w:rPr>
                <w:rFonts w:eastAsia="Andale Sans UI" w:cs="Times New Roman"/>
                <w:sz w:val="20"/>
                <w:szCs w:val="20"/>
                <w:lang w:val="en-US" w:bidi="en-US"/>
              </w:rPr>
              <w:t>7,5%</w:t>
            </w:r>
          </w:p>
        </w:tc>
        <w:tc>
          <w:tcPr>
            <w:tcW w:w="527" w:type="dxa"/>
            <w:shd w:val="clear" w:color="auto" w:fill="auto"/>
            <w:vAlign w:val="center"/>
          </w:tcPr>
          <w:p w14:paraId="76B5A7D5"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p>
        </w:tc>
        <w:tc>
          <w:tcPr>
            <w:tcW w:w="1361" w:type="dxa"/>
            <w:shd w:val="clear" w:color="auto" w:fill="auto"/>
            <w:tcMar>
              <w:left w:w="-10" w:type="dxa"/>
            </w:tcMar>
            <w:vAlign w:val="center"/>
          </w:tcPr>
          <w:p w14:paraId="31F47E9B"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56.554</w:t>
            </w:r>
          </w:p>
        </w:tc>
        <w:tc>
          <w:tcPr>
            <w:tcW w:w="820" w:type="dxa"/>
            <w:shd w:val="clear" w:color="auto" w:fill="auto"/>
            <w:tcMar>
              <w:left w:w="-10" w:type="dxa"/>
            </w:tcMar>
          </w:tcPr>
          <w:p w14:paraId="0BA9CD43"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9,5%</w:t>
            </w:r>
          </w:p>
        </w:tc>
      </w:tr>
      <w:tr w:rsidR="00CD1294" w:rsidRPr="00BB147D" w14:paraId="034574E2" w14:textId="77777777" w:rsidTr="003730A0">
        <w:trPr>
          <w:trHeight w:val="231"/>
          <w:jc w:val="center"/>
        </w:trPr>
        <w:tc>
          <w:tcPr>
            <w:tcW w:w="4342" w:type="dxa"/>
            <w:shd w:val="clear" w:color="auto" w:fill="auto"/>
            <w:tcMar>
              <w:left w:w="-10" w:type="dxa"/>
            </w:tcMar>
            <w:vAlign w:val="center"/>
          </w:tcPr>
          <w:p w14:paraId="4D49BD84" w14:textId="77777777" w:rsidR="00CD1294" w:rsidRPr="00BB147D" w:rsidRDefault="00CD1294" w:rsidP="0047755C">
            <w:pPr>
              <w:widowControl w:val="0"/>
              <w:spacing w:before="0" w:after="0" w:line="231" w:lineRule="exact"/>
              <w:ind w:left="40"/>
              <w:jc w:val="left"/>
              <w:rPr>
                <w:rFonts w:eastAsia="Andale Sans UI" w:cs="Times New Roman"/>
                <w:sz w:val="20"/>
                <w:szCs w:val="20"/>
                <w:lang w:val="en-US" w:bidi="en-US"/>
              </w:rPr>
            </w:pPr>
            <w:r w:rsidRPr="00BB147D">
              <w:rPr>
                <w:rFonts w:eastAsia="Andale Sans UI" w:cs="Times New Roman"/>
                <w:sz w:val="20"/>
                <w:szCs w:val="20"/>
                <w:lang w:val="en-US" w:bidi="en-US"/>
              </w:rPr>
              <w:t>TOTALE</w:t>
            </w:r>
          </w:p>
        </w:tc>
        <w:tc>
          <w:tcPr>
            <w:tcW w:w="1232" w:type="dxa"/>
            <w:shd w:val="clear" w:color="auto" w:fill="auto"/>
            <w:tcMar>
              <w:left w:w="-10" w:type="dxa"/>
            </w:tcMar>
            <w:vAlign w:val="center"/>
          </w:tcPr>
          <w:p w14:paraId="20F84B78"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Pr>
                <w:rFonts w:eastAsia="Andale Sans UI" w:cs="Times New Roman"/>
                <w:sz w:val="20"/>
                <w:szCs w:val="20"/>
                <w:lang w:val="en-US" w:bidi="en-US"/>
              </w:rPr>
              <w:t>8.310</w:t>
            </w:r>
          </w:p>
        </w:tc>
        <w:tc>
          <w:tcPr>
            <w:tcW w:w="733" w:type="dxa"/>
            <w:shd w:val="clear" w:color="auto" w:fill="auto"/>
            <w:tcMar>
              <w:left w:w="-10" w:type="dxa"/>
            </w:tcMar>
            <w:vAlign w:val="center"/>
          </w:tcPr>
          <w:p w14:paraId="7073FE40" w14:textId="77777777" w:rsidR="00CD1294" w:rsidRPr="00BB147D" w:rsidRDefault="00CD1294" w:rsidP="0047755C">
            <w:pPr>
              <w:widowControl w:val="0"/>
              <w:spacing w:before="0" w:after="0"/>
              <w:ind w:left="57" w:right="57"/>
              <w:jc w:val="right"/>
              <w:rPr>
                <w:rFonts w:eastAsia="Andale Sans UI" w:cs="Times New Roman"/>
                <w:sz w:val="20"/>
                <w:szCs w:val="20"/>
                <w:lang w:val="en-US" w:bidi="en-US"/>
              </w:rPr>
            </w:pPr>
          </w:p>
        </w:tc>
        <w:tc>
          <w:tcPr>
            <w:tcW w:w="527" w:type="dxa"/>
            <w:shd w:val="clear" w:color="auto" w:fill="auto"/>
            <w:vAlign w:val="center"/>
          </w:tcPr>
          <w:p w14:paraId="2CEDDE47"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Pr>
                <w:rFonts w:eastAsia="Andale Sans UI" w:cs="Times New Roman"/>
                <w:sz w:val="20"/>
                <w:szCs w:val="20"/>
                <w:lang w:val="en-US" w:bidi="en-US"/>
              </w:rPr>
              <w:t>100%</w:t>
            </w:r>
          </w:p>
        </w:tc>
        <w:tc>
          <w:tcPr>
            <w:tcW w:w="1361" w:type="dxa"/>
            <w:shd w:val="clear" w:color="auto" w:fill="auto"/>
            <w:tcMar>
              <w:left w:w="-10" w:type="dxa"/>
            </w:tcMar>
            <w:vAlign w:val="center"/>
          </w:tcPr>
          <w:p w14:paraId="3C751B8A" w14:textId="77777777" w:rsidR="00CD1294" w:rsidRPr="00BB147D" w:rsidRDefault="00CD1294" w:rsidP="0047755C">
            <w:pPr>
              <w:widowControl w:val="0"/>
              <w:spacing w:before="0" w:after="0" w:line="231" w:lineRule="exact"/>
              <w:ind w:left="57" w:right="57"/>
              <w:jc w:val="right"/>
              <w:rPr>
                <w:rFonts w:eastAsia="Andale Sans UI" w:cs="Times New Roman"/>
                <w:sz w:val="20"/>
                <w:szCs w:val="20"/>
                <w:lang w:val="en-US" w:bidi="en-US"/>
              </w:rPr>
            </w:pPr>
            <w:r w:rsidRPr="00C46FE0">
              <w:rPr>
                <w:rFonts w:eastAsia="Andale Sans UI" w:cs="Times New Roman"/>
                <w:sz w:val="20"/>
                <w:szCs w:val="20"/>
                <w:lang w:val="en-US" w:bidi="en-US"/>
              </w:rPr>
              <w:t>592</w:t>
            </w:r>
            <w:r>
              <w:rPr>
                <w:rFonts w:eastAsia="Andale Sans UI" w:cs="Times New Roman"/>
                <w:sz w:val="20"/>
                <w:szCs w:val="20"/>
                <w:lang w:val="en-US" w:bidi="en-US"/>
              </w:rPr>
              <w:t>.</w:t>
            </w:r>
            <w:r w:rsidRPr="00C46FE0">
              <w:rPr>
                <w:rFonts w:eastAsia="Andale Sans UI" w:cs="Times New Roman"/>
                <w:sz w:val="20"/>
                <w:szCs w:val="20"/>
                <w:lang w:val="en-US" w:bidi="en-US"/>
              </w:rPr>
              <w:t>689</w:t>
            </w:r>
          </w:p>
        </w:tc>
        <w:tc>
          <w:tcPr>
            <w:tcW w:w="820" w:type="dxa"/>
            <w:shd w:val="clear" w:color="auto" w:fill="auto"/>
            <w:tcMar>
              <w:left w:w="-10" w:type="dxa"/>
            </w:tcMar>
          </w:tcPr>
          <w:p w14:paraId="73AE5D7D" w14:textId="77777777" w:rsidR="00CD1294" w:rsidRPr="00BB147D" w:rsidRDefault="00CD1294" w:rsidP="0047755C">
            <w:pPr>
              <w:widowControl w:val="0"/>
              <w:spacing w:before="0" w:after="0" w:line="231" w:lineRule="exact"/>
              <w:jc w:val="right"/>
              <w:rPr>
                <w:rFonts w:eastAsia="Andale Sans UI" w:cs="Times New Roman"/>
                <w:sz w:val="20"/>
                <w:szCs w:val="20"/>
                <w:lang w:val="en-US" w:bidi="en-US"/>
              </w:rPr>
            </w:pPr>
            <w:r w:rsidRPr="00BB147D">
              <w:rPr>
                <w:rFonts w:cs="Times New Roman"/>
                <w:sz w:val="20"/>
                <w:szCs w:val="20"/>
              </w:rPr>
              <w:t>100,0%</w:t>
            </w:r>
          </w:p>
        </w:tc>
      </w:tr>
    </w:tbl>
    <w:p w14:paraId="1AA1A7F1" w14:textId="77777777" w:rsidR="00CD1294" w:rsidRPr="00C5324D" w:rsidRDefault="00CD1294" w:rsidP="00CD1294">
      <w:pPr>
        <w:widowControl w:val="0"/>
        <w:spacing w:before="0" w:after="0"/>
        <w:ind w:firstLine="708"/>
        <w:jc w:val="left"/>
        <w:rPr>
          <w:rFonts w:eastAsia="Times New Roman" w:cs="Times New Roman"/>
          <w:i/>
          <w:color w:val="000000"/>
          <w:sz w:val="16"/>
          <w:szCs w:val="24"/>
          <w:lang w:bidi="en-US"/>
        </w:rPr>
      </w:pPr>
      <w:r w:rsidRPr="00C5324D">
        <w:rPr>
          <w:rFonts w:eastAsia="Times New Roman" w:cs="Times New Roman"/>
          <w:i/>
          <w:color w:val="000000"/>
          <w:sz w:val="16"/>
          <w:szCs w:val="24"/>
          <w:lang w:bidi="en-US"/>
        </w:rPr>
        <w:t>Fonte: Elaborazione Unioncamere Umbria su dati Infocamere</w:t>
      </w:r>
      <w:r>
        <w:rPr>
          <w:rFonts w:eastAsia="Times New Roman" w:cs="Times New Roman"/>
          <w:i/>
          <w:color w:val="000000"/>
          <w:sz w:val="16"/>
          <w:szCs w:val="24"/>
          <w:lang w:bidi="en-US"/>
        </w:rPr>
        <w:t xml:space="preserve"> 2017</w:t>
      </w:r>
    </w:p>
    <w:p w14:paraId="612BADDE" w14:textId="77777777" w:rsidR="00CD1294" w:rsidRPr="00C5324D" w:rsidRDefault="00CD1294" w:rsidP="00EC78EE">
      <w:pPr>
        <w:rPr>
          <w:lang w:bidi="en-US"/>
        </w:rPr>
      </w:pPr>
    </w:p>
    <w:p w14:paraId="63BA0AD1" w14:textId="7C80947B" w:rsidR="00CD1294" w:rsidRDefault="00CD1294" w:rsidP="00EC78EE">
      <w:pPr>
        <w:rPr>
          <w:rFonts w:eastAsia="Andale Sans UI" w:cs="Tahoma"/>
          <w:lang w:bidi="en-US"/>
        </w:rPr>
      </w:pPr>
      <w:r>
        <w:rPr>
          <w:rFonts w:eastAsia="Andale Sans UI" w:cs="Tahoma"/>
          <w:lang w:bidi="en-US"/>
        </w:rPr>
        <w:t>Concentrando l’attenzione sulla</w:t>
      </w:r>
      <w:r w:rsidRPr="00720C36">
        <w:rPr>
          <w:rFonts w:eastAsia="Andale Sans UI" w:cs="Tahoma"/>
          <w:lang w:bidi="en-US"/>
        </w:rPr>
        <w:t xml:space="preserve"> situazione relativa agli addetti delle imprese femminili</w:t>
      </w:r>
      <w:r>
        <w:rPr>
          <w:rFonts w:eastAsia="Andale Sans UI" w:cs="Tahoma"/>
          <w:lang w:bidi="en-US"/>
        </w:rPr>
        <w:t>,</w:t>
      </w:r>
      <w:r w:rsidRPr="00720C36">
        <w:rPr>
          <w:rFonts w:eastAsia="Andale Sans UI" w:cs="Tahoma"/>
          <w:lang w:bidi="en-US"/>
        </w:rPr>
        <w:t xml:space="preserve"> negli ultimi 5 anni </w:t>
      </w:r>
      <w:r>
        <w:rPr>
          <w:rFonts w:eastAsia="Andale Sans UI" w:cs="Tahoma"/>
          <w:lang w:bidi="en-US"/>
        </w:rPr>
        <w:t xml:space="preserve">si </w:t>
      </w:r>
      <w:r w:rsidRPr="00720C36">
        <w:rPr>
          <w:rFonts w:eastAsia="Andale Sans UI" w:cs="Tahoma"/>
          <w:lang w:bidi="en-US"/>
        </w:rPr>
        <w:t xml:space="preserve">evidenzia che, </w:t>
      </w:r>
      <w:r>
        <w:rPr>
          <w:rFonts w:eastAsia="Andale Sans UI" w:cs="Tahoma"/>
          <w:lang w:bidi="en-US"/>
        </w:rPr>
        <w:t xml:space="preserve">se </w:t>
      </w:r>
      <w:r w:rsidRPr="00720C36">
        <w:rPr>
          <w:rFonts w:eastAsia="Andale Sans UI" w:cs="Tahoma"/>
          <w:lang w:bidi="en-US"/>
        </w:rPr>
        <w:t>dal 2013 al 2014</w:t>
      </w:r>
      <w:r>
        <w:rPr>
          <w:rFonts w:eastAsia="Andale Sans UI" w:cs="Tahoma"/>
          <w:lang w:bidi="en-US"/>
        </w:rPr>
        <w:t xml:space="preserve"> </w:t>
      </w:r>
      <w:r w:rsidRPr="00720C36">
        <w:rPr>
          <w:rFonts w:eastAsia="Andale Sans UI" w:cs="Tahoma"/>
          <w:lang w:bidi="en-US"/>
        </w:rPr>
        <w:t>(anno di modifica dell’algoritmo di calcolo delle imprese femminili) si è avuta una riduzione percentuale sul</w:t>
      </w:r>
      <w:r>
        <w:rPr>
          <w:rFonts w:eastAsia="Andale Sans UI" w:cs="Tahoma"/>
          <w:lang w:bidi="en-US"/>
        </w:rPr>
        <w:t xml:space="preserve"> </w:t>
      </w:r>
      <w:r w:rsidRPr="00720C36">
        <w:rPr>
          <w:rFonts w:eastAsia="Andale Sans UI" w:cs="Tahoma"/>
          <w:lang w:bidi="en-US"/>
        </w:rPr>
        <w:t>totale</w:t>
      </w:r>
      <w:r>
        <w:rPr>
          <w:rFonts w:eastAsia="Andale Sans UI" w:cs="Tahoma"/>
          <w:lang w:bidi="en-US"/>
        </w:rPr>
        <w:t>,</w:t>
      </w:r>
      <w:r w:rsidRPr="00720C36">
        <w:rPr>
          <w:rFonts w:eastAsia="Andale Sans UI" w:cs="Tahoma"/>
          <w:lang w:bidi="en-US"/>
        </w:rPr>
        <w:t xml:space="preserve"> negli anni a seguire </w:t>
      </w:r>
      <w:r>
        <w:rPr>
          <w:rFonts w:eastAsia="Andale Sans UI" w:cs="Tahoma"/>
          <w:lang w:bidi="en-US"/>
        </w:rPr>
        <w:t>si è però registrata una crescita costante</w:t>
      </w:r>
      <w:r w:rsidRPr="00720C36">
        <w:rPr>
          <w:rFonts w:eastAsia="Andale Sans UI" w:cs="Tahoma"/>
          <w:lang w:bidi="en-US"/>
        </w:rPr>
        <w:t>.</w:t>
      </w:r>
      <w:r>
        <w:rPr>
          <w:rFonts w:eastAsia="Andale Sans UI" w:cs="Tahoma"/>
          <w:lang w:bidi="en-US"/>
        </w:rPr>
        <w:t xml:space="preserve"> I</w:t>
      </w:r>
      <w:r w:rsidRPr="00720C36">
        <w:rPr>
          <w:rFonts w:eastAsia="Andale Sans UI" w:cs="Tahoma"/>
          <w:lang w:bidi="en-US"/>
        </w:rPr>
        <w:t xml:space="preserve">l calo verificatosi tra il 2013 e il 2014 </w:t>
      </w:r>
      <w:r>
        <w:rPr>
          <w:rFonts w:eastAsia="Andale Sans UI" w:cs="Tahoma"/>
          <w:lang w:bidi="en-US"/>
        </w:rPr>
        <w:t xml:space="preserve">a </w:t>
      </w:r>
      <w:r w:rsidRPr="00720C36">
        <w:rPr>
          <w:rFonts w:eastAsia="Andale Sans UI" w:cs="Tahoma"/>
          <w:lang w:bidi="en-US"/>
        </w:rPr>
        <w:t xml:space="preserve">livello regionale è stato più contenuto </w:t>
      </w:r>
      <w:r>
        <w:rPr>
          <w:rFonts w:eastAsia="Andale Sans UI" w:cs="Tahoma"/>
          <w:lang w:bidi="en-US"/>
        </w:rPr>
        <w:t>rispetto a quello nazionale</w:t>
      </w:r>
      <w:r w:rsidRPr="00720C36">
        <w:rPr>
          <w:rFonts w:eastAsia="Andale Sans UI" w:cs="Tahoma"/>
          <w:lang w:bidi="en-US"/>
        </w:rPr>
        <w:t>.</w:t>
      </w:r>
      <w:r>
        <w:rPr>
          <w:rFonts w:eastAsia="Andale Sans UI" w:cs="Tahoma"/>
          <w:lang w:bidi="en-US"/>
        </w:rPr>
        <w:t xml:space="preserve"> </w:t>
      </w:r>
      <w:r w:rsidRPr="00720C36">
        <w:rPr>
          <w:rFonts w:eastAsia="Andale Sans UI" w:cs="Tahoma"/>
          <w:lang w:bidi="en-US"/>
        </w:rPr>
        <w:t xml:space="preserve">Certo è che a livello </w:t>
      </w:r>
      <w:r>
        <w:rPr>
          <w:rFonts w:eastAsia="Andale Sans UI" w:cs="Tahoma"/>
          <w:lang w:bidi="en-US"/>
        </w:rPr>
        <w:t>generale g</w:t>
      </w:r>
      <w:r w:rsidRPr="00720C36">
        <w:rPr>
          <w:rFonts w:eastAsia="Andale Sans UI" w:cs="Tahoma"/>
          <w:lang w:bidi="en-US"/>
        </w:rPr>
        <w:t xml:space="preserve">li addetti delle </w:t>
      </w:r>
      <w:r>
        <w:rPr>
          <w:rFonts w:eastAsia="Andale Sans UI" w:cs="Tahoma"/>
          <w:lang w:bidi="en-US"/>
        </w:rPr>
        <w:t xml:space="preserve">imprese femminili dal 2014 al 2017 </w:t>
      </w:r>
      <w:r w:rsidRPr="00720C36">
        <w:rPr>
          <w:rFonts w:eastAsia="Andale Sans UI" w:cs="Tahoma"/>
          <w:lang w:bidi="en-US"/>
        </w:rPr>
        <w:t>oggi risult</w:t>
      </w:r>
      <w:r>
        <w:rPr>
          <w:rFonts w:eastAsia="Andale Sans UI" w:cs="Tahoma"/>
          <w:lang w:bidi="en-US"/>
        </w:rPr>
        <w:t>ano comunque sempre in crescita,</w:t>
      </w:r>
      <w:r w:rsidRPr="00720C36">
        <w:rPr>
          <w:rFonts w:eastAsia="Andale Sans UI" w:cs="Tahoma"/>
          <w:lang w:bidi="en-US"/>
        </w:rPr>
        <w:t xml:space="preserve"> a differenza degli addetti del totale imprese.</w:t>
      </w:r>
    </w:p>
    <w:p w14:paraId="6BCD2579" w14:textId="77777777" w:rsidR="00EC78EE" w:rsidRDefault="00EC78EE" w:rsidP="00EC78EE">
      <w:pPr>
        <w:rPr>
          <w:rFonts w:eastAsia="Andale Sans UI" w:cs="Tahoma"/>
          <w:lang w:bidi="en-US"/>
        </w:rPr>
      </w:pPr>
    </w:p>
    <w:p w14:paraId="3D188D6E" w14:textId="4580F899" w:rsidR="00CD1294" w:rsidRPr="002B76C2" w:rsidRDefault="00CD1294" w:rsidP="007D4B0C">
      <w:pPr>
        <w:pStyle w:val="Titolotabella"/>
        <w:ind w:left="993" w:hanging="993"/>
      </w:pPr>
      <w:r w:rsidRPr="002B76C2">
        <w:t xml:space="preserve">Tabella </w:t>
      </w:r>
      <w:r w:rsidR="00EC78EE">
        <w:t>9</w:t>
      </w:r>
      <w:r w:rsidRPr="002B76C2">
        <w:t xml:space="preserve"> - Addetti nelle imprese femminili, in totale e rapporti caratteristici in Umbria e in Italia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0" w:type="dxa"/>
          <w:right w:w="0" w:type="dxa"/>
        </w:tblCellMar>
        <w:tblLook w:val="0000" w:firstRow="0" w:lastRow="0" w:firstColumn="0" w:lastColumn="0" w:noHBand="0" w:noVBand="0"/>
      </w:tblPr>
      <w:tblGrid>
        <w:gridCol w:w="3462"/>
        <w:gridCol w:w="1132"/>
        <w:gridCol w:w="1111"/>
        <w:gridCol w:w="1111"/>
        <w:gridCol w:w="1111"/>
        <w:gridCol w:w="1133"/>
      </w:tblGrid>
      <w:tr w:rsidR="00EC78EE" w:rsidRPr="00EC78EE" w14:paraId="6A7DABFB" w14:textId="77777777" w:rsidTr="00EC78EE">
        <w:trPr>
          <w:trHeight w:val="530"/>
        </w:trPr>
        <w:tc>
          <w:tcPr>
            <w:tcW w:w="1911" w:type="pct"/>
            <w:shd w:val="clear" w:color="auto" w:fill="1F4E79" w:themeFill="accent1" w:themeFillShade="80"/>
            <w:tcMar>
              <w:left w:w="-10" w:type="dxa"/>
            </w:tcMar>
            <w:vAlign w:val="center"/>
          </w:tcPr>
          <w:p w14:paraId="71F693D1" w14:textId="6C2156F3" w:rsidR="00EC78EE" w:rsidRPr="00EC78EE" w:rsidRDefault="00EC78EE" w:rsidP="00EC78EE">
            <w:pPr>
              <w:widowControl w:val="0"/>
              <w:snapToGrid w:val="0"/>
              <w:spacing w:before="0" w:after="0"/>
              <w:jc w:val="center"/>
              <w:rPr>
                <w:rFonts w:eastAsia="Times New Roman" w:cs="Times New Roman"/>
                <w:color w:val="FFFFFF" w:themeColor="background1"/>
                <w:lang w:bidi="en-US"/>
              </w:rPr>
            </w:pPr>
            <w:r w:rsidRPr="00EC78EE">
              <w:rPr>
                <w:rFonts w:eastAsia="Arial" w:cs="Times New Roman"/>
                <w:b/>
                <w:color w:val="FFFFFF" w:themeColor="background1"/>
                <w:lang w:val="en-US" w:bidi="en-US"/>
              </w:rPr>
              <w:t>ITALIA</w:t>
            </w:r>
          </w:p>
        </w:tc>
        <w:tc>
          <w:tcPr>
            <w:tcW w:w="625" w:type="pct"/>
            <w:shd w:val="clear" w:color="auto" w:fill="1F4E79" w:themeFill="accent1" w:themeFillShade="80"/>
            <w:tcMar>
              <w:left w:w="-10" w:type="dxa"/>
            </w:tcMar>
            <w:vAlign w:val="center"/>
          </w:tcPr>
          <w:p w14:paraId="1B91B77B" w14:textId="77777777" w:rsidR="00EC78EE" w:rsidRPr="00EC78EE" w:rsidRDefault="00EC78EE" w:rsidP="0047755C">
            <w:pPr>
              <w:widowControl w:val="0"/>
              <w:spacing w:before="0" w:after="0"/>
              <w:jc w:val="center"/>
              <w:rPr>
                <w:rFonts w:eastAsia="Arial" w:cs="Times New Roman"/>
                <w:b/>
                <w:color w:val="FFFFFF" w:themeColor="background1"/>
                <w:lang w:val="en-US" w:bidi="en-US"/>
              </w:rPr>
            </w:pPr>
            <w:r w:rsidRPr="00EC78EE">
              <w:rPr>
                <w:rFonts w:eastAsia="Arial" w:cs="Times New Roman"/>
                <w:b/>
                <w:color w:val="FFFFFF" w:themeColor="background1"/>
                <w:lang w:val="en-US" w:bidi="en-US"/>
              </w:rPr>
              <w:t>II trim. 13</w:t>
            </w:r>
          </w:p>
        </w:tc>
        <w:tc>
          <w:tcPr>
            <w:tcW w:w="613" w:type="pct"/>
            <w:shd w:val="clear" w:color="auto" w:fill="1F4E79" w:themeFill="accent1" w:themeFillShade="80"/>
            <w:tcMar>
              <w:left w:w="-10" w:type="dxa"/>
            </w:tcMar>
            <w:vAlign w:val="center"/>
          </w:tcPr>
          <w:p w14:paraId="4038BB95" w14:textId="77777777" w:rsidR="00EC78EE" w:rsidRPr="00EC78EE" w:rsidRDefault="00EC78EE" w:rsidP="0047755C">
            <w:pPr>
              <w:widowControl w:val="0"/>
              <w:spacing w:before="0" w:after="0"/>
              <w:jc w:val="center"/>
              <w:rPr>
                <w:rFonts w:eastAsia="Arial" w:cs="Times New Roman"/>
                <w:b/>
                <w:color w:val="FFFFFF" w:themeColor="background1"/>
                <w:lang w:val="en-US" w:bidi="en-US"/>
              </w:rPr>
            </w:pPr>
            <w:r w:rsidRPr="00EC78EE">
              <w:rPr>
                <w:rFonts w:eastAsia="Arial" w:cs="Times New Roman"/>
                <w:b/>
                <w:color w:val="FFFFFF" w:themeColor="background1"/>
                <w:lang w:val="en-US" w:bidi="en-US"/>
              </w:rPr>
              <w:t>II trim. 14</w:t>
            </w:r>
          </w:p>
        </w:tc>
        <w:tc>
          <w:tcPr>
            <w:tcW w:w="613" w:type="pct"/>
            <w:shd w:val="clear" w:color="auto" w:fill="1F4E79" w:themeFill="accent1" w:themeFillShade="80"/>
            <w:tcMar>
              <w:left w:w="-10" w:type="dxa"/>
            </w:tcMar>
            <w:vAlign w:val="center"/>
          </w:tcPr>
          <w:p w14:paraId="5B810B0F" w14:textId="77777777" w:rsidR="00EC78EE" w:rsidRPr="00EC78EE" w:rsidRDefault="00EC78EE" w:rsidP="0047755C">
            <w:pPr>
              <w:widowControl w:val="0"/>
              <w:spacing w:before="0" w:after="0"/>
              <w:jc w:val="center"/>
              <w:rPr>
                <w:rFonts w:eastAsia="Arial" w:cs="Times New Roman"/>
                <w:b/>
                <w:color w:val="FFFFFF" w:themeColor="background1"/>
                <w:lang w:val="en-US" w:bidi="en-US"/>
              </w:rPr>
            </w:pPr>
            <w:r w:rsidRPr="00EC78EE">
              <w:rPr>
                <w:rFonts w:eastAsia="Arial" w:cs="Times New Roman"/>
                <w:b/>
                <w:color w:val="FFFFFF" w:themeColor="background1"/>
                <w:lang w:val="en-US" w:bidi="en-US"/>
              </w:rPr>
              <w:t>II trim. 15</w:t>
            </w:r>
          </w:p>
        </w:tc>
        <w:tc>
          <w:tcPr>
            <w:tcW w:w="613" w:type="pct"/>
            <w:shd w:val="clear" w:color="auto" w:fill="1F4E79" w:themeFill="accent1" w:themeFillShade="80"/>
            <w:tcMar>
              <w:left w:w="-10" w:type="dxa"/>
            </w:tcMar>
            <w:vAlign w:val="center"/>
          </w:tcPr>
          <w:p w14:paraId="009226AE" w14:textId="77777777" w:rsidR="00EC78EE" w:rsidRPr="00EC78EE" w:rsidRDefault="00EC78EE" w:rsidP="0047755C">
            <w:pPr>
              <w:widowControl w:val="0"/>
              <w:spacing w:before="0" w:after="0"/>
              <w:jc w:val="center"/>
              <w:rPr>
                <w:rFonts w:eastAsia="Arial" w:cs="Times New Roman"/>
                <w:b/>
                <w:color w:val="FFFFFF" w:themeColor="background1"/>
                <w:lang w:val="en-US" w:bidi="en-US"/>
              </w:rPr>
            </w:pPr>
            <w:r w:rsidRPr="00EC78EE">
              <w:rPr>
                <w:rFonts w:eastAsia="Arial" w:cs="Times New Roman"/>
                <w:b/>
                <w:color w:val="FFFFFF" w:themeColor="background1"/>
                <w:lang w:val="en-US" w:bidi="en-US"/>
              </w:rPr>
              <w:t>II trim. 16</w:t>
            </w:r>
          </w:p>
        </w:tc>
        <w:tc>
          <w:tcPr>
            <w:tcW w:w="625" w:type="pct"/>
            <w:shd w:val="clear" w:color="auto" w:fill="1F4E79" w:themeFill="accent1" w:themeFillShade="80"/>
            <w:tcMar>
              <w:left w:w="-10" w:type="dxa"/>
            </w:tcMar>
            <w:vAlign w:val="center"/>
          </w:tcPr>
          <w:p w14:paraId="01E287BA" w14:textId="77777777" w:rsidR="00EC78EE" w:rsidRPr="00EC78EE" w:rsidRDefault="00EC78EE" w:rsidP="0047755C">
            <w:pPr>
              <w:widowControl w:val="0"/>
              <w:spacing w:before="0" w:after="0"/>
              <w:jc w:val="center"/>
              <w:rPr>
                <w:rFonts w:eastAsia="Arial" w:cs="Times New Roman"/>
                <w:b/>
                <w:color w:val="FFFFFF" w:themeColor="background1"/>
                <w:lang w:val="en-US" w:bidi="en-US"/>
              </w:rPr>
            </w:pPr>
            <w:r w:rsidRPr="00EC78EE">
              <w:rPr>
                <w:rFonts w:eastAsia="Arial" w:cs="Times New Roman"/>
                <w:b/>
                <w:color w:val="FFFFFF" w:themeColor="background1"/>
                <w:lang w:val="en-US" w:bidi="en-US"/>
              </w:rPr>
              <w:t>II trim. 17</w:t>
            </w:r>
          </w:p>
        </w:tc>
      </w:tr>
      <w:tr w:rsidR="00CD1294" w:rsidRPr="002B76C2" w14:paraId="0E8A3A57" w14:textId="77777777" w:rsidTr="003730A0">
        <w:trPr>
          <w:trHeight w:val="225"/>
        </w:trPr>
        <w:tc>
          <w:tcPr>
            <w:tcW w:w="1911" w:type="pct"/>
            <w:shd w:val="clear" w:color="auto" w:fill="auto"/>
            <w:tcMar>
              <w:left w:w="-10" w:type="dxa"/>
            </w:tcMar>
            <w:vAlign w:val="center"/>
          </w:tcPr>
          <w:p w14:paraId="6A3F3817" w14:textId="6D9AEFB2" w:rsidR="00CD1294" w:rsidRPr="002B76C2" w:rsidRDefault="00EC78EE" w:rsidP="0047755C">
            <w:pPr>
              <w:widowControl w:val="0"/>
              <w:spacing w:before="0" w:after="0"/>
              <w:ind w:left="40"/>
              <w:jc w:val="left"/>
              <w:rPr>
                <w:rFonts w:eastAsia="Arial" w:cs="Times New Roman"/>
                <w:lang w:val="en-US" w:bidi="en-US"/>
              </w:rPr>
            </w:pPr>
            <w:r w:rsidRPr="002B76C2">
              <w:rPr>
                <w:rFonts w:eastAsia="Arial" w:cs="Times New Roman"/>
                <w:lang w:val="en-US" w:bidi="en-US"/>
              </w:rPr>
              <w:t>Addetti imprese femminili (a)</w:t>
            </w:r>
          </w:p>
        </w:tc>
        <w:tc>
          <w:tcPr>
            <w:tcW w:w="625" w:type="pct"/>
            <w:shd w:val="clear" w:color="auto" w:fill="auto"/>
            <w:tcMar>
              <w:left w:w="-10" w:type="dxa"/>
            </w:tcMar>
            <w:vAlign w:val="center"/>
          </w:tcPr>
          <w:p w14:paraId="1657B4FB"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3.266.153</w:t>
            </w:r>
          </w:p>
        </w:tc>
        <w:tc>
          <w:tcPr>
            <w:tcW w:w="613" w:type="pct"/>
            <w:shd w:val="clear" w:color="auto" w:fill="auto"/>
            <w:tcMar>
              <w:left w:w="-10" w:type="dxa"/>
            </w:tcMar>
            <w:vAlign w:val="center"/>
          </w:tcPr>
          <w:p w14:paraId="3DC6C6DE"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2.756.761</w:t>
            </w:r>
          </w:p>
        </w:tc>
        <w:tc>
          <w:tcPr>
            <w:tcW w:w="613" w:type="pct"/>
            <w:shd w:val="clear" w:color="auto" w:fill="auto"/>
            <w:tcMar>
              <w:left w:w="-10" w:type="dxa"/>
            </w:tcMar>
            <w:vAlign w:val="center"/>
          </w:tcPr>
          <w:p w14:paraId="0DC809A5"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2.795.052</w:t>
            </w:r>
          </w:p>
        </w:tc>
        <w:tc>
          <w:tcPr>
            <w:tcW w:w="613" w:type="pct"/>
            <w:shd w:val="clear" w:color="auto" w:fill="auto"/>
            <w:tcMar>
              <w:left w:w="-10" w:type="dxa"/>
            </w:tcMar>
            <w:vAlign w:val="center"/>
          </w:tcPr>
          <w:p w14:paraId="4E26ADFF"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2.890.277</w:t>
            </w:r>
          </w:p>
        </w:tc>
        <w:tc>
          <w:tcPr>
            <w:tcW w:w="625" w:type="pct"/>
            <w:shd w:val="clear" w:color="auto" w:fill="auto"/>
            <w:tcMar>
              <w:left w:w="-10" w:type="dxa"/>
            </w:tcMar>
            <w:vAlign w:val="center"/>
          </w:tcPr>
          <w:p w14:paraId="3CEDEC2C"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2.927.458</w:t>
            </w:r>
          </w:p>
        </w:tc>
      </w:tr>
      <w:tr w:rsidR="00CD1294" w:rsidRPr="002B76C2" w14:paraId="5B23DADF" w14:textId="77777777" w:rsidTr="003730A0">
        <w:trPr>
          <w:trHeight w:val="224"/>
        </w:trPr>
        <w:tc>
          <w:tcPr>
            <w:tcW w:w="1911" w:type="pct"/>
            <w:shd w:val="clear" w:color="auto" w:fill="auto"/>
            <w:tcMar>
              <w:left w:w="-10" w:type="dxa"/>
            </w:tcMar>
            <w:vAlign w:val="center"/>
          </w:tcPr>
          <w:p w14:paraId="67ECD3BA" w14:textId="1BF95343" w:rsidR="00CD1294" w:rsidRPr="002B76C2" w:rsidRDefault="00EC78EE" w:rsidP="0047755C">
            <w:pPr>
              <w:widowControl w:val="0"/>
              <w:spacing w:before="0" w:after="0"/>
              <w:ind w:left="40"/>
              <w:jc w:val="left"/>
              <w:rPr>
                <w:rFonts w:eastAsia="Arial" w:cs="Times New Roman"/>
                <w:lang w:val="en-US" w:bidi="en-US"/>
              </w:rPr>
            </w:pPr>
            <w:r w:rsidRPr="002B76C2">
              <w:rPr>
                <w:rFonts w:eastAsia="Arial" w:cs="Times New Roman"/>
                <w:lang w:val="en-US" w:bidi="en-US"/>
              </w:rPr>
              <w:t>Addetti totale imprese (b)</w:t>
            </w:r>
          </w:p>
        </w:tc>
        <w:tc>
          <w:tcPr>
            <w:tcW w:w="625" w:type="pct"/>
            <w:shd w:val="clear" w:color="auto" w:fill="auto"/>
            <w:tcMar>
              <w:left w:w="-10" w:type="dxa"/>
            </w:tcMar>
            <w:vAlign w:val="center"/>
          </w:tcPr>
          <w:p w14:paraId="03836249"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21.221.045</w:t>
            </w:r>
          </w:p>
        </w:tc>
        <w:tc>
          <w:tcPr>
            <w:tcW w:w="613" w:type="pct"/>
            <w:shd w:val="clear" w:color="auto" w:fill="auto"/>
            <w:tcMar>
              <w:left w:w="-10" w:type="dxa"/>
            </w:tcMar>
            <w:vAlign w:val="center"/>
          </w:tcPr>
          <w:p w14:paraId="625E4A95"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21.008.913</w:t>
            </w:r>
          </w:p>
        </w:tc>
        <w:tc>
          <w:tcPr>
            <w:tcW w:w="613" w:type="pct"/>
            <w:shd w:val="clear" w:color="auto" w:fill="auto"/>
            <w:tcMar>
              <w:left w:w="-10" w:type="dxa"/>
            </w:tcMar>
            <w:vAlign w:val="center"/>
          </w:tcPr>
          <w:p w14:paraId="56601B95"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20.828.333</w:t>
            </w:r>
          </w:p>
        </w:tc>
        <w:tc>
          <w:tcPr>
            <w:tcW w:w="613" w:type="pct"/>
            <w:shd w:val="clear" w:color="auto" w:fill="auto"/>
            <w:tcMar>
              <w:left w:w="-10" w:type="dxa"/>
            </w:tcMar>
            <w:vAlign w:val="center"/>
          </w:tcPr>
          <w:p w14:paraId="400EFAB8"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21.216.844</w:t>
            </w:r>
          </w:p>
        </w:tc>
        <w:tc>
          <w:tcPr>
            <w:tcW w:w="625" w:type="pct"/>
            <w:shd w:val="clear" w:color="auto" w:fill="auto"/>
            <w:tcMar>
              <w:left w:w="-10" w:type="dxa"/>
            </w:tcMar>
            <w:vAlign w:val="center"/>
          </w:tcPr>
          <w:p w14:paraId="19B54BA6"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21.604.438</w:t>
            </w:r>
          </w:p>
        </w:tc>
      </w:tr>
      <w:tr w:rsidR="00CD1294" w:rsidRPr="002B76C2" w14:paraId="78892381" w14:textId="77777777" w:rsidTr="003730A0">
        <w:trPr>
          <w:trHeight w:val="224"/>
        </w:trPr>
        <w:tc>
          <w:tcPr>
            <w:tcW w:w="1911" w:type="pct"/>
            <w:shd w:val="clear" w:color="auto" w:fill="auto"/>
            <w:tcMar>
              <w:left w:w="-10" w:type="dxa"/>
            </w:tcMar>
            <w:vAlign w:val="center"/>
          </w:tcPr>
          <w:p w14:paraId="0990865D" w14:textId="4C4BCC25" w:rsidR="00CD1294" w:rsidRPr="002B76C2" w:rsidRDefault="00EC78EE" w:rsidP="0047755C">
            <w:pPr>
              <w:widowControl w:val="0"/>
              <w:spacing w:before="0" w:after="0"/>
              <w:ind w:left="40"/>
              <w:jc w:val="left"/>
              <w:rPr>
                <w:rFonts w:eastAsia="Arial" w:cs="Times New Roman"/>
                <w:lang w:val="en-US" w:bidi="en-US"/>
              </w:rPr>
            </w:pPr>
            <w:r w:rsidRPr="002B76C2">
              <w:rPr>
                <w:rFonts w:eastAsia="Arial" w:cs="Times New Roman"/>
                <w:lang w:val="en-US" w:bidi="en-US"/>
              </w:rPr>
              <w:t>Incidenza (a/b %)</w:t>
            </w:r>
          </w:p>
        </w:tc>
        <w:tc>
          <w:tcPr>
            <w:tcW w:w="625" w:type="pct"/>
            <w:shd w:val="clear" w:color="auto" w:fill="auto"/>
            <w:tcMar>
              <w:left w:w="-10" w:type="dxa"/>
            </w:tcMar>
            <w:vAlign w:val="center"/>
          </w:tcPr>
          <w:p w14:paraId="087F601A"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15,39</w:t>
            </w:r>
          </w:p>
        </w:tc>
        <w:tc>
          <w:tcPr>
            <w:tcW w:w="613" w:type="pct"/>
            <w:shd w:val="clear" w:color="auto" w:fill="auto"/>
            <w:tcMar>
              <w:left w:w="-10" w:type="dxa"/>
            </w:tcMar>
            <w:vAlign w:val="center"/>
          </w:tcPr>
          <w:p w14:paraId="19966F68"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13,12</w:t>
            </w:r>
          </w:p>
        </w:tc>
        <w:tc>
          <w:tcPr>
            <w:tcW w:w="613" w:type="pct"/>
            <w:shd w:val="clear" w:color="auto" w:fill="auto"/>
            <w:tcMar>
              <w:left w:w="-10" w:type="dxa"/>
            </w:tcMar>
            <w:vAlign w:val="center"/>
          </w:tcPr>
          <w:p w14:paraId="3B3CB7D5"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13,42</w:t>
            </w:r>
          </w:p>
        </w:tc>
        <w:tc>
          <w:tcPr>
            <w:tcW w:w="613" w:type="pct"/>
            <w:shd w:val="clear" w:color="auto" w:fill="auto"/>
            <w:tcMar>
              <w:left w:w="-10" w:type="dxa"/>
            </w:tcMar>
            <w:vAlign w:val="center"/>
          </w:tcPr>
          <w:p w14:paraId="2365320F"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13,62</w:t>
            </w:r>
          </w:p>
        </w:tc>
        <w:tc>
          <w:tcPr>
            <w:tcW w:w="625" w:type="pct"/>
            <w:shd w:val="clear" w:color="auto" w:fill="auto"/>
            <w:tcMar>
              <w:left w:w="-10" w:type="dxa"/>
            </w:tcMar>
            <w:vAlign w:val="center"/>
          </w:tcPr>
          <w:p w14:paraId="7C3E2E74"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13,55</w:t>
            </w:r>
          </w:p>
        </w:tc>
      </w:tr>
      <w:tr w:rsidR="00CD1294" w:rsidRPr="002B76C2" w14:paraId="2A709DB5" w14:textId="77777777" w:rsidTr="003730A0">
        <w:trPr>
          <w:trHeight w:val="219"/>
        </w:trPr>
        <w:tc>
          <w:tcPr>
            <w:tcW w:w="1911" w:type="pct"/>
            <w:shd w:val="clear" w:color="auto" w:fill="auto"/>
            <w:tcMar>
              <w:left w:w="-10" w:type="dxa"/>
            </w:tcMar>
            <w:vAlign w:val="center"/>
          </w:tcPr>
          <w:p w14:paraId="308BD3CD" w14:textId="77777777" w:rsidR="00CD1294" w:rsidRPr="002B76C2" w:rsidRDefault="00CD1294" w:rsidP="0047755C">
            <w:pPr>
              <w:widowControl w:val="0"/>
              <w:spacing w:before="0" w:after="0"/>
              <w:ind w:left="40"/>
              <w:jc w:val="left"/>
              <w:rPr>
                <w:rFonts w:eastAsia="Arial" w:cs="Times New Roman"/>
                <w:b/>
                <w:lang w:val="en-US" w:bidi="en-US"/>
              </w:rPr>
            </w:pPr>
            <w:r w:rsidRPr="002B76C2">
              <w:rPr>
                <w:rFonts w:eastAsia="Arial" w:cs="Times New Roman"/>
                <w:b/>
                <w:lang w:val="en-US" w:bidi="en-US"/>
              </w:rPr>
              <w:t>UMBRIA</w:t>
            </w:r>
          </w:p>
        </w:tc>
        <w:tc>
          <w:tcPr>
            <w:tcW w:w="625" w:type="pct"/>
            <w:shd w:val="clear" w:color="auto" w:fill="auto"/>
            <w:tcMar>
              <w:left w:w="-10" w:type="dxa"/>
            </w:tcMar>
            <w:vAlign w:val="center"/>
          </w:tcPr>
          <w:p w14:paraId="7F492766" w14:textId="77777777" w:rsidR="00CD1294" w:rsidRPr="002B76C2" w:rsidRDefault="00CD1294" w:rsidP="0047755C">
            <w:pPr>
              <w:widowControl w:val="0"/>
              <w:snapToGrid w:val="0"/>
              <w:spacing w:before="0" w:after="0"/>
              <w:ind w:right="57"/>
              <w:jc w:val="left"/>
              <w:rPr>
                <w:rFonts w:eastAsia="Times New Roman" w:cs="Times New Roman"/>
                <w:b/>
                <w:lang w:val="en-US" w:bidi="en-US"/>
              </w:rPr>
            </w:pPr>
          </w:p>
        </w:tc>
        <w:tc>
          <w:tcPr>
            <w:tcW w:w="613" w:type="pct"/>
            <w:shd w:val="clear" w:color="auto" w:fill="auto"/>
            <w:tcMar>
              <w:left w:w="-10" w:type="dxa"/>
            </w:tcMar>
            <w:vAlign w:val="center"/>
          </w:tcPr>
          <w:p w14:paraId="347982A5" w14:textId="77777777" w:rsidR="00CD1294" w:rsidRPr="002B76C2" w:rsidRDefault="00CD1294" w:rsidP="0047755C">
            <w:pPr>
              <w:widowControl w:val="0"/>
              <w:snapToGrid w:val="0"/>
              <w:spacing w:before="0" w:after="0"/>
              <w:ind w:right="57"/>
              <w:jc w:val="left"/>
              <w:rPr>
                <w:rFonts w:eastAsia="Times New Roman" w:cs="Times New Roman"/>
                <w:lang w:val="en-US" w:bidi="en-US"/>
              </w:rPr>
            </w:pPr>
          </w:p>
        </w:tc>
        <w:tc>
          <w:tcPr>
            <w:tcW w:w="613" w:type="pct"/>
            <w:shd w:val="clear" w:color="auto" w:fill="auto"/>
            <w:tcMar>
              <w:left w:w="-10" w:type="dxa"/>
            </w:tcMar>
            <w:vAlign w:val="center"/>
          </w:tcPr>
          <w:p w14:paraId="3495C0E5" w14:textId="77777777" w:rsidR="00CD1294" w:rsidRPr="002B76C2" w:rsidRDefault="00CD1294" w:rsidP="0047755C">
            <w:pPr>
              <w:widowControl w:val="0"/>
              <w:snapToGrid w:val="0"/>
              <w:spacing w:before="0" w:after="0"/>
              <w:ind w:right="57"/>
              <w:jc w:val="left"/>
              <w:rPr>
                <w:rFonts w:eastAsia="Times New Roman" w:cs="Times New Roman"/>
                <w:lang w:val="en-US" w:bidi="en-US"/>
              </w:rPr>
            </w:pPr>
          </w:p>
        </w:tc>
        <w:tc>
          <w:tcPr>
            <w:tcW w:w="613" w:type="pct"/>
            <w:shd w:val="clear" w:color="auto" w:fill="auto"/>
            <w:tcMar>
              <w:left w:w="-10" w:type="dxa"/>
            </w:tcMar>
            <w:vAlign w:val="center"/>
          </w:tcPr>
          <w:p w14:paraId="7015D992" w14:textId="77777777" w:rsidR="00CD1294" w:rsidRPr="002B76C2" w:rsidRDefault="00CD1294" w:rsidP="0047755C">
            <w:pPr>
              <w:widowControl w:val="0"/>
              <w:snapToGrid w:val="0"/>
              <w:spacing w:before="0" w:after="0"/>
              <w:ind w:right="57"/>
              <w:jc w:val="left"/>
              <w:rPr>
                <w:rFonts w:eastAsia="Times New Roman" w:cs="Times New Roman"/>
                <w:lang w:val="en-US" w:bidi="en-US"/>
              </w:rPr>
            </w:pPr>
          </w:p>
        </w:tc>
        <w:tc>
          <w:tcPr>
            <w:tcW w:w="625" w:type="pct"/>
            <w:shd w:val="clear" w:color="auto" w:fill="auto"/>
            <w:tcMar>
              <w:left w:w="-10" w:type="dxa"/>
            </w:tcMar>
            <w:vAlign w:val="center"/>
          </w:tcPr>
          <w:p w14:paraId="1148A1B7" w14:textId="77777777" w:rsidR="00CD1294" w:rsidRPr="002B76C2" w:rsidRDefault="00CD1294" w:rsidP="0047755C">
            <w:pPr>
              <w:widowControl w:val="0"/>
              <w:snapToGrid w:val="0"/>
              <w:spacing w:before="0" w:after="0"/>
              <w:ind w:right="57"/>
              <w:jc w:val="left"/>
              <w:rPr>
                <w:rFonts w:eastAsia="Times New Roman" w:cs="Times New Roman"/>
                <w:lang w:val="en-US" w:bidi="en-US"/>
              </w:rPr>
            </w:pPr>
          </w:p>
        </w:tc>
      </w:tr>
      <w:tr w:rsidR="00CD1294" w:rsidRPr="002B76C2" w14:paraId="42520A24" w14:textId="77777777" w:rsidTr="003730A0">
        <w:trPr>
          <w:trHeight w:val="224"/>
        </w:trPr>
        <w:tc>
          <w:tcPr>
            <w:tcW w:w="1911" w:type="pct"/>
            <w:shd w:val="clear" w:color="auto" w:fill="auto"/>
            <w:tcMar>
              <w:left w:w="-10" w:type="dxa"/>
            </w:tcMar>
            <w:vAlign w:val="center"/>
          </w:tcPr>
          <w:p w14:paraId="3D5EF362" w14:textId="17D3C0F4" w:rsidR="00CD1294" w:rsidRPr="002B76C2" w:rsidRDefault="00EC78EE" w:rsidP="0047755C">
            <w:pPr>
              <w:widowControl w:val="0"/>
              <w:spacing w:before="0" w:after="0"/>
              <w:ind w:left="40"/>
              <w:jc w:val="left"/>
              <w:rPr>
                <w:rFonts w:eastAsia="Arial" w:cs="Times New Roman"/>
                <w:lang w:val="en-US" w:bidi="en-US"/>
              </w:rPr>
            </w:pPr>
            <w:r w:rsidRPr="002B76C2">
              <w:rPr>
                <w:rFonts w:eastAsia="Arial" w:cs="Times New Roman"/>
                <w:lang w:val="en-US" w:bidi="en-US"/>
              </w:rPr>
              <w:t>Addetti imprese femminili (c)</w:t>
            </w:r>
          </w:p>
        </w:tc>
        <w:tc>
          <w:tcPr>
            <w:tcW w:w="625" w:type="pct"/>
            <w:shd w:val="clear" w:color="auto" w:fill="auto"/>
            <w:tcMar>
              <w:left w:w="-10" w:type="dxa"/>
            </w:tcMar>
            <w:vAlign w:val="center"/>
          </w:tcPr>
          <w:p w14:paraId="7EABCD24"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54.405</w:t>
            </w:r>
          </w:p>
        </w:tc>
        <w:tc>
          <w:tcPr>
            <w:tcW w:w="613" w:type="pct"/>
            <w:shd w:val="clear" w:color="auto" w:fill="auto"/>
            <w:tcMar>
              <w:left w:w="-10" w:type="dxa"/>
            </w:tcMar>
            <w:vAlign w:val="center"/>
          </w:tcPr>
          <w:p w14:paraId="1FE9D66A"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47.973</w:t>
            </w:r>
          </w:p>
        </w:tc>
        <w:tc>
          <w:tcPr>
            <w:tcW w:w="613" w:type="pct"/>
            <w:shd w:val="clear" w:color="auto" w:fill="auto"/>
            <w:tcMar>
              <w:left w:w="-10" w:type="dxa"/>
            </w:tcMar>
            <w:vAlign w:val="center"/>
          </w:tcPr>
          <w:p w14:paraId="68D36F8E"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48.114</w:t>
            </w:r>
          </w:p>
        </w:tc>
        <w:tc>
          <w:tcPr>
            <w:tcW w:w="613" w:type="pct"/>
            <w:shd w:val="clear" w:color="auto" w:fill="auto"/>
            <w:tcMar>
              <w:left w:w="-10" w:type="dxa"/>
            </w:tcMar>
            <w:vAlign w:val="center"/>
          </w:tcPr>
          <w:p w14:paraId="126B8CA1"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50.850</w:t>
            </w:r>
          </w:p>
        </w:tc>
        <w:tc>
          <w:tcPr>
            <w:tcW w:w="625" w:type="pct"/>
            <w:shd w:val="clear" w:color="auto" w:fill="auto"/>
            <w:tcMar>
              <w:left w:w="-10" w:type="dxa"/>
            </w:tcMar>
            <w:vAlign w:val="center"/>
          </w:tcPr>
          <w:p w14:paraId="42FEC17F"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51.084</w:t>
            </w:r>
          </w:p>
        </w:tc>
      </w:tr>
      <w:tr w:rsidR="00CD1294" w:rsidRPr="002B76C2" w14:paraId="4F78E375" w14:textId="77777777" w:rsidTr="003730A0">
        <w:trPr>
          <w:trHeight w:val="224"/>
        </w:trPr>
        <w:tc>
          <w:tcPr>
            <w:tcW w:w="1911" w:type="pct"/>
            <w:shd w:val="clear" w:color="auto" w:fill="auto"/>
            <w:tcMar>
              <w:left w:w="-10" w:type="dxa"/>
            </w:tcMar>
            <w:vAlign w:val="center"/>
          </w:tcPr>
          <w:p w14:paraId="605BDB39" w14:textId="164A41FD" w:rsidR="00CD1294" w:rsidRPr="002B76C2" w:rsidRDefault="00EC78EE" w:rsidP="0047755C">
            <w:pPr>
              <w:widowControl w:val="0"/>
              <w:spacing w:before="0" w:after="0"/>
              <w:ind w:left="40"/>
              <w:jc w:val="left"/>
              <w:rPr>
                <w:rFonts w:eastAsia="Arial" w:cs="Times New Roman"/>
                <w:lang w:val="en-US" w:bidi="en-US"/>
              </w:rPr>
            </w:pPr>
            <w:r w:rsidRPr="002B76C2">
              <w:rPr>
                <w:rFonts w:eastAsia="Arial" w:cs="Times New Roman"/>
                <w:lang w:val="en-US" w:bidi="en-US"/>
              </w:rPr>
              <w:t xml:space="preserve">Addetti totale </w:t>
            </w:r>
            <w:r w:rsidR="00CD1294" w:rsidRPr="002B76C2">
              <w:rPr>
                <w:rFonts w:eastAsia="Arial" w:cs="Times New Roman"/>
                <w:lang w:val="en-US" w:bidi="en-US"/>
              </w:rPr>
              <w:t>imprese (d)</w:t>
            </w:r>
          </w:p>
        </w:tc>
        <w:tc>
          <w:tcPr>
            <w:tcW w:w="625" w:type="pct"/>
            <w:shd w:val="clear" w:color="auto" w:fill="auto"/>
            <w:tcMar>
              <w:left w:w="-10" w:type="dxa"/>
            </w:tcMar>
            <w:vAlign w:val="center"/>
          </w:tcPr>
          <w:p w14:paraId="3EF5F2DF"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288.207</w:t>
            </w:r>
          </w:p>
        </w:tc>
        <w:tc>
          <w:tcPr>
            <w:tcW w:w="613" w:type="pct"/>
            <w:shd w:val="clear" w:color="auto" w:fill="auto"/>
            <w:tcMar>
              <w:left w:w="-10" w:type="dxa"/>
            </w:tcMar>
            <w:vAlign w:val="center"/>
          </w:tcPr>
          <w:p w14:paraId="7C7334B1"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280.377</w:t>
            </w:r>
          </w:p>
        </w:tc>
        <w:tc>
          <w:tcPr>
            <w:tcW w:w="613" w:type="pct"/>
            <w:shd w:val="clear" w:color="auto" w:fill="auto"/>
            <w:tcMar>
              <w:left w:w="-10" w:type="dxa"/>
            </w:tcMar>
            <w:vAlign w:val="center"/>
          </w:tcPr>
          <w:p w14:paraId="6AB968C7"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274.939</w:t>
            </w:r>
          </w:p>
        </w:tc>
        <w:tc>
          <w:tcPr>
            <w:tcW w:w="613" w:type="pct"/>
            <w:shd w:val="clear" w:color="auto" w:fill="auto"/>
            <w:tcMar>
              <w:left w:w="-10" w:type="dxa"/>
            </w:tcMar>
            <w:vAlign w:val="center"/>
          </w:tcPr>
          <w:p w14:paraId="65F58B82"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277.460</w:t>
            </w:r>
          </w:p>
        </w:tc>
        <w:tc>
          <w:tcPr>
            <w:tcW w:w="625" w:type="pct"/>
            <w:shd w:val="clear" w:color="auto" w:fill="auto"/>
            <w:tcMar>
              <w:left w:w="-10" w:type="dxa"/>
            </w:tcMar>
            <w:vAlign w:val="center"/>
          </w:tcPr>
          <w:p w14:paraId="17F5E5AD"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276.300</w:t>
            </w:r>
          </w:p>
        </w:tc>
      </w:tr>
      <w:tr w:rsidR="00CD1294" w:rsidRPr="002B76C2" w14:paraId="1AB654EC" w14:textId="77777777" w:rsidTr="003730A0">
        <w:trPr>
          <w:trHeight w:val="224"/>
        </w:trPr>
        <w:tc>
          <w:tcPr>
            <w:tcW w:w="1911" w:type="pct"/>
            <w:shd w:val="clear" w:color="auto" w:fill="auto"/>
            <w:tcMar>
              <w:left w:w="-10" w:type="dxa"/>
            </w:tcMar>
            <w:vAlign w:val="center"/>
          </w:tcPr>
          <w:p w14:paraId="6BBACF86" w14:textId="502B043E" w:rsidR="00CD1294" w:rsidRPr="002B76C2" w:rsidRDefault="00EC78EE" w:rsidP="0047755C">
            <w:pPr>
              <w:widowControl w:val="0"/>
              <w:spacing w:before="0" w:after="0"/>
              <w:ind w:left="40"/>
              <w:jc w:val="left"/>
              <w:rPr>
                <w:rFonts w:eastAsia="Arial" w:cs="Times New Roman"/>
                <w:lang w:val="en-US" w:bidi="en-US"/>
              </w:rPr>
            </w:pPr>
            <w:r w:rsidRPr="002B76C2">
              <w:rPr>
                <w:rFonts w:eastAsia="Arial" w:cs="Times New Roman"/>
                <w:lang w:val="en-US" w:bidi="en-US"/>
              </w:rPr>
              <w:t>Incidenza (c/d %)</w:t>
            </w:r>
          </w:p>
        </w:tc>
        <w:tc>
          <w:tcPr>
            <w:tcW w:w="625" w:type="pct"/>
            <w:shd w:val="clear" w:color="auto" w:fill="auto"/>
            <w:tcMar>
              <w:left w:w="-10" w:type="dxa"/>
            </w:tcMar>
            <w:vAlign w:val="center"/>
          </w:tcPr>
          <w:p w14:paraId="78B84794"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18,88</w:t>
            </w:r>
          </w:p>
        </w:tc>
        <w:tc>
          <w:tcPr>
            <w:tcW w:w="613" w:type="pct"/>
            <w:shd w:val="clear" w:color="auto" w:fill="auto"/>
            <w:tcMar>
              <w:left w:w="-10" w:type="dxa"/>
            </w:tcMar>
            <w:vAlign w:val="center"/>
          </w:tcPr>
          <w:p w14:paraId="509EFB5D"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17,11</w:t>
            </w:r>
          </w:p>
        </w:tc>
        <w:tc>
          <w:tcPr>
            <w:tcW w:w="613" w:type="pct"/>
            <w:shd w:val="clear" w:color="auto" w:fill="auto"/>
            <w:tcMar>
              <w:left w:w="-10" w:type="dxa"/>
            </w:tcMar>
            <w:vAlign w:val="center"/>
          </w:tcPr>
          <w:p w14:paraId="7E1E0FB3"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17,50</w:t>
            </w:r>
          </w:p>
        </w:tc>
        <w:tc>
          <w:tcPr>
            <w:tcW w:w="613" w:type="pct"/>
            <w:shd w:val="clear" w:color="auto" w:fill="auto"/>
            <w:tcMar>
              <w:left w:w="-10" w:type="dxa"/>
            </w:tcMar>
            <w:vAlign w:val="center"/>
          </w:tcPr>
          <w:p w14:paraId="624D3BF6"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18,33</w:t>
            </w:r>
          </w:p>
        </w:tc>
        <w:tc>
          <w:tcPr>
            <w:tcW w:w="625" w:type="pct"/>
            <w:shd w:val="clear" w:color="auto" w:fill="auto"/>
            <w:tcMar>
              <w:left w:w="-10" w:type="dxa"/>
            </w:tcMar>
            <w:vAlign w:val="center"/>
          </w:tcPr>
          <w:p w14:paraId="480248F9"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18,49</w:t>
            </w:r>
          </w:p>
        </w:tc>
      </w:tr>
      <w:tr w:rsidR="00CD1294" w:rsidRPr="002B76C2" w14:paraId="043219E2" w14:textId="77777777" w:rsidTr="003730A0">
        <w:trPr>
          <w:trHeight w:val="219"/>
        </w:trPr>
        <w:tc>
          <w:tcPr>
            <w:tcW w:w="1911" w:type="pct"/>
            <w:shd w:val="clear" w:color="auto" w:fill="auto"/>
            <w:tcMar>
              <w:left w:w="-10" w:type="dxa"/>
            </w:tcMar>
            <w:vAlign w:val="center"/>
          </w:tcPr>
          <w:p w14:paraId="35441125" w14:textId="6D2625A9" w:rsidR="00CD1294" w:rsidRPr="002B76C2" w:rsidRDefault="00EC78EE" w:rsidP="0047755C">
            <w:pPr>
              <w:widowControl w:val="0"/>
              <w:spacing w:before="0" w:after="0"/>
              <w:ind w:left="40"/>
              <w:jc w:val="left"/>
              <w:rPr>
                <w:rFonts w:eastAsia="Arial" w:cs="Times New Roman"/>
                <w:b/>
                <w:lang w:val="en-US" w:bidi="en-US"/>
              </w:rPr>
            </w:pPr>
            <w:r w:rsidRPr="002B76C2">
              <w:rPr>
                <w:rFonts w:eastAsia="Arial" w:cs="Times New Roman"/>
                <w:b/>
                <w:lang w:val="en-US" w:bidi="en-US"/>
              </w:rPr>
              <w:t>Quota del totale nazionale</w:t>
            </w:r>
          </w:p>
        </w:tc>
        <w:tc>
          <w:tcPr>
            <w:tcW w:w="625" w:type="pct"/>
            <w:shd w:val="clear" w:color="auto" w:fill="auto"/>
            <w:tcMar>
              <w:left w:w="-10" w:type="dxa"/>
            </w:tcMar>
            <w:vAlign w:val="center"/>
          </w:tcPr>
          <w:p w14:paraId="0F52986E" w14:textId="77777777" w:rsidR="00CD1294" w:rsidRPr="002B76C2" w:rsidRDefault="00CD1294" w:rsidP="0047755C">
            <w:pPr>
              <w:widowControl w:val="0"/>
              <w:snapToGrid w:val="0"/>
              <w:spacing w:before="0" w:after="0"/>
              <w:ind w:right="57"/>
              <w:jc w:val="left"/>
              <w:rPr>
                <w:rFonts w:eastAsia="Times New Roman" w:cs="Times New Roman"/>
                <w:b/>
                <w:lang w:val="en-US" w:bidi="en-US"/>
              </w:rPr>
            </w:pPr>
          </w:p>
        </w:tc>
        <w:tc>
          <w:tcPr>
            <w:tcW w:w="613" w:type="pct"/>
            <w:shd w:val="clear" w:color="auto" w:fill="auto"/>
            <w:tcMar>
              <w:left w:w="-10" w:type="dxa"/>
            </w:tcMar>
            <w:vAlign w:val="center"/>
          </w:tcPr>
          <w:p w14:paraId="6EAE5B39" w14:textId="77777777" w:rsidR="00CD1294" w:rsidRPr="002B76C2" w:rsidRDefault="00CD1294" w:rsidP="0047755C">
            <w:pPr>
              <w:widowControl w:val="0"/>
              <w:snapToGrid w:val="0"/>
              <w:spacing w:before="0" w:after="0"/>
              <w:ind w:right="57"/>
              <w:jc w:val="left"/>
              <w:rPr>
                <w:rFonts w:eastAsia="Times New Roman" w:cs="Times New Roman"/>
                <w:lang w:val="en-US" w:bidi="en-US"/>
              </w:rPr>
            </w:pPr>
          </w:p>
        </w:tc>
        <w:tc>
          <w:tcPr>
            <w:tcW w:w="613" w:type="pct"/>
            <w:shd w:val="clear" w:color="auto" w:fill="auto"/>
            <w:tcMar>
              <w:left w:w="-10" w:type="dxa"/>
            </w:tcMar>
            <w:vAlign w:val="center"/>
          </w:tcPr>
          <w:p w14:paraId="31EE7A71" w14:textId="77777777" w:rsidR="00CD1294" w:rsidRPr="002B76C2" w:rsidRDefault="00CD1294" w:rsidP="0047755C">
            <w:pPr>
              <w:widowControl w:val="0"/>
              <w:snapToGrid w:val="0"/>
              <w:spacing w:before="0" w:after="0"/>
              <w:ind w:right="57"/>
              <w:jc w:val="left"/>
              <w:rPr>
                <w:rFonts w:eastAsia="Times New Roman" w:cs="Times New Roman"/>
                <w:lang w:val="en-US" w:bidi="en-US"/>
              </w:rPr>
            </w:pPr>
          </w:p>
        </w:tc>
        <w:tc>
          <w:tcPr>
            <w:tcW w:w="613" w:type="pct"/>
            <w:shd w:val="clear" w:color="auto" w:fill="auto"/>
            <w:tcMar>
              <w:left w:w="-10" w:type="dxa"/>
            </w:tcMar>
            <w:vAlign w:val="center"/>
          </w:tcPr>
          <w:p w14:paraId="24DC07B6" w14:textId="77777777" w:rsidR="00CD1294" w:rsidRPr="002B76C2" w:rsidRDefault="00CD1294" w:rsidP="0047755C">
            <w:pPr>
              <w:widowControl w:val="0"/>
              <w:snapToGrid w:val="0"/>
              <w:spacing w:before="0" w:after="0"/>
              <w:ind w:right="57"/>
              <w:jc w:val="left"/>
              <w:rPr>
                <w:rFonts w:eastAsia="Times New Roman" w:cs="Times New Roman"/>
                <w:lang w:val="en-US" w:bidi="en-US"/>
              </w:rPr>
            </w:pPr>
          </w:p>
        </w:tc>
        <w:tc>
          <w:tcPr>
            <w:tcW w:w="625" w:type="pct"/>
            <w:shd w:val="clear" w:color="auto" w:fill="auto"/>
            <w:tcMar>
              <w:left w:w="-10" w:type="dxa"/>
            </w:tcMar>
            <w:vAlign w:val="center"/>
          </w:tcPr>
          <w:p w14:paraId="28208F9C" w14:textId="77777777" w:rsidR="00CD1294" w:rsidRPr="002B76C2" w:rsidRDefault="00CD1294" w:rsidP="0047755C">
            <w:pPr>
              <w:widowControl w:val="0"/>
              <w:snapToGrid w:val="0"/>
              <w:spacing w:before="0" w:after="0"/>
              <w:ind w:right="57"/>
              <w:jc w:val="left"/>
              <w:rPr>
                <w:rFonts w:eastAsia="Times New Roman" w:cs="Times New Roman"/>
                <w:lang w:val="en-US" w:bidi="en-US"/>
              </w:rPr>
            </w:pPr>
          </w:p>
        </w:tc>
      </w:tr>
      <w:tr w:rsidR="00CD1294" w:rsidRPr="002B76C2" w14:paraId="188E5C4D" w14:textId="77777777" w:rsidTr="00EC78EE">
        <w:trPr>
          <w:trHeight w:val="106"/>
        </w:trPr>
        <w:tc>
          <w:tcPr>
            <w:tcW w:w="1911" w:type="pct"/>
            <w:shd w:val="clear" w:color="auto" w:fill="auto"/>
            <w:tcMar>
              <w:left w:w="-10" w:type="dxa"/>
            </w:tcMar>
            <w:vAlign w:val="center"/>
          </w:tcPr>
          <w:p w14:paraId="1117AE26" w14:textId="37BB117D" w:rsidR="00CD1294" w:rsidRPr="002B76C2" w:rsidRDefault="00EC78EE" w:rsidP="0047755C">
            <w:pPr>
              <w:widowControl w:val="0"/>
              <w:spacing w:before="0" w:after="0"/>
              <w:ind w:left="40"/>
              <w:jc w:val="left"/>
              <w:rPr>
                <w:rFonts w:eastAsia="Arial" w:cs="Times New Roman"/>
                <w:lang w:bidi="en-US"/>
              </w:rPr>
            </w:pPr>
            <w:r w:rsidRPr="002B76C2">
              <w:rPr>
                <w:rFonts w:eastAsia="Arial" w:cs="Times New Roman"/>
                <w:lang w:bidi="en-US"/>
              </w:rPr>
              <w:t>Addetti Imprese Femminili (C/A %)</w:t>
            </w:r>
          </w:p>
        </w:tc>
        <w:tc>
          <w:tcPr>
            <w:tcW w:w="625" w:type="pct"/>
            <w:shd w:val="clear" w:color="auto" w:fill="auto"/>
            <w:tcMar>
              <w:left w:w="-10" w:type="dxa"/>
            </w:tcMar>
            <w:vAlign w:val="center"/>
          </w:tcPr>
          <w:p w14:paraId="5480A060"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1,67</w:t>
            </w:r>
          </w:p>
        </w:tc>
        <w:tc>
          <w:tcPr>
            <w:tcW w:w="613" w:type="pct"/>
            <w:shd w:val="clear" w:color="auto" w:fill="auto"/>
            <w:tcMar>
              <w:left w:w="-10" w:type="dxa"/>
            </w:tcMar>
            <w:vAlign w:val="center"/>
          </w:tcPr>
          <w:p w14:paraId="65956208"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1,74</w:t>
            </w:r>
          </w:p>
        </w:tc>
        <w:tc>
          <w:tcPr>
            <w:tcW w:w="613" w:type="pct"/>
            <w:shd w:val="clear" w:color="auto" w:fill="auto"/>
            <w:tcMar>
              <w:left w:w="-10" w:type="dxa"/>
            </w:tcMar>
            <w:vAlign w:val="center"/>
          </w:tcPr>
          <w:p w14:paraId="2EDEC0F9"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1,72</w:t>
            </w:r>
          </w:p>
        </w:tc>
        <w:tc>
          <w:tcPr>
            <w:tcW w:w="613" w:type="pct"/>
            <w:shd w:val="clear" w:color="auto" w:fill="auto"/>
            <w:tcMar>
              <w:left w:w="-10" w:type="dxa"/>
            </w:tcMar>
            <w:vAlign w:val="center"/>
          </w:tcPr>
          <w:p w14:paraId="329DD1CC"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1,76</w:t>
            </w:r>
          </w:p>
        </w:tc>
        <w:tc>
          <w:tcPr>
            <w:tcW w:w="625" w:type="pct"/>
            <w:shd w:val="clear" w:color="auto" w:fill="auto"/>
            <w:tcMar>
              <w:left w:w="-10" w:type="dxa"/>
            </w:tcMar>
            <w:vAlign w:val="center"/>
          </w:tcPr>
          <w:p w14:paraId="6B864192"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1,74</w:t>
            </w:r>
          </w:p>
        </w:tc>
      </w:tr>
      <w:tr w:rsidR="00CD1294" w:rsidRPr="002B76C2" w14:paraId="07022CA4" w14:textId="77777777" w:rsidTr="003730A0">
        <w:trPr>
          <w:trHeight w:val="224"/>
        </w:trPr>
        <w:tc>
          <w:tcPr>
            <w:tcW w:w="1911" w:type="pct"/>
            <w:shd w:val="clear" w:color="auto" w:fill="auto"/>
            <w:tcMar>
              <w:left w:w="-10" w:type="dxa"/>
            </w:tcMar>
            <w:vAlign w:val="center"/>
          </w:tcPr>
          <w:p w14:paraId="2877BCEE" w14:textId="301E19D0" w:rsidR="00CD1294" w:rsidRPr="002B76C2" w:rsidRDefault="00EC78EE" w:rsidP="0047755C">
            <w:pPr>
              <w:widowControl w:val="0"/>
              <w:spacing w:before="0" w:after="0"/>
              <w:ind w:left="40"/>
              <w:jc w:val="left"/>
              <w:rPr>
                <w:rFonts w:eastAsia="Arial" w:cs="Times New Roman"/>
                <w:lang w:bidi="en-US"/>
              </w:rPr>
            </w:pPr>
            <w:r w:rsidRPr="002B76C2">
              <w:rPr>
                <w:rFonts w:eastAsia="Arial" w:cs="Times New Roman"/>
                <w:lang w:bidi="en-US"/>
              </w:rPr>
              <w:t>Addetti Totale Imprese (D/B %)</w:t>
            </w:r>
          </w:p>
        </w:tc>
        <w:tc>
          <w:tcPr>
            <w:tcW w:w="625" w:type="pct"/>
            <w:shd w:val="clear" w:color="auto" w:fill="auto"/>
            <w:tcMar>
              <w:left w:w="-10" w:type="dxa"/>
            </w:tcMar>
            <w:vAlign w:val="center"/>
          </w:tcPr>
          <w:p w14:paraId="1497D0D4"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1,36</w:t>
            </w:r>
          </w:p>
        </w:tc>
        <w:tc>
          <w:tcPr>
            <w:tcW w:w="613" w:type="pct"/>
            <w:shd w:val="clear" w:color="auto" w:fill="auto"/>
            <w:tcMar>
              <w:left w:w="-10" w:type="dxa"/>
            </w:tcMar>
            <w:vAlign w:val="center"/>
          </w:tcPr>
          <w:p w14:paraId="1F330ABE"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1,33</w:t>
            </w:r>
          </w:p>
        </w:tc>
        <w:tc>
          <w:tcPr>
            <w:tcW w:w="613" w:type="pct"/>
            <w:shd w:val="clear" w:color="auto" w:fill="auto"/>
            <w:tcMar>
              <w:left w:w="-10" w:type="dxa"/>
            </w:tcMar>
            <w:vAlign w:val="center"/>
          </w:tcPr>
          <w:p w14:paraId="042FD792"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1,32</w:t>
            </w:r>
          </w:p>
        </w:tc>
        <w:tc>
          <w:tcPr>
            <w:tcW w:w="613" w:type="pct"/>
            <w:shd w:val="clear" w:color="auto" w:fill="auto"/>
            <w:tcMar>
              <w:left w:w="-10" w:type="dxa"/>
            </w:tcMar>
            <w:vAlign w:val="center"/>
          </w:tcPr>
          <w:p w14:paraId="3A6DA686"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1,31</w:t>
            </w:r>
          </w:p>
        </w:tc>
        <w:tc>
          <w:tcPr>
            <w:tcW w:w="625" w:type="pct"/>
            <w:shd w:val="clear" w:color="auto" w:fill="auto"/>
            <w:tcMar>
              <w:left w:w="-10" w:type="dxa"/>
            </w:tcMar>
            <w:vAlign w:val="center"/>
          </w:tcPr>
          <w:p w14:paraId="1B9A3C26" w14:textId="77777777" w:rsidR="00CD1294" w:rsidRPr="002B76C2" w:rsidRDefault="00CD1294" w:rsidP="0047755C">
            <w:pPr>
              <w:widowControl w:val="0"/>
              <w:spacing w:before="0" w:after="0"/>
              <w:ind w:right="57"/>
              <w:jc w:val="right"/>
              <w:rPr>
                <w:rFonts w:eastAsia="Arial" w:cs="Times New Roman"/>
                <w:lang w:val="en-US" w:bidi="en-US"/>
              </w:rPr>
            </w:pPr>
            <w:r w:rsidRPr="002B76C2">
              <w:rPr>
                <w:rFonts w:eastAsia="Arial" w:cs="Times New Roman"/>
                <w:lang w:val="en-US" w:bidi="en-US"/>
              </w:rPr>
              <w:t>1,28</w:t>
            </w:r>
          </w:p>
        </w:tc>
      </w:tr>
    </w:tbl>
    <w:p w14:paraId="4AAB990C" w14:textId="0417A678" w:rsidR="00CD1294" w:rsidRPr="005C4561" w:rsidRDefault="00CD1294" w:rsidP="005C4561">
      <w:pPr>
        <w:widowControl w:val="0"/>
        <w:spacing w:before="0" w:after="0"/>
        <w:ind w:firstLine="708"/>
        <w:jc w:val="left"/>
        <w:rPr>
          <w:rFonts w:eastAsia="Andale Sans UI" w:cs="Tahoma"/>
          <w:sz w:val="18"/>
          <w:szCs w:val="18"/>
          <w:lang w:bidi="en-US"/>
        </w:rPr>
      </w:pPr>
      <w:r w:rsidRPr="00720C36">
        <w:rPr>
          <w:rFonts w:eastAsia="Andale Sans UI" w:cs="Tahoma"/>
          <w:sz w:val="18"/>
          <w:szCs w:val="18"/>
          <w:lang w:bidi="en-US"/>
        </w:rPr>
        <w:t>Fonte: Elaborazione Unioncamere Umbria su dati Infocamere</w:t>
      </w:r>
    </w:p>
    <w:p w14:paraId="1EB6798E" w14:textId="156B265E" w:rsidR="00552DB9" w:rsidRPr="008118DE" w:rsidRDefault="003B44A6" w:rsidP="00D32A79">
      <w:pPr>
        <w:pStyle w:val="Titolo2"/>
      </w:pPr>
      <w:bookmarkStart w:id="12" w:name="_Toc534027314"/>
      <w:r>
        <w:lastRenderedPageBreak/>
        <w:t>3</w:t>
      </w:r>
      <w:r w:rsidR="00D32A79">
        <w:t>.</w:t>
      </w:r>
      <w:r w:rsidR="00C76C5B">
        <w:t>2</w:t>
      </w:r>
      <w:r w:rsidR="00D32A79">
        <w:tab/>
      </w:r>
      <w:r w:rsidR="00C247F8">
        <w:t>La strategia del</w:t>
      </w:r>
      <w:r w:rsidR="00552DB9">
        <w:t xml:space="preserve"> </w:t>
      </w:r>
      <w:r w:rsidR="00552DB9" w:rsidRPr="008118DE">
        <w:t xml:space="preserve">PSR </w:t>
      </w:r>
      <w:r w:rsidR="00D32A79" w:rsidRPr="008118DE">
        <w:t xml:space="preserve">Umbria </w:t>
      </w:r>
      <w:r w:rsidR="00C247F8">
        <w:t xml:space="preserve">in merito al tema della parità di genere </w:t>
      </w:r>
      <w:r w:rsidR="00F435FB">
        <w:t xml:space="preserve">(giovani e donne) </w:t>
      </w:r>
      <w:r w:rsidR="00C247F8">
        <w:t>e al sostegno all’</w:t>
      </w:r>
      <w:r w:rsidR="00552DB9" w:rsidRPr="008118DE">
        <w:t>i</w:t>
      </w:r>
      <w:r w:rsidR="00C247F8">
        <w:t>mprenditoria femminile agricola</w:t>
      </w:r>
      <w:r w:rsidR="00D32A79">
        <w:t>,</w:t>
      </w:r>
      <w:r w:rsidR="00552DB9" w:rsidRPr="008118DE">
        <w:t xml:space="preserve"> differenze tra</w:t>
      </w:r>
      <w:r w:rsidR="00C247F8">
        <w:t xml:space="preserve"> vecchia e nuova programmazione</w:t>
      </w:r>
      <w:bookmarkEnd w:id="12"/>
    </w:p>
    <w:p w14:paraId="55254B67" w14:textId="4E0240F1" w:rsidR="00E54756" w:rsidRDefault="00E54756" w:rsidP="00E54756">
      <w:r>
        <w:t xml:space="preserve">La strategia regionale di sostegno all’imprenditoria femminile </w:t>
      </w:r>
      <w:r w:rsidRPr="008D6757">
        <w:rPr>
          <w:rFonts w:eastAsia="Times New Roman" w:cs="Times New Roman"/>
          <w:color w:val="000000"/>
        </w:rPr>
        <w:t>nell'ambito dei diversi strumenti e Piani di programmazione, comunitaria e regionale,</w:t>
      </w:r>
      <w:r>
        <w:rPr>
          <w:rFonts w:eastAsia="Times New Roman" w:cs="Times New Roman"/>
          <w:color w:val="000000"/>
        </w:rPr>
        <w:t xml:space="preserve"> </w:t>
      </w:r>
      <w:r>
        <w:t xml:space="preserve">si è basata in questi anni sulle risorse </w:t>
      </w:r>
      <w:r w:rsidRPr="008D6757">
        <w:t>mess</w:t>
      </w:r>
      <w:r>
        <w:t>e</w:t>
      </w:r>
      <w:r w:rsidRPr="008D6757">
        <w:t xml:space="preserve"> a disposizione d</w:t>
      </w:r>
      <w:r>
        <w:t>a</w:t>
      </w:r>
      <w:r w:rsidRPr="008D6757">
        <w:t>i Fondi SIE (FSE, FESR, FEASR)</w:t>
      </w:r>
      <w:r>
        <w:t xml:space="preserve">, sui </w:t>
      </w:r>
      <w:r w:rsidRPr="008D6757">
        <w:t>fondi rotativi</w:t>
      </w:r>
      <w:r>
        <w:t>, sulla dotazione</w:t>
      </w:r>
      <w:r w:rsidRPr="008D6757">
        <w:t xml:space="preserve"> previst</w:t>
      </w:r>
      <w:r>
        <w:t>a</w:t>
      </w:r>
      <w:r w:rsidRPr="008D6757">
        <w:t xml:space="preserve"> dalla legge regionale 12/95 per l'imprenditoria femminile</w:t>
      </w:r>
      <w:r>
        <w:t xml:space="preserve"> e</w:t>
      </w:r>
      <w:r w:rsidRPr="008D6757">
        <w:t xml:space="preserve"> </w:t>
      </w:r>
      <w:r>
        <w:t>su un fondo per il micro-credito.</w:t>
      </w:r>
    </w:p>
    <w:p w14:paraId="512E1E71" w14:textId="77777777" w:rsidR="00E54756" w:rsidRDefault="00E54756" w:rsidP="00E54756"/>
    <w:p w14:paraId="477DF274" w14:textId="2021F12D" w:rsidR="00E54756" w:rsidRDefault="00E54756" w:rsidP="00E54756">
      <w:pPr>
        <w:rPr>
          <w:b/>
          <w:i/>
          <w:color w:val="000066"/>
        </w:rPr>
      </w:pPr>
      <w:r>
        <w:t xml:space="preserve">Anche per il </w:t>
      </w:r>
      <w:r>
        <w:rPr>
          <w:color w:val="000000"/>
        </w:rPr>
        <w:t>periodo 2014-2020, la programmazione dei Fondi Strutturali e di Investimento Europei (SIE), in continuità con i precedenti cicli, ha rinsaldato la rilevanza strategica del principio di parità e non discriminazione, ampliandone la portata: come indicato dall’Accordo di Partenariato (AdP), nei periodi di programmazione dei Fondi Strutturali 2000-2006 e 2007-2013 si è passati dal semplice riconoscimento delle pari opportunità quale politica trasversale dell’Unione Europea (articolo 12 del Regolamento (CE) n. 1260/1999) a principio generale di</w:t>
      </w:r>
      <w:r>
        <w:rPr>
          <w:b/>
          <w:i/>
          <w:color w:val="000066"/>
        </w:rPr>
        <w:t xml:space="preserve"> </w:t>
      </w:r>
      <w:r>
        <w:rPr>
          <w:color w:val="000000"/>
        </w:rPr>
        <w:t>attuazione della politica di coesione (articolo 16 del Regolamento (CE) n. 1083/2006), per pervenire, nel Regolamento generale (UE) n. 1303/2013 (articolo 7) e nel Regolamento (UE) n. 1304/2013 relativo al Fondo sociale europeo, ad un ulteriore sostanziale rafforzamento del principio, in quanto l’uguaglianza di genere, la prevenzione delle discriminazioni e la tutela della disabilità devono essere promossi in tutte le fasi di implementazione degli interventi finanziati dai Fondi SIE, comprese le fasi di preparazione e di esecuzione dei Programmi.</w:t>
      </w:r>
    </w:p>
    <w:p w14:paraId="45CB1ABE" w14:textId="4BC726AA" w:rsidR="00E54756" w:rsidRDefault="00E54756" w:rsidP="00E54756">
      <w:pPr>
        <w:rPr>
          <w:color w:val="000000"/>
        </w:rPr>
      </w:pPr>
      <w:r>
        <w:rPr>
          <w:color w:val="000000"/>
        </w:rPr>
        <w:t>Un’ulteriore novità è rappresentata dall’articolo 19 del Reg. (UE) 1303/2013 per cui, a garanzia dell’efficacia degli investimenti, il trasferimento di risorse ai titolari di programmi, è regolato sulla base della presenza di una serie di pre-condizioni (condizionalità ex ante) tra le quali l’antidiscriminazione, l’uguaglianza di genere e la disabilità. L’articolo 19 e relativo Allegato XI stabilisce, infatti, che è compito degli Stati membri accertare “conformemente ai rispettivi quadri istituzionali e giuridici e nell'elaborare i programmi e, se del caso, nell'Accordo di Partenariato, che le condizionalità ex ante previste nelle rispettive norme specifiche di ciascun fondo e le condizionalità ex ante generali [...] siano soddisfatte”; l’Allegato XI specifica, poi, che le condizionalità generali dell’antidiscriminazione, l’uguaglianza di genere e la disabilità attengono alla presenza di meccanismi che assicurino l’effettiva implementazione e applicazione delle direttive europee in materia di non discriminazione e parità di genere nel campo dei Fondi SIE.</w:t>
      </w:r>
    </w:p>
    <w:p w14:paraId="1BCDB342" w14:textId="41886F0D" w:rsidR="00E54756" w:rsidRDefault="00E54756" w:rsidP="00E54756">
      <w:r>
        <w:rPr>
          <w:color w:val="000000"/>
        </w:rPr>
        <w:t>In applicazione dell’articolo 7 del Reg. (UE) n. 1303/2013, la Regione Umbria ha individuato contenuti e modalità per promuovere pienamente l’applicazione del</w:t>
      </w:r>
      <w:r>
        <w:t xml:space="preserve"> principio nei percorsi di definizione dei programmi. In particolare, il PSR si attende: </w:t>
      </w:r>
      <w:r w:rsidRPr="00E54756">
        <w:rPr>
          <w:rStyle w:val="Enfasigrassetto"/>
        </w:rPr>
        <w:t xml:space="preserve">(i) </w:t>
      </w:r>
      <w:r>
        <w:t xml:space="preserve">un miglioramento delle condizioni di vita al fine di rispondere meglio ai bisogni delle donne e delle categorie vulnerabili/soggetti svantaggiati; </w:t>
      </w:r>
      <w:r>
        <w:rPr>
          <w:rStyle w:val="Enfasigrassetto"/>
        </w:rPr>
        <w:t>(i</w:t>
      </w:r>
      <w:r w:rsidRPr="00E54756">
        <w:rPr>
          <w:rStyle w:val="Enfasigrassetto"/>
        </w:rPr>
        <w:t>i)</w:t>
      </w:r>
      <w:r>
        <w:t xml:space="preserve"> effetti sulla partecipazione a tutti i livelli al mercato del lavoro; </w:t>
      </w:r>
      <w:r>
        <w:rPr>
          <w:rStyle w:val="Enfasigrassetto"/>
        </w:rPr>
        <w:t>(i</w:t>
      </w:r>
      <w:r w:rsidRPr="00E54756">
        <w:rPr>
          <w:rStyle w:val="Enfasigrassetto"/>
        </w:rPr>
        <w:t>ii)</w:t>
      </w:r>
      <w:r>
        <w:t xml:space="preserve"> effetti sulla conciliazione vita/lavoro e sulla situazione occupazionale; </w:t>
      </w:r>
      <w:r>
        <w:rPr>
          <w:rStyle w:val="Enfasigrassetto"/>
        </w:rPr>
        <w:t>(i</w:t>
      </w:r>
      <w:r w:rsidRPr="00E54756">
        <w:rPr>
          <w:rStyle w:val="Enfasigrassetto"/>
        </w:rPr>
        <w:t>v)</w:t>
      </w:r>
      <w:r>
        <w:t xml:space="preserve"> effetti sulla partecipazione alla creazione di attività socio-economiche: sostegno, consolidamento e promozione delle imprese femminili e di categorie vulnerabili/soggetti svantaggiati. </w:t>
      </w:r>
    </w:p>
    <w:p w14:paraId="3D62A259" w14:textId="77777777" w:rsidR="00E54756" w:rsidRDefault="00E54756" w:rsidP="00E54756"/>
    <w:p w14:paraId="0BFB1317" w14:textId="66C32EB1" w:rsidR="00E54756" w:rsidRDefault="008F466D" w:rsidP="00E54756">
      <w:r>
        <w:t>F</w:t>
      </w:r>
      <w:r w:rsidR="00E54756">
        <w:t>ocalizzando l’attenzione sul</w:t>
      </w:r>
      <w:r w:rsidR="00E54756" w:rsidRPr="008D6757">
        <w:t xml:space="preserve"> </w:t>
      </w:r>
      <w:r w:rsidR="00E54756" w:rsidRPr="008F466D">
        <w:rPr>
          <w:rStyle w:val="Enfasigrassetto"/>
        </w:rPr>
        <w:t>Programma di Sviluppo Rurale 2007-2013</w:t>
      </w:r>
      <w:r w:rsidR="00E54756" w:rsidRPr="008D6757">
        <w:t xml:space="preserve">, </w:t>
      </w:r>
      <w:r w:rsidR="00E54756">
        <w:t xml:space="preserve">anche grazie all’osservazione </w:t>
      </w:r>
      <w:r>
        <w:t xml:space="preserve">realizzata nel 2017 </w:t>
      </w:r>
      <w:r w:rsidRPr="008D6757">
        <w:t xml:space="preserve">dalla Rete Rurale Nazionale </w:t>
      </w:r>
      <w:r w:rsidR="00E54756" w:rsidRPr="008D6757">
        <w:t xml:space="preserve">delle </w:t>
      </w:r>
      <w:r>
        <w:t>relazioni annuali di esecuzione</w:t>
      </w:r>
      <w:r w:rsidR="00E54756">
        <w:t>,</w:t>
      </w:r>
      <w:r w:rsidR="00E54756" w:rsidRPr="008D6757">
        <w:t xml:space="preserve"> </w:t>
      </w:r>
      <w:r w:rsidR="00E54756">
        <w:t>è possibile individuare dei focus attinenti al</w:t>
      </w:r>
      <w:r w:rsidR="00E54756" w:rsidRPr="008D6757">
        <w:t>la partecipazione delle donne alla politica di sviluppo rurale</w:t>
      </w:r>
      <w:r w:rsidR="00E54756">
        <w:t>,</w:t>
      </w:r>
      <w:r w:rsidR="00E54756" w:rsidRPr="008D6757">
        <w:t xml:space="preserve"> con riferimento </w:t>
      </w:r>
      <w:r w:rsidR="00E54756">
        <w:t xml:space="preserve">in particolare </w:t>
      </w:r>
      <w:r w:rsidR="00E54756" w:rsidRPr="008D6757">
        <w:t>a</w:t>
      </w:r>
      <w:r w:rsidR="00E54756">
        <w:t>d otto diverse M</w:t>
      </w:r>
      <w:r w:rsidR="00E54756" w:rsidRPr="008D6757">
        <w:t>isure</w:t>
      </w:r>
      <w:r w:rsidR="00E54756">
        <w:t xml:space="preserve"> del PSR </w:t>
      </w:r>
      <w:r>
        <w:t>20</w:t>
      </w:r>
      <w:r w:rsidR="00E54756">
        <w:t>07-</w:t>
      </w:r>
      <w:r>
        <w:t>20</w:t>
      </w:r>
      <w:r w:rsidR="00E54756">
        <w:t>13.</w:t>
      </w:r>
      <w:r w:rsidR="00E54756" w:rsidRPr="008D6757">
        <w:t xml:space="preserve"> </w:t>
      </w:r>
      <w:r w:rsidR="00E54756">
        <w:t>Tra queste</w:t>
      </w:r>
      <w:r w:rsidR="00E54756" w:rsidRPr="008D6757">
        <w:t>, tre mirano a rafforzare il capitale umano finanziando attività di formazione e informazione non necessariamente rivolte ai soli o</w:t>
      </w:r>
      <w:r w:rsidR="00E54756">
        <w:t>peratori del settore agricolo (M</w:t>
      </w:r>
      <w:r w:rsidR="00E54756" w:rsidRPr="008D6757">
        <w:t>i</w:t>
      </w:r>
      <w:r w:rsidR="00E54756">
        <w:t>sure 111, 331, 341), altre tre M</w:t>
      </w:r>
      <w:r w:rsidR="00E54756" w:rsidRPr="008D6757">
        <w:t>isure hanno invece l’obiettivo principale di rafforzare la competitività del comparto agricolo attraverso il</w:t>
      </w:r>
      <w:r w:rsidR="00E54756">
        <w:t xml:space="preserve"> ricambio generazionale (</w:t>
      </w:r>
      <w:r>
        <w:t xml:space="preserve">Misure </w:t>
      </w:r>
      <w:r w:rsidR="00E54756" w:rsidRPr="008D6757">
        <w:t>112 e 113) e il finanziamento degli investimenti produttivi nelle aziende agricole (</w:t>
      </w:r>
      <w:r w:rsidR="00E54756">
        <w:t>M</w:t>
      </w:r>
      <w:r w:rsidR="00E54756" w:rsidRPr="008D6757">
        <w:t>isura 121). Infine, le restanti due sono finalizzate a favorire la</w:t>
      </w:r>
      <w:r w:rsidR="00E54756">
        <w:t xml:space="preserve"> diversificazione del reddito (M</w:t>
      </w:r>
      <w:r w:rsidR="00E54756" w:rsidRPr="008D6757">
        <w:t>isure 311 e 312).</w:t>
      </w:r>
    </w:p>
    <w:p w14:paraId="3A181C44" w14:textId="77777777" w:rsidR="00E54756" w:rsidRDefault="00E54756" w:rsidP="008F466D">
      <w:r>
        <w:lastRenderedPageBreak/>
        <w:t>In generale, s</w:t>
      </w:r>
      <w:r w:rsidRPr="008D6757">
        <w:t xml:space="preserve">ono 3.853 le aziende </w:t>
      </w:r>
      <w:r>
        <w:t>femminili</w:t>
      </w:r>
      <w:r w:rsidRPr="008D6757">
        <w:t xml:space="preserve"> che hanno avuto accesso al PSR </w:t>
      </w:r>
      <w:r>
        <w:t xml:space="preserve">2007-2013 </w:t>
      </w:r>
      <w:r w:rsidRPr="008D6757">
        <w:t>e rappresentano il 38% delle ditte individuali beneficiarie</w:t>
      </w:r>
      <w:r>
        <w:t>, con la specificità che il</w:t>
      </w:r>
      <w:r w:rsidRPr="008D6757">
        <w:t xml:space="preserve"> 99% delle imprese condotte da donne </w:t>
      </w:r>
      <w:r>
        <w:t>ha aderito</w:t>
      </w:r>
      <w:r w:rsidRPr="008D6757">
        <w:t xml:space="preserve"> a misure prettamente agricole. </w:t>
      </w:r>
      <w:r>
        <w:t>I dati confermano l’efficacia dell’</w:t>
      </w:r>
      <w:r w:rsidRPr="008D6757">
        <w:t>impianto programma</w:t>
      </w:r>
      <w:r>
        <w:t>tico e attuativo per favorire l’accesso all’</w:t>
      </w:r>
      <w:r w:rsidRPr="008D6757">
        <w:t>incentivo da parte delle donne, sebbene</w:t>
      </w:r>
      <w:r>
        <w:t xml:space="preserve"> permangano ancora delle disparità, come</w:t>
      </w:r>
      <w:r w:rsidRPr="008D6757">
        <w:t xml:space="preserve"> la capacità di investimento (dimensione media dei progetti saldati)</w:t>
      </w:r>
      <w:r>
        <w:t>, risultata mediamente inferiore a quella maschile.</w:t>
      </w:r>
    </w:p>
    <w:p w14:paraId="4A013E69" w14:textId="77777777" w:rsidR="00E54756" w:rsidRDefault="00E54756" w:rsidP="008F466D">
      <w:r>
        <w:t xml:space="preserve">Tra le misure del PSR in cui si è registrata una significativa presenza di imprenditrici, </w:t>
      </w:r>
      <w:r w:rsidRPr="008D6757">
        <w:t xml:space="preserve">nella </w:t>
      </w:r>
      <w:r>
        <w:t>Misura 121</w:t>
      </w:r>
      <w:r w:rsidRPr="008D6757">
        <w:t xml:space="preserve"> le beneficiarie (271) </w:t>
      </w:r>
      <w:r>
        <w:t>hanno rappresentat</w:t>
      </w:r>
      <w:r w:rsidRPr="008D6757">
        <w:t>o il 38% dei beneficiari totali (706 benef</w:t>
      </w:r>
      <w:r>
        <w:t>iciari), ben 13 punti percentuali</w:t>
      </w:r>
      <w:r w:rsidRPr="008D6757">
        <w:t xml:space="preserve"> in più se confrontati con il rapporto tra le conduttrici e il totale dei conduttori umbri (</w:t>
      </w:r>
      <w:r>
        <w:t>24,9</w:t>
      </w:r>
      <w:r w:rsidRPr="008D6757">
        <w:t xml:space="preserve">%). Tale incidenza sale </w:t>
      </w:r>
      <w:r>
        <w:t>riguardo alla M</w:t>
      </w:r>
      <w:r w:rsidRPr="008D6757">
        <w:t>isura 311 (177 beneficiari) nella quale le donne, ritenute prioritarie in fase</w:t>
      </w:r>
      <w:r>
        <w:t xml:space="preserve"> </w:t>
      </w:r>
      <w:r w:rsidRPr="008D6757">
        <w:t xml:space="preserve">programmatoria, </w:t>
      </w:r>
      <w:r>
        <w:t>hanno rappresentato il 53% del totale.</w:t>
      </w:r>
    </w:p>
    <w:p w14:paraId="3269CBD5" w14:textId="77777777" w:rsidR="00A9484E" w:rsidRDefault="00A9484E" w:rsidP="008F466D"/>
    <w:p w14:paraId="090141DE" w14:textId="38D376E3" w:rsidR="008F466D" w:rsidRDefault="00E54756" w:rsidP="008F466D">
      <w:r>
        <w:t xml:space="preserve">Il </w:t>
      </w:r>
      <w:r w:rsidRPr="00A9484E">
        <w:rPr>
          <w:rStyle w:val="Enfasigrassetto"/>
        </w:rPr>
        <w:t>passaggio dalla vecchia all</w:t>
      </w:r>
      <w:r w:rsidR="008F466D" w:rsidRPr="00A9484E">
        <w:rPr>
          <w:rStyle w:val="Enfasigrassetto"/>
        </w:rPr>
        <w:t>a nuova programmazione</w:t>
      </w:r>
      <w:r w:rsidR="00A9484E">
        <w:t xml:space="preserve">, pur a fronte delle novità legate al quadro programmatico, dal punto di vista della tipologia di interventi </w:t>
      </w:r>
      <w:r w:rsidR="008F466D">
        <w:t xml:space="preserve">vede una sostanziale continuità </w:t>
      </w:r>
      <w:r w:rsidR="00A9484E">
        <w:t>come si evince dalla riproposizione di</w:t>
      </w:r>
      <w:r w:rsidR="008F466D">
        <w:t xml:space="preserve"> misure assimilabili a quelle presenti nel periodo precedente. </w:t>
      </w:r>
    </w:p>
    <w:p w14:paraId="2CC41697" w14:textId="22BBA6E8" w:rsidR="00E54756" w:rsidRDefault="00A9484E" w:rsidP="008F466D">
      <w:r>
        <w:t>I</w:t>
      </w:r>
      <w:r w:rsidR="008F466D">
        <w:t xml:space="preserve"> principali </w:t>
      </w:r>
      <w:r>
        <w:t>elementi di discontinuità inerenti al perseguimento delle pari opportunità si riscontrano nel ricorso più circoscritto a strumenti “attivi”</w:t>
      </w:r>
      <w:r w:rsidR="00B04029">
        <w:t xml:space="preserve"> in fase di selezione delle domande di sostegno presentate da donne, non più presenti per gli interventi</w:t>
      </w:r>
      <w:r w:rsidR="00937695">
        <w:t xml:space="preserve"> a sostegno degli investimenti aziendali (mentre si mantiene il criterio a favore dei giovani) e dell’insediamento di giovani agricoltori.</w:t>
      </w:r>
    </w:p>
    <w:p w14:paraId="569C7073" w14:textId="0960F262" w:rsidR="00937695" w:rsidRDefault="00E54756" w:rsidP="00937695">
      <w:r>
        <w:t xml:space="preserve">In particolare, è all'interno della Misura 6 che è possibile trovare delle sottomisure </w:t>
      </w:r>
      <w:r w:rsidR="00261DDD">
        <w:t>per le quali sono stati previsti</w:t>
      </w:r>
      <w:r>
        <w:t xml:space="preserve"> criteri di selezione mirati al sostegno dell'imprenditoria femminile. </w:t>
      </w:r>
    </w:p>
    <w:p w14:paraId="79A36D87" w14:textId="144F36DD" w:rsidR="00E54756" w:rsidRDefault="00E54756" w:rsidP="00937695">
      <w:r>
        <w:t xml:space="preserve">Nella tabella sottostante è possibile notare i punteggi attribuiti da alcuni interventi, in </w:t>
      </w:r>
      <w:r w:rsidR="00937695">
        <w:t>fase</w:t>
      </w:r>
      <w:r>
        <w:t xml:space="preserve"> di istruttoria delle domande</w:t>
      </w:r>
      <w:r w:rsidR="00937695">
        <w:t xml:space="preserve"> di sostegno in </w:t>
      </w:r>
      <w:r>
        <w:t xml:space="preserve">presenza di beneficiari giovani (sotto i 40 anni) e </w:t>
      </w:r>
      <w:r w:rsidR="00937695">
        <w:t xml:space="preserve">di </w:t>
      </w:r>
      <w:r>
        <w:t>donne.</w:t>
      </w:r>
    </w:p>
    <w:p w14:paraId="2D1CCEA4" w14:textId="77777777" w:rsidR="00937695" w:rsidRDefault="00937695" w:rsidP="00937695"/>
    <w:p w14:paraId="0DADC99C" w14:textId="4E7F2A43" w:rsidR="00E54756" w:rsidRDefault="00E54756" w:rsidP="00B04029">
      <w:pPr>
        <w:pStyle w:val="Titolotabella"/>
        <w:ind w:left="993" w:hanging="993"/>
      </w:pPr>
      <w:r>
        <w:t xml:space="preserve">Tabella </w:t>
      </w:r>
      <w:r>
        <w:rPr>
          <w:noProof/>
        </w:rPr>
        <w:fldChar w:fldCharType="begin"/>
      </w:r>
      <w:r>
        <w:rPr>
          <w:noProof/>
        </w:rPr>
        <w:instrText xml:space="preserve"> SEQ Tabella \* ARABIC </w:instrText>
      </w:r>
      <w:r>
        <w:rPr>
          <w:noProof/>
        </w:rPr>
        <w:fldChar w:fldCharType="separate"/>
      </w:r>
      <w:r w:rsidR="00295319">
        <w:rPr>
          <w:noProof/>
        </w:rPr>
        <w:t>7</w:t>
      </w:r>
      <w:r>
        <w:rPr>
          <w:noProof/>
        </w:rPr>
        <w:fldChar w:fldCharType="end"/>
      </w:r>
      <w:r>
        <w:t xml:space="preserve"> - Criteri di selezione per alcuni interventi del PSR 2014-2020: punteggi per giovani e donne</w:t>
      </w:r>
    </w:p>
    <w:tbl>
      <w:tblPr>
        <w:tblStyle w:val="Grigliatabel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27"/>
        <w:gridCol w:w="4052"/>
        <w:gridCol w:w="1801"/>
        <w:gridCol w:w="1780"/>
      </w:tblGrid>
      <w:tr w:rsidR="00937695" w:rsidRPr="00937695" w14:paraId="2C94DCA6" w14:textId="77777777" w:rsidTr="00995B9F">
        <w:trPr>
          <w:tblHeader/>
        </w:trPr>
        <w:tc>
          <w:tcPr>
            <w:tcW w:w="0" w:type="auto"/>
            <w:shd w:val="clear" w:color="auto" w:fill="1F4E79" w:themeFill="accent1" w:themeFillShade="80"/>
            <w:vAlign w:val="center"/>
          </w:tcPr>
          <w:p w14:paraId="5F1C18FF" w14:textId="6A827045" w:rsidR="00E54756" w:rsidRPr="00937695" w:rsidRDefault="00937695" w:rsidP="00937695">
            <w:pPr>
              <w:spacing w:before="40" w:after="40" w:line="240" w:lineRule="auto"/>
              <w:jc w:val="center"/>
              <w:rPr>
                <w:b/>
                <w:color w:val="FFFFFF" w:themeColor="background1"/>
              </w:rPr>
            </w:pPr>
            <w:r w:rsidRPr="00937695">
              <w:rPr>
                <w:b/>
                <w:color w:val="FFFFFF" w:themeColor="background1"/>
              </w:rPr>
              <w:t xml:space="preserve">Misura/ Sottomisura/ </w:t>
            </w:r>
            <w:r w:rsidR="00E54756" w:rsidRPr="00937695">
              <w:rPr>
                <w:b/>
                <w:color w:val="FFFFFF" w:themeColor="background1"/>
              </w:rPr>
              <w:t>Intervento</w:t>
            </w:r>
          </w:p>
        </w:tc>
        <w:tc>
          <w:tcPr>
            <w:tcW w:w="4603" w:type="dxa"/>
            <w:shd w:val="clear" w:color="auto" w:fill="1F4E79" w:themeFill="accent1" w:themeFillShade="80"/>
            <w:vAlign w:val="center"/>
          </w:tcPr>
          <w:p w14:paraId="53F7D8BC" w14:textId="77777777" w:rsidR="00E54756" w:rsidRPr="00937695" w:rsidRDefault="00E54756" w:rsidP="00937695">
            <w:pPr>
              <w:spacing w:before="40" w:after="40" w:line="240" w:lineRule="auto"/>
              <w:jc w:val="center"/>
              <w:rPr>
                <w:b/>
                <w:color w:val="FFFFFF" w:themeColor="background1"/>
              </w:rPr>
            </w:pPr>
            <w:r w:rsidRPr="00937695">
              <w:rPr>
                <w:b/>
                <w:color w:val="FFFFFF" w:themeColor="background1"/>
              </w:rPr>
              <w:t>Descrizione</w:t>
            </w:r>
          </w:p>
        </w:tc>
        <w:tc>
          <w:tcPr>
            <w:tcW w:w="1944" w:type="dxa"/>
            <w:shd w:val="clear" w:color="auto" w:fill="1F4E79" w:themeFill="accent1" w:themeFillShade="80"/>
            <w:vAlign w:val="center"/>
          </w:tcPr>
          <w:p w14:paraId="664285ED" w14:textId="77777777" w:rsidR="00E54756" w:rsidRPr="00937695" w:rsidRDefault="00E54756" w:rsidP="00937695">
            <w:pPr>
              <w:spacing w:before="40" w:after="40" w:line="240" w:lineRule="auto"/>
              <w:ind w:left="-45"/>
              <w:jc w:val="center"/>
              <w:rPr>
                <w:b/>
                <w:color w:val="FFFFFF" w:themeColor="background1"/>
              </w:rPr>
            </w:pPr>
            <w:r w:rsidRPr="00937695">
              <w:rPr>
                <w:b/>
                <w:color w:val="FFFFFF" w:themeColor="background1"/>
              </w:rPr>
              <w:t>Criterio giovani (età fino a 40 anni)</w:t>
            </w:r>
          </w:p>
          <w:p w14:paraId="2118C8F0" w14:textId="77777777" w:rsidR="00E54756" w:rsidRPr="00937695" w:rsidRDefault="00E54756" w:rsidP="00937695">
            <w:pPr>
              <w:spacing w:before="40" w:after="40" w:line="240" w:lineRule="auto"/>
              <w:jc w:val="center"/>
              <w:rPr>
                <w:b/>
                <w:color w:val="FFFFFF" w:themeColor="background1"/>
              </w:rPr>
            </w:pPr>
            <w:r w:rsidRPr="00937695">
              <w:rPr>
                <w:b/>
                <w:color w:val="FFFFFF" w:themeColor="background1"/>
              </w:rPr>
              <w:t>Punteggio abbinato</w:t>
            </w:r>
          </w:p>
        </w:tc>
        <w:tc>
          <w:tcPr>
            <w:tcW w:w="1938" w:type="dxa"/>
            <w:shd w:val="clear" w:color="auto" w:fill="1F4E79" w:themeFill="accent1" w:themeFillShade="80"/>
            <w:vAlign w:val="center"/>
          </w:tcPr>
          <w:p w14:paraId="4EE171FC" w14:textId="77777777" w:rsidR="00E54756" w:rsidRPr="00937695" w:rsidRDefault="00E54756" w:rsidP="00937695">
            <w:pPr>
              <w:spacing w:before="40" w:after="40" w:line="240" w:lineRule="auto"/>
              <w:ind w:left="-150" w:right="-120"/>
              <w:jc w:val="center"/>
              <w:rPr>
                <w:b/>
                <w:color w:val="FFFFFF" w:themeColor="background1"/>
              </w:rPr>
            </w:pPr>
            <w:r w:rsidRPr="00937695">
              <w:rPr>
                <w:b/>
                <w:color w:val="FFFFFF" w:themeColor="background1"/>
              </w:rPr>
              <w:t>Criterio genere femminile</w:t>
            </w:r>
          </w:p>
          <w:p w14:paraId="39DE9F5F" w14:textId="77777777" w:rsidR="00E54756" w:rsidRPr="00937695" w:rsidRDefault="00E54756" w:rsidP="00937695">
            <w:pPr>
              <w:spacing w:before="40" w:after="40" w:line="240" w:lineRule="auto"/>
              <w:jc w:val="center"/>
              <w:rPr>
                <w:b/>
                <w:color w:val="FFFFFF" w:themeColor="background1"/>
              </w:rPr>
            </w:pPr>
            <w:r w:rsidRPr="00937695">
              <w:rPr>
                <w:b/>
                <w:color w:val="FFFFFF" w:themeColor="background1"/>
              </w:rPr>
              <w:t>Punteggio abbinato</w:t>
            </w:r>
          </w:p>
        </w:tc>
      </w:tr>
      <w:tr w:rsidR="00937695" w:rsidRPr="00937695" w14:paraId="75252949" w14:textId="77777777" w:rsidTr="00B54ACB">
        <w:tc>
          <w:tcPr>
            <w:tcW w:w="0" w:type="auto"/>
            <w:shd w:val="clear" w:color="auto" w:fill="9CC2E5" w:themeFill="accent1" w:themeFillTint="99"/>
            <w:vAlign w:val="center"/>
          </w:tcPr>
          <w:p w14:paraId="053EB7DD" w14:textId="6470A6B3" w:rsidR="00937695" w:rsidRPr="00937695" w:rsidRDefault="00937695" w:rsidP="00937695">
            <w:pPr>
              <w:spacing w:before="40" w:after="40" w:line="240" w:lineRule="auto"/>
              <w:jc w:val="center"/>
              <w:rPr>
                <w:color w:val="000000"/>
              </w:rPr>
            </w:pPr>
            <w:r w:rsidRPr="00937695">
              <w:rPr>
                <w:color w:val="000000"/>
              </w:rPr>
              <w:t>1</w:t>
            </w:r>
          </w:p>
        </w:tc>
        <w:tc>
          <w:tcPr>
            <w:tcW w:w="4603" w:type="dxa"/>
            <w:vAlign w:val="center"/>
          </w:tcPr>
          <w:p w14:paraId="52204EEF" w14:textId="7E89F046" w:rsidR="00937695" w:rsidRPr="00937695" w:rsidRDefault="00937695" w:rsidP="00937695">
            <w:pPr>
              <w:spacing w:before="40" w:after="40" w:line="240" w:lineRule="auto"/>
              <w:rPr>
                <w:color w:val="000000"/>
              </w:rPr>
            </w:pPr>
            <w:r w:rsidRPr="00937695">
              <w:rPr>
                <w:color w:val="000000"/>
              </w:rPr>
              <w:t>Trasferimento di conoscenze e azioni di informazione</w:t>
            </w:r>
          </w:p>
        </w:tc>
        <w:tc>
          <w:tcPr>
            <w:tcW w:w="1944" w:type="dxa"/>
            <w:vAlign w:val="center"/>
          </w:tcPr>
          <w:p w14:paraId="3C8102C3" w14:textId="7641BF0B" w:rsidR="00937695" w:rsidRPr="00937695" w:rsidRDefault="00937695" w:rsidP="00B54ACB">
            <w:pPr>
              <w:spacing w:before="40" w:after="40" w:line="240" w:lineRule="auto"/>
              <w:ind w:left="-175" w:right="-212"/>
              <w:jc w:val="center"/>
              <w:rPr>
                <w:color w:val="000000"/>
              </w:rPr>
            </w:pPr>
          </w:p>
        </w:tc>
        <w:tc>
          <w:tcPr>
            <w:tcW w:w="1938" w:type="dxa"/>
            <w:vAlign w:val="center"/>
          </w:tcPr>
          <w:p w14:paraId="3C53C7CF" w14:textId="77777777" w:rsidR="00937695" w:rsidRPr="00937695" w:rsidRDefault="00937695" w:rsidP="00937695">
            <w:pPr>
              <w:spacing w:before="40" w:after="40" w:line="240" w:lineRule="auto"/>
              <w:jc w:val="center"/>
              <w:rPr>
                <w:color w:val="000000"/>
              </w:rPr>
            </w:pPr>
          </w:p>
        </w:tc>
      </w:tr>
      <w:tr w:rsidR="00B54ACB" w:rsidRPr="00937695" w14:paraId="6B0F7EB5" w14:textId="77777777" w:rsidTr="00B54ACB">
        <w:tc>
          <w:tcPr>
            <w:tcW w:w="0" w:type="auto"/>
            <w:shd w:val="clear" w:color="auto" w:fill="9CC2E5" w:themeFill="accent1" w:themeFillTint="99"/>
            <w:vAlign w:val="center"/>
          </w:tcPr>
          <w:p w14:paraId="14631699" w14:textId="53E77703" w:rsidR="00B54ACB" w:rsidRPr="00937695" w:rsidRDefault="00B54ACB" w:rsidP="00B54ACB">
            <w:pPr>
              <w:spacing w:before="40" w:after="40" w:line="240" w:lineRule="auto"/>
              <w:jc w:val="center"/>
              <w:rPr>
                <w:color w:val="000000"/>
              </w:rPr>
            </w:pPr>
            <w:r w:rsidRPr="00937695">
              <w:rPr>
                <w:color w:val="000000"/>
              </w:rPr>
              <w:t>4.1.1</w:t>
            </w:r>
          </w:p>
        </w:tc>
        <w:tc>
          <w:tcPr>
            <w:tcW w:w="4603" w:type="dxa"/>
            <w:vAlign w:val="center"/>
          </w:tcPr>
          <w:p w14:paraId="3866A4E7" w14:textId="031D84EA" w:rsidR="00B54ACB" w:rsidRPr="00937695" w:rsidRDefault="00B54ACB" w:rsidP="00B54ACB">
            <w:pPr>
              <w:spacing w:before="40" w:after="40" w:line="240" w:lineRule="auto"/>
              <w:rPr>
                <w:color w:val="000000"/>
              </w:rPr>
            </w:pPr>
            <w:r w:rsidRPr="00937695">
              <w:rPr>
                <w:color w:val="000000"/>
              </w:rPr>
              <w:t>Sostegno a investimenti per il miglioramento delle prestazioni e della sostenibilità globale dell'azienda agricola</w:t>
            </w:r>
          </w:p>
        </w:tc>
        <w:tc>
          <w:tcPr>
            <w:tcW w:w="1944" w:type="dxa"/>
          </w:tcPr>
          <w:p w14:paraId="54D10A08" w14:textId="04313CBF" w:rsidR="00B54ACB" w:rsidRPr="00937695" w:rsidRDefault="00B54ACB" w:rsidP="00B54ACB">
            <w:pPr>
              <w:spacing w:before="40" w:after="40" w:line="240" w:lineRule="auto"/>
              <w:ind w:left="-187" w:right="-212"/>
              <w:jc w:val="center"/>
              <w:rPr>
                <w:color w:val="000000"/>
              </w:rPr>
            </w:pPr>
            <w:r w:rsidRPr="0024715A">
              <w:rPr>
                <w:color w:val="000000"/>
              </w:rPr>
              <w:t xml:space="preserve">10 punti meno il 10% dell’età al momento della presentazione della domanda </w:t>
            </w:r>
          </w:p>
        </w:tc>
        <w:tc>
          <w:tcPr>
            <w:tcW w:w="1938" w:type="dxa"/>
            <w:vAlign w:val="center"/>
          </w:tcPr>
          <w:p w14:paraId="727AC61F" w14:textId="5A168AD5" w:rsidR="00B54ACB" w:rsidRPr="00937695" w:rsidRDefault="00B54ACB" w:rsidP="00B54ACB">
            <w:pPr>
              <w:spacing w:before="40" w:after="40" w:line="240" w:lineRule="auto"/>
              <w:jc w:val="center"/>
              <w:rPr>
                <w:color w:val="000000"/>
              </w:rPr>
            </w:pPr>
            <w:r>
              <w:rPr>
                <w:color w:val="000000"/>
              </w:rPr>
              <w:t>Nessuno</w:t>
            </w:r>
          </w:p>
        </w:tc>
      </w:tr>
      <w:tr w:rsidR="00B54ACB" w:rsidRPr="00937695" w14:paraId="6D72B169" w14:textId="77777777" w:rsidTr="00B54ACB">
        <w:tc>
          <w:tcPr>
            <w:tcW w:w="0" w:type="auto"/>
            <w:shd w:val="clear" w:color="auto" w:fill="9CC2E5" w:themeFill="accent1" w:themeFillTint="99"/>
            <w:vAlign w:val="center"/>
          </w:tcPr>
          <w:p w14:paraId="6A21BA92" w14:textId="27379183" w:rsidR="00B54ACB" w:rsidRPr="00937695" w:rsidRDefault="00B54ACB" w:rsidP="00B54ACB">
            <w:pPr>
              <w:spacing w:before="40" w:after="40" w:line="240" w:lineRule="auto"/>
              <w:jc w:val="center"/>
              <w:rPr>
                <w:color w:val="000000"/>
              </w:rPr>
            </w:pPr>
            <w:r w:rsidRPr="00937695">
              <w:rPr>
                <w:color w:val="000000"/>
              </w:rPr>
              <w:t>6.1.1</w:t>
            </w:r>
          </w:p>
        </w:tc>
        <w:tc>
          <w:tcPr>
            <w:tcW w:w="4603" w:type="dxa"/>
            <w:vAlign w:val="center"/>
          </w:tcPr>
          <w:p w14:paraId="2AFF5DAA" w14:textId="5BE61416" w:rsidR="00B54ACB" w:rsidRPr="00937695" w:rsidRDefault="00B54ACB" w:rsidP="00B54ACB">
            <w:pPr>
              <w:spacing w:before="40" w:after="40" w:line="240" w:lineRule="auto"/>
              <w:rPr>
                <w:color w:val="000000"/>
              </w:rPr>
            </w:pPr>
            <w:r w:rsidRPr="00937695">
              <w:rPr>
                <w:color w:val="000000"/>
              </w:rPr>
              <w:t>Aiuti all'avviamento di imprese per i giovani agricoltori</w:t>
            </w:r>
          </w:p>
        </w:tc>
        <w:tc>
          <w:tcPr>
            <w:tcW w:w="1944" w:type="dxa"/>
          </w:tcPr>
          <w:p w14:paraId="21B90871" w14:textId="239AF52F" w:rsidR="00B54ACB" w:rsidRPr="00937695" w:rsidRDefault="00B54ACB" w:rsidP="00B54ACB">
            <w:pPr>
              <w:spacing w:before="40" w:after="40" w:line="240" w:lineRule="auto"/>
              <w:ind w:left="-187" w:right="-212"/>
              <w:jc w:val="center"/>
              <w:rPr>
                <w:color w:val="000000"/>
              </w:rPr>
            </w:pPr>
            <w:r w:rsidRPr="0024715A">
              <w:rPr>
                <w:color w:val="000000"/>
              </w:rPr>
              <w:t xml:space="preserve">10 punti meno il 10% dell’età al momento della presentazione della domanda </w:t>
            </w:r>
          </w:p>
        </w:tc>
        <w:tc>
          <w:tcPr>
            <w:tcW w:w="1938" w:type="dxa"/>
            <w:vAlign w:val="center"/>
          </w:tcPr>
          <w:p w14:paraId="5285AE0B" w14:textId="3F2A0607" w:rsidR="00B54ACB" w:rsidRPr="00937695" w:rsidRDefault="00B54ACB" w:rsidP="00B54ACB">
            <w:pPr>
              <w:spacing w:before="40" w:after="40" w:line="240" w:lineRule="auto"/>
              <w:jc w:val="center"/>
              <w:rPr>
                <w:color w:val="000000"/>
              </w:rPr>
            </w:pPr>
            <w:r>
              <w:rPr>
                <w:color w:val="000000"/>
              </w:rPr>
              <w:t>Nessuno</w:t>
            </w:r>
          </w:p>
        </w:tc>
      </w:tr>
      <w:tr w:rsidR="00937695" w:rsidRPr="00937695" w14:paraId="7986C548" w14:textId="77777777" w:rsidTr="00B54ACB">
        <w:tc>
          <w:tcPr>
            <w:tcW w:w="0" w:type="auto"/>
            <w:shd w:val="clear" w:color="auto" w:fill="9CC2E5" w:themeFill="accent1" w:themeFillTint="99"/>
            <w:vAlign w:val="center"/>
          </w:tcPr>
          <w:p w14:paraId="65E19DAD" w14:textId="77777777" w:rsidR="00E54756" w:rsidRPr="00937695" w:rsidRDefault="00E54756" w:rsidP="00937695">
            <w:pPr>
              <w:spacing w:before="40" w:after="40" w:line="240" w:lineRule="auto"/>
              <w:jc w:val="center"/>
              <w:rPr>
                <w:color w:val="000000"/>
              </w:rPr>
            </w:pPr>
            <w:r w:rsidRPr="00937695">
              <w:rPr>
                <w:color w:val="000000"/>
              </w:rPr>
              <w:t>6.2.1</w:t>
            </w:r>
          </w:p>
        </w:tc>
        <w:tc>
          <w:tcPr>
            <w:tcW w:w="4603" w:type="dxa"/>
            <w:vAlign w:val="center"/>
          </w:tcPr>
          <w:p w14:paraId="1B6AD9BB" w14:textId="77777777" w:rsidR="00E54756" w:rsidRPr="00937695" w:rsidRDefault="00E54756" w:rsidP="00937695">
            <w:pPr>
              <w:spacing w:before="40" w:after="40" w:line="240" w:lineRule="auto"/>
              <w:rPr>
                <w:color w:val="000000"/>
              </w:rPr>
            </w:pPr>
            <w:r w:rsidRPr="00937695">
              <w:rPr>
                <w:color w:val="000000"/>
              </w:rPr>
              <w:t>Aiuti all’avviamento di attività imprenditoriali per attività extra-agricole nelle zone rurale</w:t>
            </w:r>
          </w:p>
        </w:tc>
        <w:tc>
          <w:tcPr>
            <w:tcW w:w="1944" w:type="dxa"/>
            <w:vAlign w:val="center"/>
          </w:tcPr>
          <w:p w14:paraId="6D2F9347" w14:textId="77777777" w:rsidR="00E54756" w:rsidRPr="00937695" w:rsidRDefault="00E54756" w:rsidP="00937695">
            <w:pPr>
              <w:spacing w:before="40" w:after="40" w:line="240" w:lineRule="auto"/>
              <w:jc w:val="center"/>
              <w:rPr>
                <w:color w:val="000000"/>
              </w:rPr>
            </w:pPr>
            <w:r w:rsidRPr="00937695">
              <w:rPr>
                <w:color w:val="000000"/>
              </w:rPr>
              <w:t>5 punti</w:t>
            </w:r>
          </w:p>
        </w:tc>
        <w:tc>
          <w:tcPr>
            <w:tcW w:w="1938" w:type="dxa"/>
            <w:vAlign w:val="center"/>
          </w:tcPr>
          <w:p w14:paraId="5531FB69" w14:textId="77777777" w:rsidR="00E54756" w:rsidRPr="00937695" w:rsidRDefault="00E54756" w:rsidP="00937695">
            <w:pPr>
              <w:spacing w:before="40" w:after="40" w:line="240" w:lineRule="auto"/>
              <w:jc w:val="center"/>
              <w:rPr>
                <w:color w:val="000000"/>
              </w:rPr>
            </w:pPr>
            <w:r w:rsidRPr="00937695">
              <w:rPr>
                <w:color w:val="000000"/>
              </w:rPr>
              <w:t>5 punti</w:t>
            </w:r>
          </w:p>
        </w:tc>
      </w:tr>
      <w:tr w:rsidR="00937695" w:rsidRPr="00937695" w14:paraId="5F430E55" w14:textId="77777777" w:rsidTr="00B54ACB">
        <w:tc>
          <w:tcPr>
            <w:tcW w:w="0" w:type="auto"/>
            <w:shd w:val="clear" w:color="auto" w:fill="9CC2E5" w:themeFill="accent1" w:themeFillTint="99"/>
            <w:vAlign w:val="center"/>
          </w:tcPr>
          <w:p w14:paraId="424B48B4" w14:textId="77777777" w:rsidR="00E54756" w:rsidRPr="00937695" w:rsidRDefault="00E54756" w:rsidP="00937695">
            <w:pPr>
              <w:spacing w:before="40" w:after="40" w:line="240" w:lineRule="auto"/>
              <w:jc w:val="center"/>
              <w:rPr>
                <w:color w:val="000000"/>
              </w:rPr>
            </w:pPr>
            <w:r w:rsidRPr="00937695">
              <w:rPr>
                <w:color w:val="000000"/>
              </w:rPr>
              <w:t>6.4.1</w:t>
            </w:r>
          </w:p>
        </w:tc>
        <w:tc>
          <w:tcPr>
            <w:tcW w:w="4603" w:type="dxa"/>
            <w:vAlign w:val="center"/>
          </w:tcPr>
          <w:p w14:paraId="5D30EA72" w14:textId="77777777" w:rsidR="00E54756" w:rsidRPr="00937695" w:rsidRDefault="00E54756" w:rsidP="00937695">
            <w:pPr>
              <w:spacing w:before="40" w:after="40" w:line="240" w:lineRule="auto"/>
              <w:rPr>
                <w:color w:val="000000"/>
              </w:rPr>
            </w:pPr>
            <w:r w:rsidRPr="00937695">
              <w:rPr>
                <w:color w:val="000000"/>
              </w:rPr>
              <w:t>Creazione e sviluppo di agriturismi, fattorie didattiche e fattorie sociali</w:t>
            </w:r>
          </w:p>
        </w:tc>
        <w:tc>
          <w:tcPr>
            <w:tcW w:w="1944" w:type="dxa"/>
            <w:vAlign w:val="center"/>
          </w:tcPr>
          <w:p w14:paraId="389EF513" w14:textId="77777777" w:rsidR="00E54756" w:rsidRPr="00937695" w:rsidRDefault="00E54756" w:rsidP="00937695">
            <w:pPr>
              <w:spacing w:before="40" w:after="40" w:line="240" w:lineRule="auto"/>
              <w:jc w:val="center"/>
              <w:rPr>
                <w:color w:val="000000"/>
              </w:rPr>
            </w:pPr>
            <w:r w:rsidRPr="00937695">
              <w:rPr>
                <w:color w:val="000000"/>
              </w:rPr>
              <w:t>10 punti</w:t>
            </w:r>
          </w:p>
        </w:tc>
        <w:tc>
          <w:tcPr>
            <w:tcW w:w="1938" w:type="dxa"/>
            <w:vAlign w:val="center"/>
          </w:tcPr>
          <w:p w14:paraId="452CB5B1" w14:textId="77777777" w:rsidR="00E54756" w:rsidRPr="00937695" w:rsidRDefault="00E54756" w:rsidP="00937695">
            <w:pPr>
              <w:spacing w:before="40" w:after="40" w:line="240" w:lineRule="auto"/>
              <w:jc w:val="center"/>
              <w:rPr>
                <w:color w:val="000000"/>
              </w:rPr>
            </w:pPr>
            <w:r w:rsidRPr="00937695">
              <w:rPr>
                <w:color w:val="000000"/>
              </w:rPr>
              <w:t>10 punti</w:t>
            </w:r>
          </w:p>
        </w:tc>
      </w:tr>
      <w:tr w:rsidR="00937695" w:rsidRPr="00937695" w14:paraId="090F59B1" w14:textId="77777777" w:rsidTr="00B54ACB">
        <w:tc>
          <w:tcPr>
            <w:tcW w:w="0" w:type="auto"/>
            <w:shd w:val="clear" w:color="auto" w:fill="9CC2E5" w:themeFill="accent1" w:themeFillTint="99"/>
            <w:vAlign w:val="center"/>
          </w:tcPr>
          <w:p w14:paraId="2A89B436" w14:textId="77777777" w:rsidR="00E54756" w:rsidRPr="00937695" w:rsidRDefault="00E54756" w:rsidP="00937695">
            <w:pPr>
              <w:spacing w:before="40" w:after="40" w:line="240" w:lineRule="auto"/>
              <w:jc w:val="center"/>
              <w:rPr>
                <w:color w:val="000000"/>
              </w:rPr>
            </w:pPr>
            <w:r w:rsidRPr="00937695">
              <w:rPr>
                <w:color w:val="000000"/>
              </w:rPr>
              <w:lastRenderedPageBreak/>
              <w:t>6.4.2</w:t>
            </w:r>
          </w:p>
        </w:tc>
        <w:tc>
          <w:tcPr>
            <w:tcW w:w="4603" w:type="dxa"/>
            <w:vAlign w:val="center"/>
          </w:tcPr>
          <w:p w14:paraId="7FD35394" w14:textId="77777777" w:rsidR="00E54756" w:rsidRPr="00937695" w:rsidRDefault="00E54756" w:rsidP="00937695">
            <w:pPr>
              <w:spacing w:before="40" w:after="40" w:line="240" w:lineRule="auto"/>
              <w:rPr>
                <w:color w:val="000000"/>
              </w:rPr>
            </w:pPr>
            <w:r w:rsidRPr="00937695">
              <w:rPr>
                <w:color w:val="000000"/>
              </w:rPr>
              <w:t>Investimenti nella creazione e nello sviluppo di impianti per la produzione di energia da fonti rinnovabili</w:t>
            </w:r>
          </w:p>
        </w:tc>
        <w:tc>
          <w:tcPr>
            <w:tcW w:w="1944" w:type="dxa"/>
            <w:vAlign w:val="center"/>
          </w:tcPr>
          <w:p w14:paraId="693A5E68" w14:textId="77777777" w:rsidR="00E54756" w:rsidRPr="00937695" w:rsidRDefault="00E54756" w:rsidP="00937695">
            <w:pPr>
              <w:spacing w:before="40" w:after="40" w:line="240" w:lineRule="auto"/>
              <w:jc w:val="center"/>
              <w:rPr>
                <w:color w:val="000000"/>
              </w:rPr>
            </w:pPr>
            <w:r w:rsidRPr="00937695">
              <w:rPr>
                <w:color w:val="000000"/>
              </w:rPr>
              <w:t>5 punti</w:t>
            </w:r>
          </w:p>
        </w:tc>
        <w:tc>
          <w:tcPr>
            <w:tcW w:w="1938" w:type="dxa"/>
            <w:vAlign w:val="center"/>
          </w:tcPr>
          <w:p w14:paraId="7F44AF8B" w14:textId="77777777" w:rsidR="00E54756" w:rsidRPr="00937695" w:rsidRDefault="00E54756" w:rsidP="00937695">
            <w:pPr>
              <w:spacing w:before="40" w:after="40" w:line="240" w:lineRule="auto"/>
              <w:jc w:val="center"/>
              <w:rPr>
                <w:color w:val="000000"/>
              </w:rPr>
            </w:pPr>
            <w:r w:rsidRPr="00937695">
              <w:rPr>
                <w:color w:val="000000"/>
              </w:rPr>
              <w:t>5 punti</w:t>
            </w:r>
          </w:p>
        </w:tc>
      </w:tr>
      <w:tr w:rsidR="00937695" w:rsidRPr="00937695" w14:paraId="1CBD8A38" w14:textId="77777777" w:rsidTr="00B54ACB">
        <w:tc>
          <w:tcPr>
            <w:tcW w:w="0" w:type="auto"/>
            <w:shd w:val="clear" w:color="auto" w:fill="9CC2E5" w:themeFill="accent1" w:themeFillTint="99"/>
            <w:vAlign w:val="center"/>
          </w:tcPr>
          <w:p w14:paraId="2CF087E2" w14:textId="77777777" w:rsidR="00E54756" w:rsidRPr="00937695" w:rsidRDefault="00E54756" w:rsidP="00937695">
            <w:pPr>
              <w:spacing w:before="40" w:after="40" w:line="240" w:lineRule="auto"/>
              <w:jc w:val="center"/>
              <w:rPr>
                <w:color w:val="000000"/>
              </w:rPr>
            </w:pPr>
            <w:r w:rsidRPr="00937695">
              <w:rPr>
                <w:color w:val="000000"/>
              </w:rPr>
              <w:t>6.4.3</w:t>
            </w:r>
          </w:p>
        </w:tc>
        <w:tc>
          <w:tcPr>
            <w:tcW w:w="4603" w:type="dxa"/>
            <w:vAlign w:val="center"/>
          </w:tcPr>
          <w:p w14:paraId="2299C5DD" w14:textId="651F9AAE" w:rsidR="00E54756" w:rsidRPr="00937695" w:rsidRDefault="00E54756" w:rsidP="00B54ACB">
            <w:pPr>
              <w:spacing w:before="40" w:after="40" w:line="240" w:lineRule="auto"/>
              <w:rPr>
                <w:color w:val="000000"/>
              </w:rPr>
            </w:pPr>
            <w:r w:rsidRPr="00937695">
              <w:rPr>
                <w:color w:val="000000"/>
              </w:rPr>
              <w:t>Sostegno creazione/sviluppo imprese extra-agricole settori commerc</w:t>
            </w:r>
            <w:r w:rsidR="00B54ACB">
              <w:rPr>
                <w:color w:val="000000"/>
              </w:rPr>
              <w:t>iale – artigiana</w:t>
            </w:r>
            <w:r w:rsidRPr="00937695">
              <w:rPr>
                <w:color w:val="000000"/>
              </w:rPr>
              <w:t>le</w:t>
            </w:r>
            <w:r w:rsidR="00B54ACB">
              <w:rPr>
                <w:color w:val="000000"/>
              </w:rPr>
              <w:t xml:space="preserve"> -</w:t>
            </w:r>
            <w:r w:rsidRPr="00937695">
              <w:rPr>
                <w:color w:val="000000"/>
              </w:rPr>
              <w:t xml:space="preserve"> turist</w:t>
            </w:r>
            <w:r w:rsidR="00B54ACB">
              <w:rPr>
                <w:color w:val="000000"/>
              </w:rPr>
              <w:t>ico</w:t>
            </w:r>
            <w:r w:rsidRPr="00937695">
              <w:rPr>
                <w:color w:val="000000"/>
              </w:rPr>
              <w:t>-</w:t>
            </w:r>
            <w:r w:rsidR="00B54ACB">
              <w:rPr>
                <w:color w:val="000000"/>
              </w:rPr>
              <w:t xml:space="preserve"> servizi</w:t>
            </w:r>
            <w:r w:rsidRPr="00937695">
              <w:rPr>
                <w:color w:val="000000"/>
              </w:rPr>
              <w:t>- innovazione tecnologica</w:t>
            </w:r>
          </w:p>
        </w:tc>
        <w:tc>
          <w:tcPr>
            <w:tcW w:w="1944" w:type="dxa"/>
            <w:vAlign w:val="center"/>
          </w:tcPr>
          <w:p w14:paraId="0048842F" w14:textId="77777777" w:rsidR="00E54756" w:rsidRPr="00937695" w:rsidRDefault="00E54756" w:rsidP="00937695">
            <w:pPr>
              <w:spacing w:before="40" w:after="40" w:line="240" w:lineRule="auto"/>
              <w:jc w:val="center"/>
              <w:rPr>
                <w:color w:val="000000"/>
              </w:rPr>
            </w:pPr>
            <w:r w:rsidRPr="00937695">
              <w:rPr>
                <w:color w:val="000000"/>
              </w:rPr>
              <w:t>5 punti</w:t>
            </w:r>
          </w:p>
        </w:tc>
        <w:tc>
          <w:tcPr>
            <w:tcW w:w="1938" w:type="dxa"/>
            <w:vAlign w:val="center"/>
          </w:tcPr>
          <w:p w14:paraId="7903AAD4" w14:textId="77777777" w:rsidR="00E54756" w:rsidRPr="00937695" w:rsidRDefault="00E54756" w:rsidP="00937695">
            <w:pPr>
              <w:spacing w:before="40" w:after="40" w:line="240" w:lineRule="auto"/>
              <w:jc w:val="center"/>
              <w:rPr>
                <w:color w:val="000000"/>
              </w:rPr>
            </w:pPr>
            <w:r w:rsidRPr="00937695">
              <w:rPr>
                <w:color w:val="000000"/>
              </w:rPr>
              <w:t>5 punti</w:t>
            </w:r>
          </w:p>
        </w:tc>
      </w:tr>
    </w:tbl>
    <w:p w14:paraId="105600D2" w14:textId="0E4FA8C6" w:rsidR="00E54756" w:rsidRDefault="00E54756" w:rsidP="00995B9F"/>
    <w:p w14:paraId="210A6B01" w14:textId="18500EAD" w:rsidR="00B6724F" w:rsidRDefault="00B6724F" w:rsidP="00995B9F">
      <w:r>
        <w:t xml:space="preserve">La scelta di restringere l’utilizzo di criteri di selezione a favore delle domande presentate da </w:t>
      </w:r>
      <w:r w:rsidRPr="00B6724F">
        <w:t>aziende agricole fondate da donne o di società il cui capitale prevalente è detenuto da donne</w:t>
      </w:r>
      <w:r>
        <w:t xml:space="preserve"> solo per alcune misure, è frutto di diverse considerazioni, principalmente legate al contesto di riferimento che vede una media regionale di partecipazione femminile </w:t>
      </w:r>
      <w:r w:rsidR="002401CA">
        <w:t xml:space="preserve">al settore agricolo </w:t>
      </w:r>
      <w:r>
        <w:t xml:space="preserve">e di imprese </w:t>
      </w:r>
      <w:r w:rsidR="002401CA">
        <w:t xml:space="preserve">agricole superiore a quella </w:t>
      </w:r>
      <w:r w:rsidR="002401CA" w:rsidRPr="00EA46E6">
        <w:t>nazionale (cfr. 3.1).</w:t>
      </w:r>
      <w:r>
        <w:t xml:space="preserve"> </w:t>
      </w:r>
    </w:p>
    <w:p w14:paraId="3E004A4B" w14:textId="2D350C8C" w:rsidR="00E54756" w:rsidRDefault="002401CA" w:rsidP="00995B9F">
      <w:r>
        <w:t>A fronte di tali elementi emersi dall’analisi SWOT si è scelto dunque di sostenere direttamente quegli ambiti di investimento legati alla diversificazione delle attività agricole, connesse alla multifunzionalità dell’azienda agricola, e attività extra-agricole nelle zone rurali</w:t>
      </w:r>
      <w:r w:rsidR="00750FF9">
        <w:t>.</w:t>
      </w:r>
    </w:p>
    <w:p w14:paraId="672F259B" w14:textId="303B6EDF" w:rsidR="00750FF9" w:rsidRDefault="00750FF9" w:rsidP="00995B9F">
      <w:r>
        <w:t>Per alcuni interventi (6.4.2 e 6.4.3) si riconosce inoltre l’incremento del contributo nella misura del 10% in presenza di donne (oltre che di giovani).</w:t>
      </w:r>
    </w:p>
    <w:p w14:paraId="73192186" w14:textId="56985CB6" w:rsidR="00D200CE" w:rsidRDefault="00D200CE" w:rsidP="00995B9F">
      <w:r>
        <w:t>Al momento i bandi degli interventi di cui alle sottomisure 6.2 e 6.4 non sono stati pubblicati, pertanto in questa fase non vi sono elementi per valutare l’effettiv</w:t>
      </w:r>
      <w:r w:rsidR="00EA46E6">
        <w:t>o</w:t>
      </w:r>
      <w:r>
        <w:t xml:space="preserve"> interesse degli operatori economici e l’efficacia dei criteri sopra descritti.</w:t>
      </w:r>
    </w:p>
    <w:p w14:paraId="24BDAAE2" w14:textId="77777777" w:rsidR="0047755C" w:rsidRDefault="0047755C" w:rsidP="00995B9F"/>
    <w:p w14:paraId="0E539963" w14:textId="77777777" w:rsidR="0047755C" w:rsidRDefault="0047755C" w:rsidP="00995B9F">
      <w:r>
        <w:t xml:space="preserve">La strategia regionale di sostegno della parità di genere ed in particolare dell’imprenditoria femminile </w:t>
      </w:r>
      <w:r w:rsidRPr="008D6757">
        <w:rPr>
          <w:rFonts w:eastAsia="Times New Roman" w:cs="Times New Roman"/>
          <w:color w:val="000000"/>
        </w:rPr>
        <w:t>nell'ambito dei diversi strumenti e Piani di programmazione, comunitaria e regionale,</w:t>
      </w:r>
      <w:r>
        <w:rPr>
          <w:rFonts w:eastAsia="Times New Roman" w:cs="Times New Roman"/>
          <w:color w:val="000000"/>
        </w:rPr>
        <w:t xml:space="preserve"> </w:t>
      </w:r>
      <w:r>
        <w:t xml:space="preserve">si è basata in questi anni sui budget </w:t>
      </w:r>
      <w:r w:rsidRPr="008D6757">
        <w:t>messi a disposizione dei Fondi SIE (FSE, FESR, FEASR)</w:t>
      </w:r>
      <w:r>
        <w:t xml:space="preserve">, sui </w:t>
      </w:r>
      <w:r w:rsidRPr="008D6757">
        <w:t>fondi rotativi</w:t>
      </w:r>
      <w:r>
        <w:t>, sulla dotazione</w:t>
      </w:r>
      <w:r w:rsidRPr="008D6757">
        <w:t xml:space="preserve"> previst</w:t>
      </w:r>
      <w:r>
        <w:t>a</w:t>
      </w:r>
      <w:r w:rsidRPr="008D6757">
        <w:t xml:space="preserve"> dalla legge regionale 12/95 per l'imprenditoria femminile, </w:t>
      </w:r>
      <w:r>
        <w:t>su fondi per il micro-credito.</w:t>
      </w:r>
    </w:p>
    <w:p w14:paraId="38302350" w14:textId="77777777" w:rsidR="0047755C" w:rsidRDefault="0047755C" w:rsidP="00995B9F">
      <w:r>
        <w:t>Concentrando l’attenzione sul fondo FEASR e sulle possibilità di sostegno messe a disposizione dal PSR 2014-2020, le Misure che prevalentemente sostengono la parità di genere sono tre:</w:t>
      </w:r>
    </w:p>
    <w:p w14:paraId="29C77E51" w14:textId="77777777" w:rsidR="0047755C" w:rsidRDefault="0047755C" w:rsidP="00995B9F">
      <w:pPr>
        <w:pStyle w:val="Paragrafoelenco"/>
        <w:numPr>
          <w:ilvl w:val="0"/>
          <w:numId w:val="18"/>
        </w:numPr>
        <w:tabs>
          <w:tab w:val="left" w:pos="7936"/>
        </w:tabs>
        <w:spacing w:line="240" w:lineRule="auto"/>
        <w:ind w:left="714" w:hanging="357"/>
        <w:contextualSpacing w:val="0"/>
        <w:rPr>
          <w:bCs/>
          <w:iCs/>
          <w:color w:val="1D1D1F"/>
        </w:rPr>
      </w:pPr>
      <w:r>
        <w:rPr>
          <w:bCs/>
          <w:iCs/>
          <w:color w:val="1D1D1F"/>
        </w:rPr>
        <w:t>la Misura 1 “</w:t>
      </w:r>
      <w:r w:rsidRPr="00EC46F7">
        <w:rPr>
          <w:bCs/>
          <w:iCs/>
          <w:color w:val="1D1D1F"/>
        </w:rPr>
        <w:t>Trasferimento di conoscenze e azioni di informazione</w:t>
      </w:r>
      <w:r>
        <w:rPr>
          <w:bCs/>
          <w:iCs/>
          <w:color w:val="1D1D1F"/>
        </w:rPr>
        <w:t>”, in particolare attraverso la sottomisura 1.1 “</w:t>
      </w:r>
      <w:r w:rsidRPr="00EC46F7">
        <w:rPr>
          <w:bCs/>
          <w:iCs/>
          <w:color w:val="1D1D1F"/>
        </w:rPr>
        <w:t>Formazione professionale ed acquisizione competenze</w:t>
      </w:r>
      <w:r>
        <w:rPr>
          <w:bCs/>
          <w:iCs/>
          <w:color w:val="1D1D1F"/>
        </w:rPr>
        <w:t>”;</w:t>
      </w:r>
    </w:p>
    <w:p w14:paraId="6545C37D" w14:textId="77777777" w:rsidR="0047755C" w:rsidRPr="001C2BA5" w:rsidRDefault="0047755C" w:rsidP="00995B9F">
      <w:pPr>
        <w:pStyle w:val="Paragrafoelenco"/>
        <w:numPr>
          <w:ilvl w:val="0"/>
          <w:numId w:val="18"/>
        </w:numPr>
        <w:tabs>
          <w:tab w:val="left" w:pos="7936"/>
        </w:tabs>
        <w:spacing w:line="240" w:lineRule="auto"/>
        <w:ind w:left="714" w:hanging="357"/>
        <w:contextualSpacing w:val="0"/>
        <w:rPr>
          <w:bCs/>
          <w:iCs/>
          <w:color w:val="1D1D1F"/>
        </w:rPr>
      </w:pPr>
      <w:r w:rsidRPr="001C2BA5">
        <w:rPr>
          <w:bCs/>
          <w:iCs/>
          <w:color w:val="1D1D1F"/>
        </w:rPr>
        <w:t>la Misura 4 “Investimenti in immobilizzazioni materiali”, in particolare attraverso la sottomisura 4.1 “Sostegno a investimenti per il miglioramento delle prestazioni e della sostenibilità globale</w:t>
      </w:r>
      <w:r>
        <w:rPr>
          <w:bCs/>
          <w:iCs/>
          <w:color w:val="1D1D1F"/>
        </w:rPr>
        <w:t xml:space="preserve"> </w:t>
      </w:r>
      <w:r w:rsidRPr="001C2BA5">
        <w:rPr>
          <w:bCs/>
          <w:iCs/>
          <w:color w:val="1D1D1F"/>
        </w:rPr>
        <w:t>dell’azienda agricola</w:t>
      </w:r>
      <w:r>
        <w:rPr>
          <w:bCs/>
          <w:iCs/>
          <w:color w:val="1D1D1F"/>
        </w:rPr>
        <w:t>”;</w:t>
      </w:r>
    </w:p>
    <w:p w14:paraId="406978FD" w14:textId="77777777" w:rsidR="0047755C" w:rsidRPr="00EC46F7" w:rsidRDefault="0047755C" w:rsidP="00995B9F">
      <w:pPr>
        <w:pStyle w:val="Paragrafoelenco"/>
        <w:numPr>
          <w:ilvl w:val="0"/>
          <w:numId w:val="18"/>
        </w:numPr>
        <w:tabs>
          <w:tab w:val="left" w:pos="7936"/>
        </w:tabs>
        <w:spacing w:line="240" w:lineRule="auto"/>
        <w:ind w:left="714" w:hanging="357"/>
        <w:contextualSpacing w:val="0"/>
        <w:rPr>
          <w:bCs/>
          <w:iCs/>
          <w:color w:val="1D1D1F"/>
        </w:rPr>
      </w:pPr>
      <w:r>
        <w:rPr>
          <w:bCs/>
          <w:iCs/>
          <w:color w:val="1D1D1F"/>
        </w:rPr>
        <w:t>la Misura 6 “</w:t>
      </w:r>
      <w:r w:rsidRPr="00EC46F7">
        <w:rPr>
          <w:bCs/>
          <w:iCs/>
          <w:color w:val="1D1D1F"/>
        </w:rPr>
        <w:t>Sviluppo delle aziende agricole e delle imprese</w:t>
      </w:r>
      <w:r>
        <w:rPr>
          <w:bCs/>
          <w:iCs/>
          <w:color w:val="1D1D1F"/>
        </w:rPr>
        <w:t>”,</w:t>
      </w:r>
      <w:r w:rsidRPr="00EC46F7">
        <w:rPr>
          <w:bCs/>
          <w:iCs/>
          <w:color w:val="1D1D1F"/>
        </w:rPr>
        <w:t xml:space="preserve"> </w:t>
      </w:r>
      <w:r>
        <w:rPr>
          <w:bCs/>
          <w:iCs/>
          <w:color w:val="1D1D1F"/>
        </w:rPr>
        <w:t xml:space="preserve">in particolare </w:t>
      </w:r>
      <w:r w:rsidRPr="00EC46F7">
        <w:rPr>
          <w:bCs/>
          <w:iCs/>
          <w:color w:val="1D1D1F"/>
        </w:rPr>
        <w:t xml:space="preserve">attraverso la </w:t>
      </w:r>
      <w:r>
        <w:rPr>
          <w:bCs/>
          <w:iCs/>
          <w:color w:val="1D1D1F"/>
        </w:rPr>
        <w:t>s</w:t>
      </w:r>
      <w:r w:rsidRPr="00EC46F7">
        <w:rPr>
          <w:bCs/>
          <w:iCs/>
          <w:color w:val="1D1D1F"/>
        </w:rPr>
        <w:t xml:space="preserve">ottomisura 6.1 </w:t>
      </w:r>
      <w:r>
        <w:rPr>
          <w:bCs/>
          <w:iCs/>
          <w:color w:val="1D1D1F"/>
        </w:rPr>
        <w:t>“</w:t>
      </w:r>
      <w:r w:rsidRPr="00EC46F7">
        <w:rPr>
          <w:bCs/>
          <w:iCs/>
          <w:color w:val="1D1D1F"/>
        </w:rPr>
        <w:t>Aiuti all’avviamento di imprese per i giovani agricoltori</w:t>
      </w:r>
      <w:r>
        <w:rPr>
          <w:bCs/>
          <w:iCs/>
          <w:color w:val="1D1D1F"/>
        </w:rPr>
        <w:t>”.</w:t>
      </w:r>
    </w:p>
    <w:p w14:paraId="29534EF0" w14:textId="77777777" w:rsidR="0047755C" w:rsidRDefault="0047755C" w:rsidP="00995B9F"/>
    <w:p w14:paraId="7C081C89" w14:textId="132462C0" w:rsidR="0047755C" w:rsidRDefault="0047755C" w:rsidP="00995B9F">
      <w:r>
        <w:t xml:space="preserve">Entrando nel dettaglio dei singoli interventi attivati e che favoriscono la partecipazione, tra gli altri, di giovani e donne, al mondo del lavoro nelle aree rurali, si può prendere in considerazione la sottomisura 1.1, che mira a fornire </w:t>
      </w:r>
      <w:r w:rsidRPr="0045666F">
        <w:t xml:space="preserve">opportunità formative e informative per soddisfare specifici fabbisogni, </w:t>
      </w:r>
      <w:r>
        <w:t xml:space="preserve">veicolando </w:t>
      </w:r>
      <w:r w:rsidRPr="0045666F">
        <w:t xml:space="preserve">il trasferimento </w:t>
      </w:r>
      <w:r>
        <w:t xml:space="preserve">di conoscenza ed innovazione, in questo caso la valenza in chiave di sostegno </w:t>
      </w:r>
      <w:r>
        <w:lastRenderedPageBreak/>
        <w:t>alle politiche paritarie è da ricercare proprio sulla sua trasversalità: la misura, infatti, risulta collegata a tutte quelle che hanno de</w:t>
      </w:r>
      <w:r w:rsidRPr="00134238">
        <w:t>gli impegni</w:t>
      </w:r>
      <w:r>
        <w:t xml:space="preserve"> formativi previsti.</w:t>
      </w:r>
    </w:p>
    <w:p w14:paraId="5E3B9B52" w14:textId="707E7EEB" w:rsidR="0047755C" w:rsidRDefault="0047755C" w:rsidP="00995B9F">
      <w:r w:rsidRPr="00F45309">
        <w:t>Dall’analisi dei bandi scaduti effettuata grazie al portale della Regione Umbria dedicato al PSR</w:t>
      </w:r>
      <w:r w:rsidRPr="00F45309">
        <w:rPr>
          <w:rStyle w:val="Rimandonotaapidipagina"/>
          <w:bCs/>
          <w:iCs/>
          <w:color w:val="1D1D1F"/>
          <w:vertAlign w:val="superscript"/>
        </w:rPr>
        <w:footnoteReference w:id="15"/>
      </w:r>
      <w:r w:rsidRPr="00F45309">
        <w:t xml:space="preserve">, è possibile individuare l’ultimo bando presente riguardante la </w:t>
      </w:r>
      <w:r w:rsidRPr="00F45309">
        <w:rPr>
          <w:rStyle w:val="Enfasigrassetto"/>
        </w:rPr>
        <w:t>sottomisura 1.1</w:t>
      </w:r>
      <w:r w:rsidRPr="00F45309">
        <w:t xml:space="preserve"> ed in particolare l’intervento 1.1.1 “Attività a carattere collettivo”. Il bando, approvato con D.R. n. 4107 DEL 28/04/2017, riguardava l’annualità 2017 (originariamente scaduto il 31/10/2017, ha subito modifiche/integrazioni in data 14/11/2018) e l’obiettivo era quello di incoraggiare l’apprendimento e la formazione professionale nel settore agricolo e forestale (Focus area 1C), promuovendo la realizzazione di attività a carattere collettivo, ivi comprese quelle previste obbligatoriamente dalle misure 6, 10, 11 e 14 del PSR.</w:t>
      </w:r>
    </w:p>
    <w:p w14:paraId="2FC273D4" w14:textId="77777777" w:rsidR="0047755C" w:rsidRDefault="0047755C" w:rsidP="00995B9F">
      <w:r w:rsidRPr="00F71323">
        <w:t>Po</w:t>
      </w:r>
      <w:r>
        <w:t>tevano</w:t>
      </w:r>
      <w:r w:rsidRPr="00F71323">
        <w:t xml:space="preserve"> beneficiare del sostegno gli operatori privati in possesso di adeguate capacità e risorse atte a garantire il</w:t>
      </w:r>
      <w:r>
        <w:t xml:space="preserve"> trasferimento delle conoscenze e d</w:t>
      </w:r>
      <w:r w:rsidRPr="00F71323">
        <w:t xml:space="preserve">estinatari delle operazioni sono gli addetti ai settori agricolo e forestale, gestori del territorio e altri operatori economici </w:t>
      </w:r>
      <w:r>
        <w:t>quali PMI, operanti in zone rurali</w:t>
      </w:r>
      <w:r w:rsidRPr="00F71323">
        <w:t>.</w:t>
      </w:r>
    </w:p>
    <w:p w14:paraId="51E25A17" w14:textId="77777777" w:rsidR="0047755C" w:rsidRPr="00446598" w:rsidRDefault="0047755C" w:rsidP="00995B9F">
      <w:r w:rsidRPr="00446598">
        <w:t>Le attività formative pot</w:t>
      </w:r>
      <w:r>
        <w:t>evano riguardare varie tematiche, dalla g</w:t>
      </w:r>
      <w:r w:rsidRPr="00446598">
        <w:t xml:space="preserve">estione sostenibile delle risorse naturali, dell’ambiente e delle aree agro-silvopastorali </w:t>
      </w:r>
      <w:r>
        <w:t>alle i</w:t>
      </w:r>
      <w:r w:rsidRPr="00446598">
        <w:t>nnovazioni tecnologiche</w:t>
      </w:r>
      <w:r>
        <w:t>, dalle nu</w:t>
      </w:r>
      <w:r w:rsidRPr="00446598">
        <w:t>ove tecnologie per l’</w:t>
      </w:r>
      <w:r>
        <w:t>informazione e la comunicazione alle certificazioni di qualità dei prodotti, fino all</w:t>
      </w:r>
      <w:r w:rsidRPr="00446598">
        <w:t>e tematiche correlate agli impegni formativi previsti dalle misure 6, 10, 11 e 14 nonché di quelli previsti dalla misura 112 del PSR per l’Umbria 2007 - 2013.</w:t>
      </w:r>
    </w:p>
    <w:p w14:paraId="73A70888" w14:textId="77777777" w:rsidR="0047755C" w:rsidRDefault="0047755C" w:rsidP="00995B9F">
      <w:r w:rsidRPr="00446598">
        <w:t>Relativamente</w:t>
      </w:r>
      <w:r>
        <w:t xml:space="preserve"> a questi ultimi interventi formativi, </w:t>
      </w:r>
      <w:r w:rsidRPr="00446598">
        <w:t>le attività corsuali d</w:t>
      </w:r>
      <w:r>
        <w:t>ovevano rispondere ad alcuni</w:t>
      </w:r>
      <w:r w:rsidRPr="00446598">
        <w:t xml:space="preserve"> requisiti </w:t>
      </w:r>
      <w:r>
        <w:t>specifici. In particolare:</w:t>
      </w:r>
    </w:p>
    <w:p w14:paraId="69FF43FD" w14:textId="77777777" w:rsidR="0047755C" w:rsidRDefault="0047755C" w:rsidP="00995B9F">
      <w:pPr>
        <w:pStyle w:val="Paragrafoelenco"/>
        <w:numPr>
          <w:ilvl w:val="0"/>
          <w:numId w:val="18"/>
        </w:numPr>
        <w:tabs>
          <w:tab w:val="left" w:pos="7936"/>
        </w:tabs>
        <w:spacing w:line="240" w:lineRule="auto"/>
        <w:ind w:left="714" w:hanging="357"/>
        <w:contextualSpacing w:val="0"/>
        <w:rPr>
          <w:bCs/>
          <w:iCs/>
          <w:color w:val="1D1D1F"/>
        </w:rPr>
      </w:pPr>
      <w:r w:rsidRPr="00474892">
        <w:rPr>
          <w:bCs/>
          <w:iCs/>
          <w:color w:val="1D1D1F"/>
        </w:rPr>
        <w:t xml:space="preserve">per la Misura 6 - Sottomisura 6.1, Intervento 6.1.1, </w:t>
      </w:r>
      <w:r>
        <w:rPr>
          <w:bCs/>
          <w:iCs/>
          <w:color w:val="1D1D1F"/>
        </w:rPr>
        <w:t>t</w:t>
      </w:r>
      <w:r w:rsidRPr="00474892">
        <w:rPr>
          <w:bCs/>
          <w:iCs/>
          <w:color w:val="1D1D1F"/>
        </w:rPr>
        <w:t xml:space="preserve">ra le condizioni di ammissibilità della tipologia di intervento </w:t>
      </w:r>
      <w:r>
        <w:rPr>
          <w:bCs/>
          <w:iCs/>
          <w:color w:val="1D1D1F"/>
        </w:rPr>
        <w:t>è</w:t>
      </w:r>
      <w:r w:rsidRPr="00474892">
        <w:rPr>
          <w:bCs/>
          <w:iCs/>
          <w:color w:val="1D1D1F"/>
        </w:rPr>
        <w:t xml:space="preserve"> previsto il possesso di adeguate qualifi</w:t>
      </w:r>
      <w:r>
        <w:rPr>
          <w:bCs/>
          <w:iCs/>
          <w:color w:val="1D1D1F"/>
        </w:rPr>
        <w:t xml:space="preserve">che e competenze professionali, tra cui </w:t>
      </w:r>
      <w:r w:rsidRPr="00474892">
        <w:rPr>
          <w:bCs/>
          <w:iCs/>
          <w:color w:val="1D1D1F"/>
        </w:rPr>
        <w:t>il riconoscimento della qualifica di IAP (Impre</w:t>
      </w:r>
      <w:r>
        <w:rPr>
          <w:bCs/>
          <w:iCs/>
          <w:color w:val="1D1D1F"/>
        </w:rPr>
        <w:t xml:space="preserve">nditore Agricolo Professionale). </w:t>
      </w:r>
      <w:r w:rsidRPr="00474892">
        <w:rPr>
          <w:bCs/>
          <w:iCs/>
          <w:color w:val="1D1D1F"/>
        </w:rPr>
        <w:t xml:space="preserve">Pertanto il requisito può essere conseguito </w:t>
      </w:r>
      <w:r>
        <w:rPr>
          <w:bCs/>
          <w:iCs/>
          <w:color w:val="1D1D1F"/>
        </w:rPr>
        <w:t xml:space="preserve">solamente </w:t>
      </w:r>
      <w:r w:rsidRPr="00474892">
        <w:rPr>
          <w:bCs/>
          <w:iCs/>
          <w:color w:val="1D1D1F"/>
        </w:rPr>
        <w:t>previa partecipazione con profitto ad un corso di formazione per (IAP) realizzato conform</w:t>
      </w:r>
      <w:r>
        <w:rPr>
          <w:bCs/>
          <w:iCs/>
          <w:color w:val="1D1D1F"/>
        </w:rPr>
        <w:t>emente alla suddetta normativa;</w:t>
      </w:r>
    </w:p>
    <w:p w14:paraId="00E0210C" w14:textId="77777777" w:rsidR="0047755C" w:rsidRDefault="0047755C" w:rsidP="00995B9F">
      <w:pPr>
        <w:pStyle w:val="Paragrafoelenco"/>
        <w:numPr>
          <w:ilvl w:val="0"/>
          <w:numId w:val="18"/>
        </w:numPr>
        <w:tabs>
          <w:tab w:val="left" w:pos="7936"/>
        </w:tabs>
        <w:spacing w:line="240" w:lineRule="auto"/>
        <w:ind w:left="714" w:hanging="357"/>
        <w:contextualSpacing w:val="0"/>
        <w:rPr>
          <w:bCs/>
          <w:iCs/>
          <w:color w:val="1D1D1F"/>
        </w:rPr>
      </w:pPr>
      <w:r w:rsidRPr="0013611A">
        <w:rPr>
          <w:bCs/>
          <w:iCs/>
          <w:color w:val="1D1D1F"/>
        </w:rPr>
        <w:t xml:space="preserve">per la Misura 10 - Sottomisura 10.1, i corsi di formazione proposti dovevano riguardare tematiche correlate agli impegni agro climatico ambientali remunerati, come previsti dalle specifiche </w:t>
      </w:r>
      <w:r>
        <w:rPr>
          <w:bCs/>
          <w:iCs/>
          <w:color w:val="1D1D1F"/>
        </w:rPr>
        <w:t>tabelle riportate per ciascuna t</w:t>
      </w:r>
      <w:r w:rsidRPr="0013611A">
        <w:rPr>
          <w:bCs/>
          <w:iCs/>
          <w:color w:val="1D1D1F"/>
        </w:rPr>
        <w:t>ipologia di intervento della scheda della Misura 10</w:t>
      </w:r>
      <w:r>
        <w:rPr>
          <w:bCs/>
          <w:iCs/>
          <w:color w:val="1D1D1F"/>
        </w:rPr>
        <w:t>;</w:t>
      </w:r>
    </w:p>
    <w:p w14:paraId="31607E8F" w14:textId="77777777" w:rsidR="0047755C" w:rsidRDefault="0047755C" w:rsidP="00995B9F">
      <w:pPr>
        <w:pStyle w:val="Paragrafoelenco"/>
        <w:numPr>
          <w:ilvl w:val="0"/>
          <w:numId w:val="18"/>
        </w:numPr>
        <w:tabs>
          <w:tab w:val="left" w:pos="7936"/>
        </w:tabs>
        <w:spacing w:line="240" w:lineRule="auto"/>
        <w:ind w:left="714" w:hanging="357"/>
        <w:contextualSpacing w:val="0"/>
        <w:rPr>
          <w:bCs/>
          <w:iCs/>
          <w:color w:val="1D1D1F"/>
        </w:rPr>
      </w:pPr>
      <w:r>
        <w:rPr>
          <w:bCs/>
          <w:iCs/>
          <w:color w:val="1D1D1F"/>
        </w:rPr>
        <w:t xml:space="preserve">per la </w:t>
      </w:r>
      <w:r w:rsidRPr="00B836C8">
        <w:rPr>
          <w:bCs/>
          <w:iCs/>
          <w:color w:val="1D1D1F"/>
        </w:rPr>
        <w:t>Misura 1</w:t>
      </w:r>
      <w:r>
        <w:rPr>
          <w:bCs/>
          <w:iCs/>
          <w:color w:val="1D1D1F"/>
        </w:rPr>
        <w:t>1 - Sottomisura 11.1 e 11.2 - t</w:t>
      </w:r>
      <w:r w:rsidRPr="00B836C8">
        <w:rPr>
          <w:bCs/>
          <w:iCs/>
          <w:color w:val="1D1D1F"/>
        </w:rPr>
        <w:t>ipologia di intervento 11.1.1</w:t>
      </w:r>
      <w:r>
        <w:rPr>
          <w:bCs/>
          <w:iCs/>
          <w:color w:val="1D1D1F"/>
        </w:rPr>
        <w:t>, i</w:t>
      </w:r>
      <w:r w:rsidRPr="00B836C8">
        <w:rPr>
          <w:bCs/>
          <w:iCs/>
          <w:color w:val="1D1D1F"/>
        </w:rPr>
        <w:t xml:space="preserve"> corsi di formazione proposti d</w:t>
      </w:r>
      <w:r>
        <w:rPr>
          <w:bCs/>
          <w:iCs/>
          <w:color w:val="1D1D1F"/>
        </w:rPr>
        <w:t>ov</w:t>
      </w:r>
      <w:r w:rsidRPr="00B836C8">
        <w:rPr>
          <w:bCs/>
          <w:iCs/>
          <w:color w:val="1D1D1F"/>
        </w:rPr>
        <w:t>ev</w:t>
      </w:r>
      <w:r>
        <w:rPr>
          <w:bCs/>
          <w:iCs/>
          <w:color w:val="1D1D1F"/>
        </w:rPr>
        <w:t>a</w:t>
      </w:r>
      <w:r w:rsidRPr="00B836C8">
        <w:rPr>
          <w:bCs/>
          <w:iCs/>
          <w:color w:val="1D1D1F"/>
        </w:rPr>
        <w:t>no riguardare tematiche connesse agli impegni relativi all’introduzione e mantenimento del me</w:t>
      </w:r>
      <w:r>
        <w:rPr>
          <w:bCs/>
          <w:iCs/>
          <w:color w:val="1D1D1F"/>
        </w:rPr>
        <w:t>todo dell’agricoltura biologica;</w:t>
      </w:r>
    </w:p>
    <w:p w14:paraId="5DE40C70" w14:textId="77777777" w:rsidR="0047755C" w:rsidRDefault="0047755C" w:rsidP="00995B9F">
      <w:pPr>
        <w:pStyle w:val="Paragrafoelenco"/>
        <w:numPr>
          <w:ilvl w:val="0"/>
          <w:numId w:val="18"/>
        </w:numPr>
        <w:tabs>
          <w:tab w:val="left" w:pos="7936"/>
        </w:tabs>
        <w:spacing w:line="240" w:lineRule="auto"/>
        <w:ind w:left="714" w:hanging="357"/>
        <w:contextualSpacing w:val="0"/>
        <w:rPr>
          <w:bCs/>
          <w:iCs/>
          <w:color w:val="1D1D1F"/>
        </w:rPr>
      </w:pPr>
      <w:r>
        <w:rPr>
          <w:bCs/>
          <w:iCs/>
          <w:color w:val="1D1D1F"/>
        </w:rPr>
        <w:t xml:space="preserve">per la Misura </w:t>
      </w:r>
      <w:r w:rsidRPr="003518DB">
        <w:rPr>
          <w:bCs/>
          <w:iCs/>
          <w:color w:val="1D1D1F"/>
        </w:rPr>
        <w:t>- Sottomisura 14.1</w:t>
      </w:r>
      <w:r>
        <w:rPr>
          <w:bCs/>
          <w:iCs/>
          <w:color w:val="1D1D1F"/>
        </w:rPr>
        <w:t>, i</w:t>
      </w:r>
      <w:r w:rsidRPr="003518DB">
        <w:rPr>
          <w:bCs/>
          <w:iCs/>
          <w:color w:val="1D1D1F"/>
        </w:rPr>
        <w:t xml:space="preserve"> corsi di formazione proposti devono riguardare tematiche connesse agli impegni finalizzati al benessere degli animali</w:t>
      </w:r>
      <w:r>
        <w:rPr>
          <w:bCs/>
          <w:iCs/>
          <w:color w:val="1D1D1F"/>
        </w:rPr>
        <w:t>, suini, bovini e le filiere</w:t>
      </w:r>
      <w:r w:rsidRPr="003518DB">
        <w:rPr>
          <w:bCs/>
          <w:iCs/>
          <w:color w:val="1D1D1F"/>
        </w:rPr>
        <w:t xml:space="preserve"> bovina da latte, bovina da carne, ovicaprina ed equina</w:t>
      </w:r>
      <w:r>
        <w:rPr>
          <w:bCs/>
          <w:iCs/>
          <w:color w:val="1D1D1F"/>
        </w:rPr>
        <w:t>;</w:t>
      </w:r>
    </w:p>
    <w:p w14:paraId="10BE1DE3" w14:textId="77777777" w:rsidR="0047755C" w:rsidRPr="003518DB" w:rsidRDefault="0047755C" w:rsidP="00995B9F">
      <w:pPr>
        <w:pStyle w:val="Paragrafoelenco"/>
        <w:numPr>
          <w:ilvl w:val="0"/>
          <w:numId w:val="18"/>
        </w:numPr>
        <w:tabs>
          <w:tab w:val="left" w:pos="7936"/>
        </w:tabs>
        <w:spacing w:line="240" w:lineRule="auto"/>
        <w:ind w:left="714" w:hanging="357"/>
        <w:contextualSpacing w:val="0"/>
        <w:rPr>
          <w:bCs/>
          <w:iCs/>
          <w:color w:val="1D1D1F"/>
        </w:rPr>
      </w:pPr>
      <w:r>
        <w:rPr>
          <w:bCs/>
          <w:iCs/>
          <w:color w:val="1D1D1F"/>
        </w:rPr>
        <w:t xml:space="preserve">per i trascinamenti della </w:t>
      </w:r>
      <w:r w:rsidRPr="003518DB">
        <w:rPr>
          <w:bCs/>
          <w:iCs/>
          <w:color w:val="1D1D1F"/>
        </w:rPr>
        <w:t xml:space="preserve">Misura 112 </w:t>
      </w:r>
      <w:r>
        <w:rPr>
          <w:bCs/>
          <w:iCs/>
          <w:color w:val="1D1D1F"/>
        </w:rPr>
        <w:t>del</w:t>
      </w:r>
      <w:r w:rsidRPr="003518DB">
        <w:rPr>
          <w:bCs/>
          <w:iCs/>
          <w:color w:val="1D1D1F"/>
        </w:rPr>
        <w:t xml:space="preserve"> PSR per l’Umbria 2007 </w:t>
      </w:r>
      <w:r>
        <w:rPr>
          <w:bCs/>
          <w:iCs/>
          <w:color w:val="1D1D1F"/>
        </w:rPr>
        <w:t>–</w:t>
      </w:r>
      <w:r w:rsidRPr="003518DB">
        <w:rPr>
          <w:bCs/>
          <w:iCs/>
          <w:color w:val="1D1D1F"/>
        </w:rPr>
        <w:t xml:space="preserve"> 2013</w:t>
      </w:r>
      <w:r>
        <w:rPr>
          <w:bCs/>
          <w:iCs/>
          <w:color w:val="1D1D1F"/>
        </w:rPr>
        <w:t>, i corsi erano destinati ai</w:t>
      </w:r>
      <w:r w:rsidRPr="004D32B5">
        <w:t xml:space="preserve"> </w:t>
      </w:r>
      <w:r w:rsidRPr="004D32B5">
        <w:rPr>
          <w:bCs/>
          <w:iCs/>
          <w:color w:val="1D1D1F"/>
        </w:rPr>
        <w:t xml:space="preserve">giovani agricoltori insediati </w:t>
      </w:r>
      <w:r>
        <w:rPr>
          <w:bCs/>
          <w:iCs/>
          <w:color w:val="1D1D1F"/>
        </w:rPr>
        <w:t>e</w:t>
      </w:r>
      <w:r w:rsidRPr="004D32B5">
        <w:rPr>
          <w:bCs/>
          <w:iCs/>
          <w:color w:val="1D1D1F"/>
        </w:rPr>
        <w:t xml:space="preserve"> tenuti ad assolvere </w:t>
      </w:r>
      <w:r>
        <w:rPr>
          <w:bCs/>
          <w:iCs/>
          <w:color w:val="1D1D1F"/>
        </w:rPr>
        <w:t xml:space="preserve">gli </w:t>
      </w:r>
      <w:r w:rsidRPr="004D32B5">
        <w:rPr>
          <w:bCs/>
          <w:iCs/>
          <w:color w:val="1D1D1F"/>
        </w:rPr>
        <w:t>specifici impegni formativi</w:t>
      </w:r>
      <w:r>
        <w:rPr>
          <w:bCs/>
          <w:iCs/>
          <w:color w:val="1D1D1F"/>
        </w:rPr>
        <w:t>.</w:t>
      </w:r>
    </w:p>
    <w:p w14:paraId="688D4C8D" w14:textId="77777777" w:rsidR="0047755C" w:rsidRDefault="0047755C" w:rsidP="00995B9F"/>
    <w:p w14:paraId="0FBEBB2E" w14:textId="39A6E56B" w:rsidR="0047755C" w:rsidRDefault="0047755C" w:rsidP="00995B9F">
      <w:r>
        <w:t>Altra misura che assume valenza nel sostegno alla parità di genere, e in particolare all’imprenditoria giovanile e femminile, è la</w:t>
      </w:r>
      <w:r w:rsidRPr="00FC784A">
        <w:t xml:space="preserve"> 4</w:t>
      </w:r>
      <w:r w:rsidRPr="006854D8">
        <w:t xml:space="preserve"> </w:t>
      </w:r>
      <w:r>
        <w:t>del PSR</w:t>
      </w:r>
      <w:r w:rsidRPr="00FC784A">
        <w:t xml:space="preserve">, </w:t>
      </w:r>
      <w:r>
        <w:t xml:space="preserve">in particolare attraverso la </w:t>
      </w:r>
      <w:r w:rsidRPr="00F45309">
        <w:rPr>
          <w:rStyle w:val="Enfasigrassetto"/>
        </w:rPr>
        <w:t>sottomisura 4.1</w:t>
      </w:r>
      <w:r w:rsidRPr="00F45309">
        <w:t>. Con</w:t>
      </w:r>
      <w:r>
        <w:t xml:space="preserve"> il Decreto Regionale n</w:t>
      </w:r>
      <w:r w:rsidRPr="00DC189D">
        <w:t xml:space="preserve">. 3327 </w:t>
      </w:r>
      <w:r>
        <w:t>del</w:t>
      </w:r>
      <w:r w:rsidRPr="00DC189D">
        <w:t xml:space="preserve"> 19/05/2015</w:t>
      </w:r>
      <w:r>
        <w:t xml:space="preserve"> si è data evidenza del bando di avvio per </w:t>
      </w:r>
      <w:r w:rsidRPr="00FC784A">
        <w:t>la</w:t>
      </w:r>
      <w:r>
        <w:t xml:space="preserve"> </w:t>
      </w:r>
      <w:r w:rsidRPr="00FC784A">
        <w:t xml:space="preserve">presentazione delle domande </w:t>
      </w:r>
      <w:r>
        <w:t>di</w:t>
      </w:r>
      <w:r w:rsidRPr="00FC784A">
        <w:t xml:space="preserve"> aiut</w:t>
      </w:r>
      <w:r>
        <w:t xml:space="preserve">o. Il bando, con iniziale scadenza al </w:t>
      </w:r>
      <w:r w:rsidRPr="006854D8">
        <w:t>15/12/2017</w:t>
      </w:r>
      <w:r>
        <w:t>, ha subito rivisitazioni (ultime modifiche/</w:t>
      </w:r>
      <w:r w:rsidRPr="00A2550A">
        <w:t>integrazioni in data 03/10/2018</w:t>
      </w:r>
      <w:r>
        <w:t>). I beneficiari della 4.1 erano agricoltori, enti pubblici o associazioni agrarie che conducano terreni le cui aziende fossero situate in ambito territoriale in linea con le indicazioni della misura.</w:t>
      </w:r>
    </w:p>
    <w:p w14:paraId="231F9427" w14:textId="77777777" w:rsidR="0047755C" w:rsidRDefault="0047755C" w:rsidP="00995B9F">
      <w:r>
        <w:lastRenderedPageBreak/>
        <w:t>Il sostegno della 4.1 viene fornito per investimenti quali acquisto di fabbricati aziendali, costruzione, ristrutturazione e/o ampliamento di fabbricati e manufatti da adibire alle attività produttive aziendali.</w:t>
      </w:r>
    </w:p>
    <w:p w14:paraId="0D8357BD" w14:textId="77777777" w:rsidR="0047755C" w:rsidRDefault="0047755C" w:rsidP="00995B9F">
      <w:r>
        <w:t>Il primo legame in termini di sostegno alle categorie che maggiormente necessitano di aiuti è riscontrabile nell’aliquota di sostegno. Alla percentuale di sostegno dell’investimento da parte del PSR, che può arrivare al 40% per gli investimenti immobiliari e fissi, è possibile aggiungere un ulteriore 10% per i giovani agricoltori che si insediano per la prima volta in azienda. Ancora più significativa, tuttavia, la circostanza per cui il sostegno all’occupazione giovanile sia stato considerato all’interno dei criteri di selezione. La condizione di giovane agricoltore (sotto i 40 anni), infatti, poteva concedere un ammontare di punteggio ai fini della formazione delle graduatorie fino ad un massimo di 8,2 punti.</w:t>
      </w:r>
    </w:p>
    <w:p w14:paraId="02C9B0A6" w14:textId="77777777" w:rsidR="0047755C" w:rsidRDefault="0047755C" w:rsidP="00995B9F">
      <w:r>
        <w:t>Dal sito dedicato al PSR Umbria 2014-2020, sezione bandi, è possibile osservare, per questo bando, la graduatoria delle domande presentate e verificarne l’esito dell’istruttoria. Le domande presentate al 15/12/2017 e ritenute ammissibili a seguito di istruttoria sono risultate ben 789, a testimoniare il buon successo ottenuto in termini di riscontro, con un punteggio in graduatoria compreso tra 50,20 e 12 ed un range di contributo concesso in termini assoluti molto ampio: si va da un massimo di un milione e mezzo di euro ad un minimo di cinque mila euro (media pari a 90mila €).</w:t>
      </w:r>
    </w:p>
    <w:p w14:paraId="0E8A929F" w14:textId="43936A3A" w:rsidR="0047755C" w:rsidRDefault="0047755C" w:rsidP="00995B9F">
      <w:r>
        <w:t>Di queste, ne sono state finanziate inizialmente 34; poi, a seguito di scorrimento della graduatoria, hanno ottenuto il finanziamento ulteriori 51 beneficiari. Oltre alle domande finanziate, è presente anche l’elenco di quelle irricevibili</w:t>
      </w:r>
      <w:r w:rsidRPr="008271FB">
        <w:t>/rinunciate</w:t>
      </w:r>
      <w:r>
        <w:t xml:space="preserve"> (pari a 6) e di quelle escluse (pari a 2).</w:t>
      </w:r>
      <w:r w:rsidR="00C047F2" w:rsidRPr="00C047F2">
        <w:rPr>
          <w:color w:val="FF0000"/>
        </w:rPr>
        <w:t xml:space="preserve"> </w:t>
      </w:r>
    </w:p>
    <w:p w14:paraId="752787B9" w14:textId="77777777" w:rsidR="0047755C" w:rsidRDefault="0047755C" w:rsidP="00995B9F"/>
    <w:p w14:paraId="088EAA43" w14:textId="77777777" w:rsidR="0047755C" w:rsidRDefault="0047755C" w:rsidP="00995B9F">
      <w:r>
        <w:t xml:space="preserve">L’ultima sottomisura tra quelle segnalate per dare un contributo sostanziale alle politiche di genere è la </w:t>
      </w:r>
      <w:r w:rsidRPr="00004FA2">
        <w:rPr>
          <w:rStyle w:val="Enfasigrassetto"/>
          <w:highlight w:val="yellow"/>
        </w:rPr>
        <w:t>6.1</w:t>
      </w:r>
      <w:r w:rsidRPr="00004FA2">
        <w:rPr>
          <w:highlight w:val="yellow"/>
        </w:rPr>
        <w:t>,</w:t>
      </w:r>
      <w:r>
        <w:t xml:space="preserve"> che, attraverso l’intervento 6.1.1, mira ad a</w:t>
      </w:r>
      <w:r w:rsidRPr="00872ED3">
        <w:t>iut</w:t>
      </w:r>
      <w:r>
        <w:t xml:space="preserve">are </w:t>
      </w:r>
      <w:r w:rsidRPr="00872ED3">
        <w:t>l'avviamento di imprese per i giovani agricoltori</w:t>
      </w:r>
      <w:r>
        <w:t>. In tal senso, si dà evidenza dell’ultimo bando in ordine cronologico tra quelli scaduti disponibili tramite il portale del PSR Umbria. Si tratta del bando con determina regionale originaria n. 8437 del 13/11/2015, che sancisce m</w:t>
      </w:r>
      <w:r w:rsidRPr="00872ED3">
        <w:t>odalità e criteri di concessione degli aiuti per</w:t>
      </w:r>
      <w:r>
        <w:t xml:space="preserve"> </w:t>
      </w:r>
      <w:r w:rsidRPr="00872ED3">
        <w:t xml:space="preserve">l’avviamento di imprese </w:t>
      </w:r>
      <w:r>
        <w:t>condotte da giovani agricoltori, anche</w:t>
      </w:r>
      <w:r w:rsidRPr="00872ED3">
        <w:t xml:space="preserve"> con </w:t>
      </w:r>
      <w:r>
        <w:t xml:space="preserve">la </w:t>
      </w:r>
      <w:r w:rsidRPr="00872ED3">
        <w:t>possibilità di</w:t>
      </w:r>
      <w:r>
        <w:t xml:space="preserve"> </w:t>
      </w:r>
      <w:r w:rsidRPr="00872ED3">
        <w:t>attivazione del Piano Integrato Aziendale (PIA) in modalità “Pacchetto</w:t>
      </w:r>
      <w:r>
        <w:t xml:space="preserve"> </w:t>
      </w:r>
      <w:r w:rsidRPr="00872ED3">
        <w:t>Giovan</w:t>
      </w:r>
      <w:r>
        <w:t>i”,</w:t>
      </w:r>
      <w:r w:rsidRPr="00946FD7">
        <w:t xml:space="preserve"> in</w:t>
      </w:r>
      <w:r>
        <w:t xml:space="preserve"> </w:t>
      </w:r>
      <w:r w:rsidRPr="00946FD7">
        <w:t xml:space="preserve">abbinamento con le tipologie di intervento 6.4.1 e 4.1.1 del </w:t>
      </w:r>
      <w:r>
        <w:t>PSR.</w:t>
      </w:r>
    </w:p>
    <w:p w14:paraId="64268F19" w14:textId="77777777" w:rsidR="0047755C" w:rsidRDefault="0047755C" w:rsidP="00995B9F">
      <w:r>
        <w:t>Ciò che si intende perseguire attraverso tale sottomisura è</w:t>
      </w:r>
      <w:r w:rsidRPr="00946FD7">
        <w:t xml:space="preserve"> il ricambio generazionale dell’agricoltura umbra che</w:t>
      </w:r>
      <w:r>
        <w:t>, da analisi di contesto,</w:t>
      </w:r>
      <w:r w:rsidRPr="00946FD7">
        <w:t xml:space="preserve"> </w:t>
      </w:r>
      <w:r>
        <w:t xml:space="preserve">mostra </w:t>
      </w:r>
      <w:r w:rsidRPr="00946FD7">
        <w:t>un indice di invecchiamento</w:t>
      </w:r>
      <w:r>
        <w:t xml:space="preserve"> superiore alla media nazionale. Inoltre, l’introduzione di nuove leve, dotate di un tasso culturale ed una propensione alla tecnologia sicuramente superiore, dovrebbe favorire</w:t>
      </w:r>
      <w:r w:rsidRPr="00946FD7">
        <w:t xml:space="preserve"> </w:t>
      </w:r>
      <w:r>
        <w:t>l’</w:t>
      </w:r>
      <w:r w:rsidRPr="00946FD7">
        <w:t>introdu</w:t>
      </w:r>
      <w:r>
        <w:t>zione di</w:t>
      </w:r>
      <w:r w:rsidRPr="00946FD7">
        <w:t xml:space="preserve"> soluzioni tecniche ed organizzative innovative</w:t>
      </w:r>
      <w:r>
        <w:t>,</w:t>
      </w:r>
      <w:r w:rsidRPr="00946FD7">
        <w:t xml:space="preserve"> migliora</w:t>
      </w:r>
      <w:r>
        <w:t>ndo la gestione aziendale.</w:t>
      </w:r>
    </w:p>
    <w:p w14:paraId="364CAC37" w14:textId="77777777" w:rsidR="0047755C" w:rsidRDefault="0047755C" w:rsidP="00995B9F">
      <w:r>
        <w:t>Dall’analisi degli esiti del bando, emerge che le domande presentate e ritenute ammissibili sulle tre tipologie (6.1.1, 4.1.1 e 6.4.1) hanno superato le 750 unità. Tra queste, le domande finanziate sulla 6.1.1 sono risultate pari a 131, da qualla con punteggio massimo (60) fino a quella con punteggio di 46,16.</w:t>
      </w:r>
    </w:p>
    <w:p w14:paraId="367796AB" w14:textId="167575F5" w:rsidR="0047755C" w:rsidRDefault="0047755C" w:rsidP="00995B9F">
      <w:r>
        <w:t>Le domande finanziate sulla tipologia 4.1.1 sono risultate pari a 104, con punteggi compresi tra 59,10 e 46,16, mentre quelle sulla tipologia 6.4.1 sono state 34 (punteggi tra 57,14 e 46,19).</w:t>
      </w:r>
      <w:r w:rsidR="00004FA2" w:rsidRPr="00004FA2">
        <w:rPr>
          <w:color w:val="FF0000"/>
        </w:rPr>
        <w:t xml:space="preserve"> </w:t>
      </w:r>
      <w:r w:rsidR="00004FA2" w:rsidRPr="00C047F2">
        <w:rPr>
          <w:color w:val="FF0000"/>
        </w:rPr>
        <w:t>QUANTE DONNE??</w:t>
      </w:r>
    </w:p>
    <w:p w14:paraId="01B97412" w14:textId="110FC322" w:rsidR="00E54756" w:rsidRDefault="00E54756">
      <w:pPr>
        <w:spacing w:before="0" w:after="160" w:line="259" w:lineRule="auto"/>
        <w:jc w:val="left"/>
        <w:rPr>
          <w:bCs/>
          <w:iCs/>
          <w:color w:val="1D1D1F"/>
        </w:rPr>
      </w:pPr>
      <w:r>
        <w:rPr>
          <w:bCs/>
          <w:iCs/>
          <w:color w:val="1D1D1F"/>
        </w:rPr>
        <w:br w:type="page"/>
      </w:r>
    </w:p>
    <w:p w14:paraId="69A656A7" w14:textId="77777777" w:rsidR="003B44A6" w:rsidRPr="008118DE" w:rsidRDefault="003B44A6" w:rsidP="00552DB9"/>
    <w:p w14:paraId="75BDCF94" w14:textId="3ED9D4B9" w:rsidR="00552DB9" w:rsidRPr="008118DE" w:rsidRDefault="003B44A6" w:rsidP="003B44A6">
      <w:pPr>
        <w:pStyle w:val="Titolo2"/>
      </w:pPr>
      <w:bookmarkStart w:id="13" w:name="_Toc534027315"/>
      <w:r>
        <w:t>3.</w:t>
      </w:r>
      <w:r w:rsidR="00032D3D">
        <w:t>3</w:t>
      </w:r>
      <w:r>
        <w:tab/>
        <w:t xml:space="preserve">Esiti delle indagini dirette condotte sulle </w:t>
      </w:r>
      <w:r w:rsidR="00552DB9" w:rsidRPr="008118DE">
        <w:t>aziende agricole femminili in Umbria</w:t>
      </w:r>
      <w:bookmarkEnd w:id="13"/>
    </w:p>
    <w:p w14:paraId="6FE2A393" w14:textId="39B06898" w:rsidR="00995B9F" w:rsidRDefault="00995B9F" w:rsidP="00995B9F">
      <w:r>
        <w:t xml:space="preserve">Nel mese di dicembre 2018, il Valutatore ha condotto una serie di </w:t>
      </w:r>
      <w:r w:rsidRPr="00995B9F">
        <w:rPr>
          <w:rStyle w:val="Enfasigrassetto"/>
        </w:rPr>
        <w:t>interviste</w:t>
      </w:r>
      <w:r>
        <w:t xml:space="preserve"> con </w:t>
      </w:r>
      <w:r w:rsidR="00C12BA7">
        <w:t xml:space="preserve">alcuni </w:t>
      </w:r>
      <w:r w:rsidR="00C12BA7" w:rsidRPr="00C12BA7">
        <w:rPr>
          <w:rStyle w:val="Enfasigrassetto"/>
        </w:rPr>
        <w:t xml:space="preserve">responsabili di misura </w:t>
      </w:r>
      <w:r w:rsidR="00F1181B">
        <w:rPr>
          <w:rStyle w:val="Enfasigrassetto"/>
        </w:rPr>
        <w:t xml:space="preserve">(sottomisure 6.1, 6.2 e 6.4) </w:t>
      </w:r>
      <w:r w:rsidR="00C12BA7">
        <w:t xml:space="preserve">e con </w:t>
      </w:r>
      <w:r>
        <w:t xml:space="preserve">i </w:t>
      </w:r>
      <w:r w:rsidRPr="00F1181B">
        <w:rPr>
          <w:rStyle w:val="Enfasigrassetto"/>
        </w:rPr>
        <w:t>rappresentanti delle associazioni di categoria</w:t>
      </w:r>
      <w:r>
        <w:t xml:space="preserve"> attive nel territorio umbro, particolarmente esperti di parità di genere nell’ambito agricolo, al fine di approfondire ulteriormente il tema delle pari opportunità nel contesto agricolo regionale e rispetto alla strategia del PSR 2014-2020. Le interviste sono state condotte </w:t>
      </w:r>
      <w:r w:rsidR="00F1181B" w:rsidRPr="00F1181B">
        <w:rPr>
          <w:rStyle w:val="Enfasigrassetto"/>
        </w:rPr>
        <w:t>de visu con responsabili regionali</w:t>
      </w:r>
      <w:r w:rsidR="00F1181B">
        <w:t xml:space="preserve"> e </w:t>
      </w:r>
      <w:r>
        <w:t xml:space="preserve">in </w:t>
      </w:r>
      <w:r w:rsidRPr="00995B9F">
        <w:rPr>
          <w:rStyle w:val="Enfasigrassetto"/>
        </w:rPr>
        <w:t>modalità CATI</w:t>
      </w:r>
      <w:r>
        <w:t xml:space="preserve"> con i </w:t>
      </w:r>
      <w:r w:rsidRPr="00871605">
        <w:rPr>
          <w:rStyle w:val="Enfasigrassetto"/>
        </w:rPr>
        <w:t>referenti di Confagricoltura, Coldiretti e Donne In Campo (CIA)</w:t>
      </w:r>
      <w:r>
        <w:t>. Le informazioni qualitative emerse sono state successivamente elaborate e validate dal team di valutatori, tramite un confronto con le altre fonti disponibili. Di seguito si riporta il risultato dell’analisi tematica delle informazioni emerse dall’indagine.</w:t>
      </w:r>
    </w:p>
    <w:p w14:paraId="3FA9573A" w14:textId="77777777" w:rsidR="00F1181B" w:rsidRDefault="00F1181B" w:rsidP="00995B9F"/>
    <w:p w14:paraId="64AA3B75" w14:textId="77777777" w:rsidR="00995B9F" w:rsidRDefault="00995B9F" w:rsidP="00995B9F">
      <w:pPr>
        <w:rPr>
          <w:b/>
        </w:rPr>
      </w:pPr>
      <w:r w:rsidRPr="00023CBD">
        <w:rPr>
          <w:b/>
        </w:rPr>
        <w:t xml:space="preserve">La parità di genere nel contesto </w:t>
      </w:r>
      <w:r>
        <w:rPr>
          <w:b/>
        </w:rPr>
        <w:t>rurale dell’Umbria</w:t>
      </w:r>
    </w:p>
    <w:p w14:paraId="71B7D77C" w14:textId="0103DB33" w:rsidR="00995B9F" w:rsidRDefault="00995B9F" w:rsidP="00995B9F">
      <w:r>
        <w:t xml:space="preserve">La situazione di genere nel contesto rurale umbro non registra particolari scostamenti rispetto alla media italiana. L’Umbria si colloca anzi in una posizione </w:t>
      </w:r>
      <w:r w:rsidR="00354A10">
        <w:t>piuttosto</w:t>
      </w:r>
      <w:r>
        <w:t xml:space="preserve"> favorevole all’applicazione di politiche di genere nel settore agricolo grazie alla presenza di piccole e medie imprese che si sono dedicate, già dall’inizio degli anni duemila, alla diversificazione delle attività e allo sviluppo della multifunzionalità. Nonostante non manchino esempi di imprenditoria femminile agricola più tradizionale, gran parte della presenza femminile è riscontrabile nelle attività extra-agricole. Le caratteristiche geografiche e paesaggistiche del territorio umbro, infatti, hanno in molti casi favorito l’ampliamento delle attività agricole tradizionali verso attività inizialmente secondarie (come l’agriturismo) che hanno poi trainato la nascita di strutture primariamente incentrate sul settore dell’ospitalità e della ristorazione e secondariamente sulla produttività agricola; la conduzione</w:t>
      </w:r>
      <w:r w:rsidR="00C12BA7">
        <w:t xml:space="preserve"> di tali strutture è spesso in </w:t>
      </w:r>
      <w:r>
        <w:t xml:space="preserve">mano a donne, le quali, negli anni della crisi economica, hanno dimostrato un alto livello di resilienza e sono state in grado, in molti casi, di evitare la chiusura dell’azienda. Altro importante ambito che registra una prevalenza femminile è quello dell’agricoltura sociale e delle fattorie didattiche che, nonostante in Umbria fossero presenti già da fine anni Novanta, hanno avuto un importante sviluppo in tempi più recenti. </w:t>
      </w:r>
    </w:p>
    <w:p w14:paraId="6F3B3324" w14:textId="77777777" w:rsidR="00995B9F" w:rsidRDefault="00995B9F" w:rsidP="00995B9F"/>
    <w:p w14:paraId="34D2A409" w14:textId="77777777" w:rsidR="00995B9F" w:rsidRDefault="00995B9F" w:rsidP="00995B9F">
      <w:pPr>
        <w:rPr>
          <w:b/>
        </w:rPr>
      </w:pPr>
      <w:r w:rsidRPr="00950DDE">
        <w:rPr>
          <w:b/>
        </w:rPr>
        <w:t xml:space="preserve">I meccanismi del PSR 2014-2020 per la </w:t>
      </w:r>
      <w:r>
        <w:rPr>
          <w:b/>
        </w:rPr>
        <w:t>P</w:t>
      </w:r>
      <w:r w:rsidRPr="00950DDE">
        <w:rPr>
          <w:b/>
        </w:rPr>
        <w:t>arità di genere</w:t>
      </w:r>
    </w:p>
    <w:p w14:paraId="0FEBCE01" w14:textId="618D72CF" w:rsidR="00995B9F" w:rsidRDefault="00995B9F" w:rsidP="00995B9F">
      <w:r>
        <w:t xml:space="preserve">Risulta eterogeneo il giudizio delle associazioni di categoria rispetto ai meccanismi previsti dal PSR 2014-2020 per la parità di genere. Se da una parte c’è consenso sul fatto che in Umbria non ci sia un </w:t>
      </w:r>
      <w:r w:rsidRPr="00AE3032">
        <w:t>grave deficit relativo alla tematica in oggetto, dall’altra parte le opinioni divergono su quanto i c.d. meccanismi “passivi” introdotti dal PSR 2014-2020 siano condizione necessaria e sufficiente per rimuovere gli ostacoli di ingresso al comparto femminile in un settore che tradizionalmente è sempre risultato appannaggio maschile, in termini di assunzione del rischio di impresa e conduzione aziendale. La presenza di criteri premiali limitati essenzialme</w:t>
      </w:r>
      <w:r w:rsidR="002B60A2" w:rsidRPr="00AE3032">
        <w:t>nte agli interventi delle sotto</w:t>
      </w:r>
      <w:r w:rsidRPr="00AE3032">
        <w:t xml:space="preserve">misure 6.2.1 (attività extra-agricole), 6.4.1 (agriturismi, fattorie didattiche e sociali), 6.4.2 (impianti con fonti rinnovabili), 6.4.3 (imprese extra-agricole), e assenti per gli interventi dedicati al sostegno degli investimenti nelle aziende agricole (sottomisura 4.1), potrebbe sortire due effetti diversi a seconda del punto di vista. Da una parte, potrebbe scontare il </w:t>
      </w:r>
      <w:r w:rsidRPr="00AE3032">
        <w:rPr>
          <w:rStyle w:val="Enfasigrassetto"/>
        </w:rPr>
        <w:t>rischio di cristallizzare la realtà tradizionale del territorio</w:t>
      </w:r>
      <w:r w:rsidRPr="00AE3032">
        <w:t xml:space="preserve">, in cui le donne sono legate a tutto ciò che ruota intorno al settore produttivo agricolo, senza riuscire a promuovere realmente il loro ingresso in tale settore; dall’altra parte potrebbe </w:t>
      </w:r>
      <w:r w:rsidRPr="00AE3032">
        <w:rPr>
          <w:rStyle w:val="Enfasigrassetto"/>
        </w:rPr>
        <w:t>capitalizzare il successo femminile nei settori interessati dall</w:t>
      </w:r>
      <w:r w:rsidR="00A379FF" w:rsidRPr="00AE3032">
        <w:rPr>
          <w:rStyle w:val="Enfasigrassetto"/>
        </w:rPr>
        <w:t>e sotto</w:t>
      </w:r>
      <w:r w:rsidRPr="00AE3032">
        <w:rPr>
          <w:rStyle w:val="Enfasigrassetto"/>
        </w:rPr>
        <w:t>misur</w:t>
      </w:r>
      <w:r w:rsidR="00A379FF" w:rsidRPr="00AE3032">
        <w:rPr>
          <w:rStyle w:val="Enfasigrassetto"/>
        </w:rPr>
        <w:t>e</w:t>
      </w:r>
      <w:r w:rsidRPr="00AE3032">
        <w:rPr>
          <w:rStyle w:val="Enfasigrassetto"/>
        </w:rPr>
        <w:t xml:space="preserve"> 6</w:t>
      </w:r>
      <w:r w:rsidR="00A379FF" w:rsidRPr="00AE3032">
        <w:rPr>
          <w:rStyle w:val="Enfasigrassetto"/>
        </w:rPr>
        <w:t>.2 e 6.4</w:t>
      </w:r>
      <w:r w:rsidRPr="00AE3032">
        <w:rPr>
          <w:rStyle w:val="Enfasigrassetto"/>
        </w:rPr>
        <w:t xml:space="preserve"> </w:t>
      </w:r>
      <w:r w:rsidRPr="00AE3032">
        <w:t>e riuscire ad incentivare l’ingresso delle donne all’interno dell’economia agraria regionale tramite un sentiero già percorso e per questo più efficace.</w:t>
      </w:r>
      <w:r>
        <w:t xml:space="preserve"> </w:t>
      </w:r>
    </w:p>
    <w:p w14:paraId="23259BCD" w14:textId="385A48D1" w:rsidR="00995B9F" w:rsidRDefault="00995B9F" w:rsidP="00995B9F"/>
    <w:p w14:paraId="74D6D1CC" w14:textId="77777777" w:rsidR="00995B9F" w:rsidRPr="005919FC" w:rsidRDefault="00995B9F" w:rsidP="00EA46E6">
      <w:pPr>
        <w:keepNext/>
        <w:rPr>
          <w:rFonts w:eastAsia="Times New Roman" w:cs="Times New Roman"/>
          <w:b/>
        </w:rPr>
      </w:pPr>
      <w:r w:rsidRPr="005919FC">
        <w:rPr>
          <w:rFonts w:eastAsia="Times New Roman" w:cs="Times New Roman"/>
          <w:b/>
        </w:rPr>
        <w:lastRenderedPageBreak/>
        <w:t>Multifunzionalità e parità di genere nello sviluppo rurale umbro</w:t>
      </w:r>
    </w:p>
    <w:p w14:paraId="703B8681" w14:textId="08DD3F02" w:rsidR="00995B9F" w:rsidRDefault="00995B9F" w:rsidP="00995B9F">
      <w:r w:rsidRPr="00824552">
        <w:t>I giovani e le donne sembrano avere una maggiore sensibilità verso gli elementi multifunzionali e la diversificazione dell'attività agricola. In Umbria, ciò è trainato da un contesto paesaggistico favorevole</w:t>
      </w:r>
      <w:r w:rsidRPr="005919FC">
        <w:t xml:space="preserve"> al turismo e dalle attività produttive locali che spesso suppliscono alle difficoltà di vendere tramite i canali tradizionali (la filiera), avvantaggiando invece la vendita diretta. Tra </w:t>
      </w:r>
      <w:r w:rsidR="00A379FF">
        <w:t>i motivi alla base</w:t>
      </w:r>
      <w:r w:rsidRPr="005919FC">
        <w:t xml:space="preserve"> dello sviluppo della multifunzionalità si possono individuare due tipi di necessità: a) ricavare un profitto aggiuntivo a supporto dell’azienda agricola; b) avere dei servizi di base che sono spesso mancanti nelle zone più rurali del territorio. Oltre agli agriturismi, che possono aumentare l’attrattività turistica del territorio, multifunzionalità come gli “agriasili” o le fattorie sociali per disabili svolgono un importante ruolo di promozione delle pari opportunità, sia impiegando maggiormente il comparto femminile, sia rispondendo ai bisogni di inclusione sociale di chi vive in zone rurali più lontane dalle strutture pubbliche. La multifunzionalità può avere una ricaduta positiva anche sull’immagine dell’agricol</w:t>
      </w:r>
      <w:r w:rsidR="00A379FF">
        <w:t>tur</w:t>
      </w:r>
      <w:r w:rsidRPr="005919FC">
        <w:t xml:space="preserve">a, che oltre ad essere identificata come attore economico, in futuro potrebbe essere </w:t>
      </w:r>
      <w:r w:rsidR="00A379FF">
        <w:t xml:space="preserve">sempre più </w:t>
      </w:r>
      <w:r w:rsidRPr="005919FC">
        <w:t xml:space="preserve">riconoscibile come soggetto a supporto del territorio rurale in cui è situato, sia </w:t>
      </w:r>
      <w:r w:rsidRPr="00004FA2">
        <w:rPr>
          <w:color w:val="FF0000"/>
        </w:rPr>
        <w:t>grazia</w:t>
      </w:r>
      <w:r w:rsidRPr="005919FC">
        <w:t xml:space="preserve"> al suo ruolo in termini di offerta turistica locale, sia a causa della sua funzione di sostegno alla comunità in quanto erogatore di un servizio educativo o sociale di cui i membri della collettività possono beneficiare. In tale quadro, tuttavia, occorre porre attenzione ai rischi relativi confondere le imprese agricole che hanno sviluppato attività extra-agricole secondarie rispetto all’attività produttiva, dalle imprese o cooperative che hanno fatto il contrario, al fine di differenziare coerentemente lo stanziamento dei fondi pubblici per lo sviluppo rurale.</w:t>
      </w:r>
    </w:p>
    <w:p w14:paraId="36A3E565" w14:textId="77777777" w:rsidR="00995B9F" w:rsidRPr="00B84991" w:rsidRDefault="00995B9F" w:rsidP="00995B9F">
      <w:pPr>
        <w:rPr>
          <w:b/>
        </w:rPr>
      </w:pPr>
      <w:r w:rsidRPr="00B84991">
        <w:rPr>
          <w:b/>
        </w:rPr>
        <w:t>Favorire il reale coinvolgimento delle donne nell’imprenditoria agricola</w:t>
      </w:r>
    </w:p>
    <w:p w14:paraId="48A42823" w14:textId="02F6F6D6" w:rsidR="00995B9F" w:rsidRPr="00354A10" w:rsidRDefault="00995B9F" w:rsidP="00995B9F">
      <w:r>
        <w:t xml:space="preserve">Sul tema dell’effettività del coinvolgimento delle donne nelle aziende beneficiarie dei fondi del PSR, considerando sia le scorse programmazioni sia quella attuale, variano leggermente le percezioni delle associazioni di categoria. Se da un lato si riconosce che i </w:t>
      </w:r>
      <w:r w:rsidRPr="00824552">
        <w:t>criteri premiali specifici per genere o per fascia di età (vale dunque lo stesso per i bandi a favore dei giovani) portino sempre il rischio di un coinvolgimento più nominale che effettivo della categoria in questione</w:t>
      </w:r>
      <w:r>
        <w:t xml:space="preserve">, anche perché spesso le donne beneficiarie possiedono già terreni e/o infrastrutture rurali che acquisiscono dalla famiglia, dall’altro lato la scelta del PSR 2014-2020 di limitare i criteri premiali per le donne a solo una serie di interventi viene letta in due modi, non necessariamente contrapposti. Da una parte, infatti, si è messa in luce la plausibile volontà del PSR di evitare di incentivare potenziali fenomeni di coinvolgimento nominale, che rischierebbero di creare inoltre un meccanismo di discriminazione al contrario (verso i soggetti </w:t>
      </w:r>
      <w:r w:rsidRPr="00354A10">
        <w:t xml:space="preserve">maschili); dall’altra parte si è sottolineato come proprio la focalizzazione sulle attività multifunzionali garantisca una presenza minore del </w:t>
      </w:r>
      <w:r w:rsidRPr="00004FA2">
        <w:rPr>
          <w:highlight w:val="yellow"/>
        </w:rPr>
        <w:t>fenomeno di cui sopra</w:t>
      </w:r>
      <w:r w:rsidR="00004FA2" w:rsidRPr="00004FA2">
        <w:rPr>
          <w:color w:val="FF0000"/>
        </w:rPr>
        <w:t>(coinvolgimento nominale)?</w:t>
      </w:r>
      <w:r w:rsidRPr="00354A10">
        <w:t xml:space="preserve">. Un giudizio positivo viene dato </w:t>
      </w:r>
      <w:r w:rsidR="00354A10">
        <w:t>unanime</w:t>
      </w:r>
      <w:r w:rsidR="00354A10" w:rsidRPr="00354A10">
        <w:t>mente</w:t>
      </w:r>
      <w:r w:rsidRPr="00354A10">
        <w:t xml:space="preserve"> sul doppio ruolo della formazione nei confronti della parità di genere nel settore agricolo: oltre ad aumentare il capitale di conoscenze e competenze utili a rendere la potenziale beneficiaria più capace di gestire operativamente l’azienda e dunque di non essere solo nominalmente a capo dell’azienda, l’alta o bassa presenza di donne riscontrabile nei corsi di formazione su alcune misure (per esempio, le misure agro-ambientali) può fungere da indicatore del probabile tasso di coinvolgimento effettivo di tali donne a finanziamento concesso, fornendo così un ulteriore strumento di monitoraggio per consentire eventuali azioni correttive atte a prevenire il fenomeno di cui sopra. Accanto alla formazione, anche la sensibilizzazione culturale sulla tematica emerge come approccio da utilizzare per favorire l’effettivo coinvolgimento delle donne nell’imprenditoria agricola. </w:t>
      </w:r>
    </w:p>
    <w:p w14:paraId="5CA49563" w14:textId="2AC6DEA2" w:rsidR="00995B9F" w:rsidRDefault="00995B9F" w:rsidP="00995B9F">
      <w:r w:rsidRPr="00354A10">
        <w:t>L’elemento su cui c’è più consenso, tuttavia, è quello relativo alle modalità di ammissione e valutazione delle singole proposte progettuali. Su tale tema, infatti, le associazioni di categoria sono concordi su due</w:t>
      </w:r>
      <w:r>
        <w:t xml:space="preserve"> punti:</w:t>
      </w:r>
    </w:p>
    <w:p w14:paraId="3103EC87" w14:textId="4F0C6EEC" w:rsidR="00995B9F" w:rsidRDefault="00995B9F" w:rsidP="00BA3EFF">
      <w:pPr>
        <w:pStyle w:val="Paragrafoelenco"/>
        <w:numPr>
          <w:ilvl w:val="0"/>
          <w:numId w:val="28"/>
        </w:numPr>
        <w:ind w:left="709" w:hanging="349"/>
      </w:pPr>
      <w:r>
        <w:t>la valutazione nel merito delle qualità della singola proposta progettuale è il metodo più efficace per limitare fenomeni artificiosi nel finanziare interventi con criteri premiali specifici per l’imprenditoria femminile agricola;</w:t>
      </w:r>
    </w:p>
    <w:p w14:paraId="7E95D0A7" w14:textId="53DC50A4" w:rsidR="00995B9F" w:rsidRPr="00300CD2" w:rsidRDefault="00995B9F" w:rsidP="00BA3EFF">
      <w:pPr>
        <w:pStyle w:val="Paragrafoelenco"/>
        <w:numPr>
          <w:ilvl w:val="0"/>
          <w:numId w:val="28"/>
        </w:numPr>
        <w:ind w:left="709" w:hanging="349"/>
        <w:rPr>
          <w:highlight w:val="yellow"/>
        </w:rPr>
      </w:pPr>
      <w:r w:rsidRPr="00300CD2">
        <w:rPr>
          <w:highlight w:val="yellow"/>
        </w:rPr>
        <w:t>l’iter di presentazione della domanda può determinare una selezione in entrata delle donne beneficiarie.</w:t>
      </w:r>
      <w:r w:rsidR="00300CD2" w:rsidRPr="00300CD2">
        <w:rPr>
          <w:color w:val="FF0000"/>
          <w:highlight w:val="yellow"/>
        </w:rPr>
        <w:t>?</w:t>
      </w:r>
    </w:p>
    <w:p w14:paraId="5472A029" w14:textId="70F8ADA0" w:rsidR="00995B9F" w:rsidRDefault="00995B9F" w:rsidP="00995B9F">
      <w:r w:rsidRPr="00251F70">
        <w:lastRenderedPageBreak/>
        <w:t xml:space="preserve">In sede di </w:t>
      </w:r>
      <w:r w:rsidR="00A379FF">
        <w:t>selezione</w:t>
      </w:r>
      <w:r w:rsidRPr="00251F70">
        <w:t xml:space="preserve"> della proposta progettuale, infatti, </w:t>
      </w:r>
      <w:r w:rsidR="00A379FF">
        <w:t>valutare in modo approfondito</w:t>
      </w:r>
      <w:r w:rsidRPr="00251F70">
        <w:t xml:space="preserve"> l’intervento, analizzando gli obiettivi e non solo le realizzazioni attese, emerge come il modo più efficace per giudicare la qualità del progetto e raccogliere dei dati pertinenti in termini di coerenza complessiva, fattibilità e sostenibilità nel tempo</w:t>
      </w:r>
      <w:r>
        <w:t>,</w:t>
      </w:r>
      <w:r w:rsidRPr="00251F70">
        <w:t xml:space="preserve"> la cui rilevanza è tale da fornire un giudizio relativamente migliore rispetto a quanto un tale intervento stia garantendo il coinvolgimento effettivo della donna indicata come proprietaria o come conduttrice dell’azienda. </w:t>
      </w:r>
    </w:p>
    <w:p w14:paraId="4C772AB9" w14:textId="52EA3021" w:rsidR="00995B9F" w:rsidRPr="003F0394" w:rsidRDefault="00995B9F" w:rsidP="00995B9F">
      <w:pPr>
        <w:rPr>
          <w:rFonts w:eastAsia="Times New Roman" w:cs="Times New Roman"/>
        </w:rPr>
      </w:pPr>
      <w:r w:rsidRPr="00354A10">
        <w:rPr>
          <w:rFonts w:eastAsia="Times New Roman" w:cs="Times New Roman"/>
        </w:rPr>
        <w:t xml:space="preserve">Per quanto riguarda invece le </w:t>
      </w:r>
      <w:r w:rsidRPr="00354A10">
        <w:rPr>
          <w:rStyle w:val="Enfasigrassetto"/>
        </w:rPr>
        <w:t>modalità di ammissione di una domanda</w:t>
      </w:r>
      <w:r w:rsidRPr="00354A10">
        <w:rPr>
          <w:rFonts w:eastAsia="Times New Roman" w:cs="Times New Roman"/>
        </w:rPr>
        <w:t xml:space="preserve">, </w:t>
      </w:r>
      <w:r w:rsidRPr="001B237E">
        <w:rPr>
          <w:rFonts w:eastAsia="Times New Roman" w:cs="Times New Roman"/>
          <w:highlight w:val="yellow"/>
        </w:rPr>
        <w:t>le associazioni di categoria sottolineano che la compresenza di una serie di ostacoli può rivelarsi dirimente per il coinvolgimento effettivo di giovani e donne</w:t>
      </w:r>
      <w:r w:rsidRPr="00354A10">
        <w:rPr>
          <w:rFonts w:eastAsia="Times New Roman" w:cs="Times New Roman"/>
        </w:rPr>
        <w:t xml:space="preserve"> </w:t>
      </w:r>
      <w:r w:rsidR="001B237E" w:rsidRPr="001B237E">
        <w:rPr>
          <w:rFonts w:eastAsia="Times New Roman" w:cs="Times New Roman"/>
          <w:color w:val="FF0000"/>
        </w:rPr>
        <w:t>?</w:t>
      </w:r>
      <w:r w:rsidRPr="00354A10">
        <w:rPr>
          <w:rFonts w:eastAsia="Times New Roman" w:cs="Times New Roman"/>
        </w:rPr>
        <w:t>(che spesso sono categorie che coesistono nei potenziali beneficiari del PSR) nell’imprenditoria agricola. Infatti, un livello di difficoltà amministrativa e legale elevato, accompagnato da un iter temporale lungo e da un’onerosità finanziaria notevole per certificare la presenza dei requisiti utili a presentare la domanda può determinare che solo coloro che hanno sufficienti capacità economiche, tecniche e temporali possano realmente partecipare ai bandi, mentre le categorie della popolazione di cui sopra (giovani e donne e, auspicabilmente, giovani donne), possiedono più raramente queste capacità. Nei casi in cui le possiedano, inoltre, è più probabile che sia la famiglia a possederle e che quindi si rischi che il coinvolgimento sia solo nominale.</w:t>
      </w:r>
      <w:r w:rsidRPr="003F0394">
        <w:rPr>
          <w:rFonts w:eastAsia="Times New Roman" w:cs="Times New Roman"/>
        </w:rPr>
        <w:t xml:space="preserve"> </w:t>
      </w:r>
      <w:r w:rsidR="001B237E" w:rsidRPr="001B237E">
        <w:rPr>
          <w:rFonts w:eastAsia="Times New Roman" w:cs="Times New Roman"/>
          <w:color w:val="FF0000"/>
          <w:u w:val="single"/>
        </w:rPr>
        <w:t>Si sottovalutano</w:t>
      </w:r>
      <w:r w:rsidR="001B237E" w:rsidRPr="001B237E">
        <w:rPr>
          <w:rFonts w:eastAsia="Times New Roman" w:cs="Times New Roman"/>
          <w:color w:val="FF0000"/>
        </w:rPr>
        <w:t xml:space="preserve"> </w:t>
      </w:r>
    </w:p>
    <w:p w14:paraId="21F26F17" w14:textId="4EEDCA1E" w:rsidR="00ED60D5" w:rsidRDefault="00ED60D5">
      <w:pPr>
        <w:spacing w:before="0" w:after="160" w:line="259" w:lineRule="auto"/>
        <w:jc w:val="left"/>
      </w:pPr>
      <w:r>
        <w:br w:type="page"/>
      </w:r>
    </w:p>
    <w:p w14:paraId="32F24DBE" w14:textId="424537F9" w:rsidR="00552DB9" w:rsidRDefault="00552DB9" w:rsidP="00552DB9">
      <w:pPr>
        <w:pStyle w:val="CapitoloTitolo"/>
      </w:pPr>
      <w:bookmarkStart w:id="14" w:name="_Toc534027316"/>
      <w:r>
        <w:lastRenderedPageBreak/>
        <w:t>Conclusioni e raccomandazioni</w:t>
      </w:r>
      <w:bookmarkEnd w:id="14"/>
    </w:p>
    <w:p w14:paraId="07CA7840" w14:textId="213DF576" w:rsidR="00907EA1" w:rsidRDefault="00261DDD" w:rsidP="00261DDD">
      <w:r>
        <w:t xml:space="preserve">L’analisi del contesto ha fatto emergere </w:t>
      </w:r>
      <w:r w:rsidRPr="00261DDD">
        <w:rPr>
          <w:rStyle w:val="Enfasigrassetto"/>
          <w:b w:val="0"/>
          <w:color w:val="auto"/>
        </w:rPr>
        <w:t>una</w:t>
      </w:r>
      <w:r w:rsidRPr="00261DDD">
        <w:rPr>
          <w:rStyle w:val="Enfasigrassetto"/>
          <w:color w:val="auto"/>
        </w:rPr>
        <w:t xml:space="preserve"> </w:t>
      </w:r>
      <w:r w:rsidRPr="00261DDD">
        <w:rPr>
          <w:rStyle w:val="Enfasigrassetto"/>
        </w:rPr>
        <w:t>partecipazione della componente femminile, anche in termini di imprenditorialità, specialmente nel settore agricolo, piuttosto positiva</w:t>
      </w:r>
      <w:r w:rsidRPr="00261DDD">
        <w:t xml:space="preserve"> soprattutto rispetto all’Italia nel suo complesso. </w:t>
      </w:r>
      <w:r w:rsidR="00907EA1">
        <w:t>Le fonti statistiche esaminate restituiscono un quadro relativamente positivo nella Regione Umbria che vede la</w:t>
      </w:r>
      <w:r w:rsidR="00907EA1" w:rsidRPr="00907EA1">
        <w:t xml:space="preserve"> quota di donne che fanno impresa </w:t>
      </w:r>
      <w:r w:rsidR="00907EA1">
        <w:t>(</w:t>
      </w:r>
      <w:r w:rsidR="00907EA1" w:rsidRPr="00907EA1">
        <w:t>29,7%</w:t>
      </w:r>
      <w:r w:rsidR="00907EA1">
        <w:t>)</w:t>
      </w:r>
      <w:r w:rsidR="00907EA1" w:rsidRPr="00907EA1">
        <w:t xml:space="preserve"> superiore </w:t>
      </w:r>
      <w:r w:rsidR="00907EA1">
        <w:t xml:space="preserve">di ben 3 punti percentuali alla media italiana che si attesta intorno al 26,6% (2017). </w:t>
      </w:r>
      <w:r w:rsidR="000B3BAD">
        <w:t>Un valore altrettanto positivo lo si ritrova nel settore agricolo dove le imprese condotte da donne sono il 2</w:t>
      </w:r>
      <w:r>
        <w:t>4</w:t>
      </w:r>
      <w:r w:rsidR="000B3BAD">
        <w:t>,</w:t>
      </w:r>
      <w:r>
        <w:t>9</w:t>
      </w:r>
      <w:r w:rsidR="000B3BAD">
        <w:t xml:space="preserve">% del totale, con </w:t>
      </w:r>
      <w:r>
        <w:t>3</w:t>
      </w:r>
      <w:r w:rsidR="000B3BAD">
        <w:t xml:space="preserve"> punti in più rispetto alla media nazionale pari a 2</w:t>
      </w:r>
      <w:r>
        <w:t>1</w:t>
      </w:r>
      <w:r w:rsidR="000B3BAD">
        <w:t>,</w:t>
      </w:r>
      <w:r>
        <w:t>9</w:t>
      </w:r>
      <w:r w:rsidR="000B3BAD">
        <w:t>% (201</w:t>
      </w:r>
      <w:r>
        <w:t>7</w:t>
      </w:r>
      <w:r w:rsidR="000B3BAD">
        <w:t>).</w:t>
      </w:r>
    </w:p>
    <w:p w14:paraId="097DEEBC" w14:textId="4449D331" w:rsidR="00261DDD" w:rsidRDefault="00261DDD" w:rsidP="00261DDD">
      <w:r>
        <w:t xml:space="preserve">Il </w:t>
      </w:r>
      <w:r w:rsidRPr="00A9484E">
        <w:rPr>
          <w:rStyle w:val="Enfasigrassetto"/>
        </w:rPr>
        <w:t>passaggio dalla vecchia alla nuova programmazione</w:t>
      </w:r>
      <w:r>
        <w:t xml:space="preserve">, pur a fronte delle novità legate al quadro programmatico, vede una sostanziale continuità </w:t>
      </w:r>
      <w:r w:rsidR="00EA46E6">
        <w:t>con il periodo precedente</w:t>
      </w:r>
      <w:r w:rsidR="00EA46E6" w:rsidRPr="00EA46E6">
        <w:t xml:space="preserve"> </w:t>
      </w:r>
      <w:r w:rsidR="00EA46E6">
        <w:t xml:space="preserve">in termini di tipologia di interventi attivati </w:t>
      </w:r>
      <w:r w:rsidR="00C101B5">
        <w:t>finalizzati a</w:t>
      </w:r>
      <w:r w:rsidR="00EA46E6">
        <w:t xml:space="preserve"> favorire la creazione o il sostegno delle imprese femminili nelle aree rurali</w:t>
      </w:r>
      <w:r>
        <w:t xml:space="preserve">. </w:t>
      </w:r>
    </w:p>
    <w:p w14:paraId="0AA1C85C" w14:textId="53295087" w:rsidR="00261DDD" w:rsidRDefault="00EA46E6" w:rsidP="00261DDD">
      <w:r>
        <w:t>A fronte delle evidenze emerse dall’analisi SWOT, e confermate dai dati di contesto più recenti, non si è ravvisata una problematica specifica rispetto alla parità di genere</w:t>
      </w:r>
      <w:r w:rsidR="00787DAB">
        <w:t>. Conseguentemente il programmatore regionale ha scelto di ricorrere in maniera</w:t>
      </w:r>
      <w:r w:rsidR="00261DDD">
        <w:t xml:space="preserve"> più circoscritt</w:t>
      </w:r>
      <w:r w:rsidR="00787DAB">
        <w:t>a</w:t>
      </w:r>
      <w:r w:rsidR="00261DDD">
        <w:t xml:space="preserve"> a strumenti “attivi” in fase di selezione delle domande presentate da donne, non più presenti per gli interventi a sostegno degli investimenti aziendali (mentre si mantiene il criterio a favore dei giovani) e dell’insediamento di giovani agricoltori</w:t>
      </w:r>
      <w:r w:rsidR="00787DAB">
        <w:t>, mentre questi sono stati previsti per l</w:t>
      </w:r>
      <w:r w:rsidR="00C101B5">
        <w:t>e sottom</w:t>
      </w:r>
      <w:r w:rsidR="00261DDD">
        <w:t>isur</w:t>
      </w:r>
      <w:r w:rsidR="00C101B5">
        <w:t>e</w:t>
      </w:r>
      <w:r w:rsidR="00261DDD">
        <w:t xml:space="preserve"> 6</w:t>
      </w:r>
      <w:r w:rsidR="00787DAB">
        <w:t xml:space="preserve">.2 e 6.4 </w:t>
      </w:r>
      <w:r w:rsidR="00BD07A6">
        <w:t xml:space="preserve">ritenute maggiormente appetibili per le potenziali beneficiare del PSR e </w:t>
      </w:r>
      <w:r w:rsidR="00787DAB">
        <w:t>atte a favorire la multifunzionalità delle aziende agricole e la creazione di nuove imprese non agricole nelle aree rurali.</w:t>
      </w:r>
    </w:p>
    <w:p w14:paraId="6B445B26" w14:textId="6176A1EF" w:rsidR="00466BAA" w:rsidRDefault="00787DAB" w:rsidP="00261DDD">
      <w:r>
        <w:t xml:space="preserve">I primi </w:t>
      </w:r>
      <w:r w:rsidRPr="00BD07A6">
        <w:rPr>
          <w:rStyle w:val="Enfasigrassetto"/>
        </w:rPr>
        <w:t>dati attuativi</w:t>
      </w:r>
      <w:r>
        <w:t xml:space="preserve">, inerenti alle sole </w:t>
      </w:r>
      <w:r w:rsidR="00C101B5">
        <w:t>sotto</w:t>
      </w:r>
      <w:r>
        <w:t>misure 4.1 e 6.1, pur in assenza di criteri premiali</w:t>
      </w:r>
      <w:r w:rsidR="00BD07A6">
        <w:t xml:space="preserve"> specifici,</w:t>
      </w:r>
      <w:r>
        <w:t xml:space="preserve"> mostrano </w:t>
      </w:r>
      <w:r w:rsidR="00BD07A6">
        <w:t xml:space="preserve">una quota di donne sul totale dei beneficiari sostanzialmente assimilabili a quanto registrato nel 2007-2013. </w:t>
      </w:r>
    </w:p>
    <w:p w14:paraId="1C601816" w14:textId="09441395" w:rsidR="00BD07A6" w:rsidRDefault="00466BAA" w:rsidP="00261DDD">
      <w:r>
        <w:t>Per poter esprimere un giudizio valutativo sull’</w:t>
      </w:r>
      <w:r w:rsidRPr="00466BAA">
        <w:rPr>
          <w:rStyle w:val="Enfasigrassetto"/>
        </w:rPr>
        <w:t xml:space="preserve">efficacia </w:t>
      </w:r>
      <w:r>
        <w:t xml:space="preserve">del PSR 2014-2020 </w:t>
      </w:r>
      <w:r w:rsidR="002B60A2">
        <w:t>nel</w:t>
      </w:r>
      <w:r>
        <w:t xml:space="preserve"> favorire la partecipazione della componente femminile al settore agricolo ed extra-agricolo nelle aree rurali, o</w:t>
      </w:r>
      <w:r w:rsidR="00BD07A6">
        <w:t xml:space="preserve">ccorrerà tuttavia esaminare i dati </w:t>
      </w:r>
      <w:r>
        <w:t>consolidati delle misure indicate,</w:t>
      </w:r>
      <w:r w:rsidR="00BD07A6">
        <w:t xml:space="preserve"> </w:t>
      </w:r>
      <w:r>
        <w:t xml:space="preserve">con attenzione </w:t>
      </w:r>
      <w:r w:rsidR="00BD07A6">
        <w:t xml:space="preserve">soprattutto </w:t>
      </w:r>
      <w:r w:rsidR="002B60A2">
        <w:t>a</w:t>
      </w:r>
      <w:r w:rsidR="00BD07A6">
        <w:t>i livelli di risposta ai bandi delle sottomisure 6.2 e 6.4 al momento non ancora pubblicati.</w:t>
      </w:r>
    </w:p>
    <w:p w14:paraId="09D51D7E" w14:textId="53342BF0" w:rsidR="00907EA1" w:rsidRDefault="00466BAA" w:rsidP="00A46B92">
      <w:r>
        <w:t>In questa fase è possibile valorizzare gli spunti forniti dai testimoni privilegiati intervistati dal valutatore, sia rispetto all’attuale programmazione, ma anche al fine di maturare le prime riflessioni sul ciclo 2021-2027.</w:t>
      </w:r>
    </w:p>
    <w:p w14:paraId="4F94267A" w14:textId="2BC4E62B" w:rsidR="002B60A2" w:rsidRDefault="002B60A2" w:rsidP="00A46B92">
      <w:r w:rsidRPr="00AB0844">
        <w:t>Tra le indicazioni emerse si richiama la necessità di verificare</w:t>
      </w:r>
      <w:r w:rsidR="00AB0844">
        <w:t>,</w:t>
      </w:r>
      <w:r w:rsidRPr="00AB0844">
        <w:t xml:space="preserve"> </w:t>
      </w:r>
      <w:r w:rsidR="00AB0844" w:rsidRPr="00AB0844">
        <w:t xml:space="preserve">in una fase più avanzata </w:t>
      </w:r>
      <w:r w:rsidR="00AB0844">
        <w:t xml:space="preserve">dell’attuazione </w:t>
      </w:r>
      <w:r w:rsidR="00AB0844" w:rsidRPr="00AB0844">
        <w:t>del Programma</w:t>
      </w:r>
      <w:r w:rsidR="00AB0844">
        <w:t>,</w:t>
      </w:r>
      <w:r w:rsidR="00AB0844" w:rsidRPr="00AB0844">
        <w:t xml:space="preserve"> </w:t>
      </w:r>
      <w:r w:rsidR="00AB0844">
        <w:t>la validità</w:t>
      </w:r>
      <w:r w:rsidR="00AB0844" w:rsidRPr="00AB0844">
        <w:t xml:space="preserve"> d</w:t>
      </w:r>
      <w:r w:rsidRPr="00AB0844">
        <w:t xml:space="preserve">ella scelta di capitalizzare le positive esperienze </w:t>
      </w:r>
      <w:r w:rsidR="00824552" w:rsidRPr="00AB0844">
        <w:t>nelle attività extra-agricole</w:t>
      </w:r>
      <w:r w:rsidR="00824552">
        <w:t xml:space="preserve"> </w:t>
      </w:r>
      <w:r w:rsidRPr="00AB0844">
        <w:t>delle donne</w:t>
      </w:r>
      <w:r w:rsidR="00824552">
        <w:t xml:space="preserve">, </w:t>
      </w:r>
      <w:r w:rsidR="00824552" w:rsidRPr="00824552">
        <w:t>come dei giovani,</w:t>
      </w:r>
      <w:r w:rsidRPr="00824552">
        <w:t xml:space="preserve"> </w:t>
      </w:r>
      <w:r w:rsidR="00824552" w:rsidRPr="00824552">
        <w:t>che sembrano avere una maggiore sensibilità verso gli elementi multifunzionali e la diversificazione dell'attività agricola</w:t>
      </w:r>
      <w:r w:rsidRPr="00824552">
        <w:t xml:space="preserve">, </w:t>
      </w:r>
      <w:r w:rsidR="00AB0844" w:rsidRPr="00824552">
        <w:t>scongiurando</w:t>
      </w:r>
      <w:r w:rsidR="00824552">
        <w:t xml:space="preserve"> al contempo</w:t>
      </w:r>
      <w:r w:rsidRPr="00AB0844">
        <w:t xml:space="preserve"> il rischio di non sostenere </w:t>
      </w:r>
      <w:r w:rsidR="00AB0844" w:rsidRPr="00AB0844">
        <w:t>in modo altrettanto efficace una partecipazione positiva ed effettiva alla realtà agricola di tipo tradizionale.</w:t>
      </w:r>
    </w:p>
    <w:p w14:paraId="2631134A" w14:textId="116FE458" w:rsidR="002B60A2" w:rsidRDefault="00C101B5" w:rsidP="00A46B92">
      <w:r>
        <w:t xml:space="preserve">Si rileva, inoltre, come la formazione abbia un valore equitativo in quanto mette uomini e donne nelle medesime condizioni nell’acquisizione di capitale di conoscenze e competenze necessarie alle attività di impresa; la formazione è altresì una cartina </w:t>
      </w:r>
      <w:r w:rsidR="00B6455F">
        <w:t>al tornasole, quindi funge</w:t>
      </w:r>
      <w:r>
        <w:t xml:space="preserve"> da indicatore per misurare l’effettivo coinvolgimento delle donne nelle diverse tipologie di misure.</w:t>
      </w:r>
    </w:p>
    <w:p w14:paraId="65F0CD57" w14:textId="0B549021" w:rsidR="00C101B5" w:rsidRDefault="00D463F6" w:rsidP="00A46B92">
      <w:r>
        <w:t>Infine, emerge che oneri amministrativi elevati, quindi la particolare complessità dell’iter procedurale per la presentazione delle domande di finanziamento all’interno del PSR, rappresentino un forte ostacolo alla parità di genere, in quanto le categorie più deboli e fragili (giovani e donne) faticano maggiormente ad affrontare il carico burocratico e i relativi costi.</w:t>
      </w:r>
    </w:p>
    <w:p w14:paraId="7481176E" w14:textId="485BEE63" w:rsidR="00ED60D5" w:rsidRDefault="00ED60D5">
      <w:pPr>
        <w:spacing w:before="0" w:after="160" w:line="259" w:lineRule="auto"/>
        <w:jc w:val="left"/>
      </w:pPr>
      <w:r>
        <w:br w:type="page"/>
      </w:r>
    </w:p>
    <w:p w14:paraId="2A42120D" w14:textId="6B78BE2B" w:rsidR="001C1E12" w:rsidRPr="00552DB9" w:rsidRDefault="001C1E12" w:rsidP="001C1E12">
      <w:pPr>
        <w:pStyle w:val="CapitoloTitolo"/>
        <w:numPr>
          <w:ilvl w:val="0"/>
          <w:numId w:val="0"/>
        </w:numPr>
        <w:ind w:left="360" w:hanging="360"/>
      </w:pPr>
      <w:bookmarkStart w:id="15" w:name="_Toc534027317"/>
      <w:r>
        <w:lastRenderedPageBreak/>
        <w:t>Allegato – Interviste a testimoni privilegiati</w:t>
      </w:r>
      <w:bookmarkEnd w:id="15"/>
    </w:p>
    <w:p w14:paraId="4D92D98C" w14:textId="77777777" w:rsidR="00184A87" w:rsidRDefault="00184A87" w:rsidP="00184A87"/>
    <w:p w14:paraId="2115CC96" w14:textId="3C31C687" w:rsidR="00184A87" w:rsidRPr="00F2699F" w:rsidRDefault="00F2699F" w:rsidP="00184A87">
      <w:pPr>
        <w:rPr>
          <w:rStyle w:val="Enfasigrassetto"/>
          <w:u w:val="single"/>
        </w:rPr>
      </w:pPr>
      <w:r w:rsidRPr="00F2699F">
        <w:rPr>
          <w:rStyle w:val="Enfasigrassetto"/>
          <w:u w:val="single"/>
        </w:rPr>
        <w:t xml:space="preserve">Alfredo Monicelli – Confagricoltura (intervista telefonica </w:t>
      </w:r>
      <w:r w:rsidR="00184A87" w:rsidRPr="00F2699F">
        <w:rPr>
          <w:rStyle w:val="Enfasigrassetto"/>
          <w:u w:val="single"/>
        </w:rPr>
        <w:t xml:space="preserve">06/12/2018) </w:t>
      </w:r>
    </w:p>
    <w:p w14:paraId="08E98AD9" w14:textId="77777777" w:rsidR="00184A87" w:rsidRDefault="00184A87" w:rsidP="00F2699F">
      <w:pPr>
        <w:rPr>
          <w:b/>
        </w:rPr>
      </w:pPr>
    </w:p>
    <w:p w14:paraId="5C566251" w14:textId="62238D1D" w:rsidR="00184A87" w:rsidRDefault="00184A87" w:rsidP="00F2699F">
      <w:pPr>
        <w:rPr>
          <w:b/>
        </w:rPr>
      </w:pPr>
      <w:r w:rsidRPr="0098610A">
        <w:rPr>
          <w:b/>
        </w:rPr>
        <w:t>Come vede il contesto umbro rispetto alla partecipazione femminile nell’agricoltura?</w:t>
      </w:r>
    </w:p>
    <w:p w14:paraId="7906B6BB" w14:textId="77777777" w:rsidR="00184A87" w:rsidRDefault="00184A87" w:rsidP="00F2699F">
      <w:r>
        <w:t>L’attività agricola in Umbria tiene da sempre ai margini le donne, ma ultimamente la percentuale di donne sta crescendo significativamente.</w:t>
      </w:r>
    </w:p>
    <w:p w14:paraId="119D2710" w14:textId="77777777" w:rsidR="00184A87" w:rsidRPr="000F4E04" w:rsidRDefault="00184A87" w:rsidP="00F2699F">
      <w:r>
        <w:t>Per quanto riguarda le scelte della PA sull’imprenditoria femminile agricola, non ci sono grandi disparità che mettano a rischio la parità di genere.</w:t>
      </w:r>
    </w:p>
    <w:p w14:paraId="54F03F7E" w14:textId="2498AAA1" w:rsidR="00184A87" w:rsidRDefault="00184A87" w:rsidP="00F2699F">
      <w:r>
        <w:t>Con i criteri premiali specifici dei PSR, la figura dell’amministratore può venire spostata sulla donna appositamente: la cosa non è di per sé disdicevole ma sicuramente è uno dei motivi alla base dell’aumento dell’imprenditoria femminile. La priorità nei criteri premiali può talvolta spingere all’</w:t>
      </w:r>
      <w:r w:rsidRPr="00F95285">
        <w:t xml:space="preserve">artificio, </w:t>
      </w:r>
      <w:r>
        <w:t>alterando in parte</w:t>
      </w:r>
      <w:r w:rsidRPr="00F95285">
        <w:t xml:space="preserve"> le statistiche</w:t>
      </w:r>
      <w:r>
        <w:t>.</w:t>
      </w:r>
    </w:p>
    <w:p w14:paraId="1FC0A4D5" w14:textId="312301BA" w:rsidR="00184A87" w:rsidRDefault="00184A87" w:rsidP="00F2699F">
      <w:r>
        <w:t xml:space="preserve">Tuttavia, nonostante in qualche caso possa trattarsi di un effetto distorto, non sempre è una forzatura, perché se la scelta è responsabile (fatta in base alla volontà sincera di un cambio di ruoli) è un incentivo che funziona. </w:t>
      </w:r>
    </w:p>
    <w:p w14:paraId="1019ECBB" w14:textId="77777777" w:rsidR="0076506A" w:rsidRDefault="0076506A" w:rsidP="00F2699F">
      <w:pPr>
        <w:rPr>
          <w:b/>
        </w:rPr>
      </w:pPr>
    </w:p>
    <w:p w14:paraId="3C8053F9" w14:textId="2A18AFB8" w:rsidR="00184A87" w:rsidRPr="0098610A" w:rsidRDefault="00184A87" w:rsidP="00F2699F">
      <w:pPr>
        <w:rPr>
          <w:b/>
        </w:rPr>
      </w:pPr>
      <w:r>
        <w:rPr>
          <w:b/>
        </w:rPr>
        <w:t>Qual</w:t>
      </w:r>
      <w:r w:rsidRPr="0098610A">
        <w:rPr>
          <w:b/>
        </w:rPr>
        <w:t xml:space="preserve"> </w:t>
      </w:r>
      <w:r>
        <w:rPr>
          <w:b/>
        </w:rPr>
        <w:t xml:space="preserve">è stata la partecipazione di Confagricoltura </w:t>
      </w:r>
      <w:r w:rsidRPr="0098610A">
        <w:rPr>
          <w:b/>
        </w:rPr>
        <w:t xml:space="preserve">alla costruzione del PSR </w:t>
      </w:r>
      <w:r>
        <w:rPr>
          <w:b/>
        </w:rPr>
        <w:t>20</w:t>
      </w:r>
      <w:r w:rsidRPr="0098610A">
        <w:rPr>
          <w:b/>
        </w:rPr>
        <w:t>14-</w:t>
      </w:r>
      <w:r>
        <w:rPr>
          <w:b/>
        </w:rPr>
        <w:t>20</w:t>
      </w:r>
      <w:r w:rsidRPr="0098610A">
        <w:rPr>
          <w:b/>
        </w:rPr>
        <w:t>20?</w:t>
      </w:r>
    </w:p>
    <w:p w14:paraId="22225412" w14:textId="27DADD52" w:rsidR="00184A87" w:rsidRDefault="00184A87" w:rsidP="00F2699F">
      <w:r>
        <w:t>Siamo stati ascoltati soprattutto in fase di analisi del contesto.</w:t>
      </w:r>
    </w:p>
    <w:p w14:paraId="19FFFD80" w14:textId="7EF45637" w:rsidR="00184A87" w:rsidRDefault="00184A87" w:rsidP="00F2699F">
      <w:r>
        <w:t>Nel sorso dello step successivo, il confronto sulla bozza di Programma, abbiamo dato un consiglio che non è stato ascoltato: diminuire il numero di misure, scegliendo su quale concentrarsi. In questo modo la Regione ha scelto di non scegliere e ora questo sta portando a difficoltà sul piano finanziario: alcune misure infatti sono state poco attrattive, mentre altre lo sono stato fin troppo e il tutto ha fatto sì che per una serie di misure (i.e. le misure agroambientali) si esaurissero le risorse. Era meglio decidere a monte (ad esempio) dieci misure su cui puntare e rendere il tutto più efficace.</w:t>
      </w:r>
      <w:r w:rsidRPr="0098610A">
        <w:t xml:space="preserve"> </w:t>
      </w:r>
    </w:p>
    <w:p w14:paraId="0CACCB81" w14:textId="2B9D9DBE" w:rsidR="00184A87" w:rsidRDefault="00184A87" w:rsidP="00F2699F">
      <w:r>
        <w:t>Tra l’altro, tra le misure non ancora uscite, che devono essere finanziate con le poche risorse rimaste ad oggi, ci sono anche le misure 6.2 e 6.4, ovvero quelle in cui si vede più facilmente la possibilità di favorire la partecipazione femminile.</w:t>
      </w:r>
    </w:p>
    <w:p w14:paraId="39BE12A8" w14:textId="77777777" w:rsidR="0076506A" w:rsidRDefault="0076506A" w:rsidP="00F2699F">
      <w:pPr>
        <w:rPr>
          <w:b/>
        </w:rPr>
      </w:pPr>
    </w:p>
    <w:p w14:paraId="5C07C996" w14:textId="18EF91EE" w:rsidR="00184A87" w:rsidRPr="0098610A" w:rsidRDefault="00184A87" w:rsidP="00F2699F">
      <w:pPr>
        <w:rPr>
          <w:b/>
        </w:rPr>
      </w:pPr>
      <w:r w:rsidRPr="0098610A">
        <w:rPr>
          <w:b/>
        </w:rPr>
        <w:t>C’è stato dibattito sull’imprenditoria femminile?</w:t>
      </w:r>
    </w:p>
    <w:p w14:paraId="31CD6266" w14:textId="3FC3C257" w:rsidR="00184A87" w:rsidRDefault="00184A87" w:rsidP="00F2699F">
      <w:r>
        <w:t>Ci sono stati solo un paio di tavoli verdi e qualcos’altro di rituale. Poca attenzione forse a causa del fatto che i</w:t>
      </w:r>
      <w:r w:rsidRPr="0098610A">
        <w:t xml:space="preserve">n passato </w:t>
      </w:r>
      <w:r w:rsidR="0076506A">
        <w:t xml:space="preserve">ci fu una elevata </w:t>
      </w:r>
      <w:r w:rsidRPr="0098610A">
        <w:t>partecipazione femminile</w:t>
      </w:r>
      <w:r>
        <w:t>, che</w:t>
      </w:r>
      <w:r w:rsidRPr="0098610A">
        <w:t xml:space="preserve"> in parte</w:t>
      </w:r>
      <w:r>
        <w:t xml:space="preserve"> era</w:t>
      </w:r>
      <w:r w:rsidRPr="0098610A">
        <w:t xml:space="preserve"> fittizia</w:t>
      </w:r>
      <w:r>
        <w:t>.</w:t>
      </w:r>
    </w:p>
    <w:p w14:paraId="726D26A6" w14:textId="77777777" w:rsidR="0076506A" w:rsidRDefault="0076506A" w:rsidP="00F2699F">
      <w:pPr>
        <w:rPr>
          <w:b/>
        </w:rPr>
      </w:pPr>
    </w:p>
    <w:p w14:paraId="2F44B3E7" w14:textId="5B8402D2" w:rsidR="00184A87" w:rsidRPr="0098610A" w:rsidRDefault="00184A87" w:rsidP="00F2699F">
      <w:pPr>
        <w:rPr>
          <w:b/>
        </w:rPr>
      </w:pPr>
      <w:r w:rsidRPr="0098610A">
        <w:rPr>
          <w:b/>
        </w:rPr>
        <w:t>Cosa pensa dei meccanismi c.d. passivi e attivi per favorire la parità di genere nel PSR?</w:t>
      </w:r>
    </w:p>
    <w:p w14:paraId="79B67E61" w14:textId="77777777" w:rsidR="00184A87" w:rsidRDefault="00184A87" w:rsidP="00F2699F">
      <w:r>
        <w:t>Per rispondere bisogna fare una premessa: uno dei limiti più importanti di questa programmazione è il fatto che la selezione non entra nel merito dei diversi progetti.</w:t>
      </w:r>
    </w:p>
    <w:p w14:paraId="691B4ACB" w14:textId="55293C3F" w:rsidR="00184A87" w:rsidRDefault="00184A87" w:rsidP="00F2699F">
      <w:r>
        <w:t xml:space="preserve">Privilegiare con dei criteri specifici (meccanismo attivo) </w:t>
      </w:r>
      <w:r w:rsidR="00F2699F">
        <w:t>va bene</w:t>
      </w:r>
      <w:r>
        <w:t xml:space="preserve"> ma ha un impatto limitato. Per questo la scelta di basarsi su un meccanismo più passivo può essere compresa. Inoltre, questa scelta potrebbe essere orientata a </w:t>
      </w:r>
      <w:r w:rsidRPr="00C25447">
        <w:t>limitare l’abuso fat</w:t>
      </w:r>
      <w:r>
        <w:t>to in passato su tali incentivi e, al contempo, a scongiurare una sorta di discriminazione al contrario (nei confronti degli uomini).</w:t>
      </w:r>
    </w:p>
    <w:p w14:paraId="57113BD1" w14:textId="77777777" w:rsidR="00184A87" w:rsidRDefault="00184A87" w:rsidP="00F2699F"/>
    <w:p w14:paraId="4B30943F" w14:textId="77777777" w:rsidR="00184A87" w:rsidRPr="0098610A" w:rsidRDefault="00184A87" w:rsidP="00F2699F">
      <w:pPr>
        <w:rPr>
          <w:b/>
        </w:rPr>
      </w:pPr>
      <w:r w:rsidRPr="0098610A">
        <w:rPr>
          <w:b/>
        </w:rPr>
        <w:lastRenderedPageBreak/>
        <w:t>Come rafforzerebbe le varie misure del PSR Umbria 2014-2020 rispetto agli obiettivi di parità di genere nello sviluppo agricolo?</w:t>
      </w:r>
    </w:p>
    <w:p w14:paraId="138EC848" w14:textId="7CF344E4" w:rsidR="00184A87" w:rsidRDefault="00F2699F" w:rsidP="00F2699F">
      <w:r>
        <w:t xml:space="preserve">È </w:t>
      </w:r>
      <w:r w:rsidR="00184A87">
        <w:t>argomento difficile per una questione culturale. In generale, senza parlare</w:t>
      </w:r>
      <w:r>
        <w:t xml:space="preserve"> solo</w:t>
      </w:r>
      <w:r w:rsidR="00184A87">
        <w:t xml:space="preserve"> della parità di genere, innanzitutto il nuovo PSR dovrebbe entrare nel merito dei progetti, riconducendo alle scelte ex ante regionali la definizione di criteri per i progetti.</w:t>
      </w:r>
    </w:p>
    <w:p w14:paraId="67A61FC9" w14:textId="77777777" w:rsidR="00184A87" w:rsidRDefault="00184A87" w:rsidP="00F2699F">
      <w:r>
        <w:t xml:space="preserve">Una valutazione di dettaglio tecnica sulla base di scelte ex ante, per misurare validità di un progetto, anche se corre il rischio </w:t>
      </w:r>
      <w:r w:rsidRPr="00FD6E64">
        <w:t>di essere soggettiva</w:t>
      </w:r>
      <w:r>
        <w:t xml:space="preserve">, garantisce che ci sia una logica commerciale ed economica, </w:t>
      </w:r>
      <w:r w:rsidRPr="00FD6E64">
        <w:t>rispetto all’interesse di ta</w:t>
      </w:r>
      <w:r>
        <w:t>li operazioni sul mercato (ad oggi finanziare un allevamento di suini o di farfalle è la stessa cosa).</w:t>
      </w:r>
    </w:p>
    <w:p w14:paraId="6B1E539C" w14:textId="77777777" w:rsidR="00184A87" w:rsidRDefault="00184A87" w:rsidP="00F2699F">
      <w:r>
        <w:t>Di questa problematica è</w:t>
      </w:r>
      <w:r w:rsidRPr="0098610A">
        <w:t xml:space="preserve"> bene parlarne adesso perché ci sono le evidenze del 2014-2020. </w:t>
      </w:r>
    </w:p>
    <w:p w14:paraId="45181806" w14:textId="29C27673" w:rsidR="00184A87" w:rsidRDefault="00184A87" w:rsidP="00F2699F">
      <w:r>
        <w:t>L’orientamento corrente è quello di favorire la spesa a discapito della q</w:t>
      </w:r>
      <w:r w:rsidRPr="0098610A">
        <w:t>ualità</w:t>
      </w:r>
      <w:r>
        <w:t xml:space="preserve"> dei progetti. A</w:t>
      </w:r>
      <w:r w:rsidR="00F2699F">
        <w:t>d esempio, l</w:t>
      </w:r>
      <w:r>
        <w:t xml:space="preserve">a M.16 </w:t>
      </w:r>
      <w:r w:rsidR="00F2699F">
        <w:t>(</w:t>
      </w:r>
      <w:r>
        <w:t>P</w:t>
      </w:r>
      <w:r w:rsidR="00F2699F">
        <w:t>iani strategici dei Gruppi operativi)</w:t>
      </w:r>
      <w:r>
        <w:t xml:space="preserve"> ha </w:t>
      </w:r>
      <w:r w:rsidR="00F2699F">
        <w:t>una graduatoria d</w:t>
      </w:r>
      <w:r>
        <w:t>i progetti che risulta</w:t>
      </w:r>
      <w:r w:rsidRPr="0098610A">
        <w:t xml:space="preserve"> discutibile</w:t>
      </w:r>
      <w:r>
        <w:t>. Al suo interno, c</w:t>
      </w:r>
      <w:r w:rsidRPr="001C73B3">
        <w:t xml:space="preserve">i sono progetti </w:t>
      </w:r>
      <w:r w:rsidR="00F2699F">
        <w:t>di</w:t>
      </w:r>
      <w:r w:rsidRPr="001C73B3">
        <w:t xml:space="preserve"> cui non </w:t>
      </w:r>
      <w:r w:rsidR="00F2699F">
        <w:t>è chiaro l’obiettivo</w:t>
      </w:r>
      <w:r w:rsidRPr="001C73B3">
        <w:t xml:space="preserve">. Non c’è coerenza </w:t>
      </w:r>
      <w:r>
        <w:t xml:space="preserve">tra le attività </w:t>
      </w:r>
      <w:r w:rsidR="00F2699F">
        <w:t xml:space="preserve">proposte </w:t>
      </w:r>
      <w:r>
        <w:t>e un obiettivo strategico definito.</w:t>
      </w:r>
    </w:p>
    <w:p w14:paraId="485E770B" w14:textId="0F9003CB" w:rsidR="00184A87" w:rsidRDefault="00184A87" w:rsidP="00F2699F">
      <w:r>
        <w:t xml:space="preserve">Un altro esempio di disfunzione di questo PSR che andrebbe risolta è la seguente: la viabilità </w:t>
      </w:r>
      <w:r w:rsidR="00F2699F">
        <w:t xml:space="preserve">poderale </w:t>
      </w:r>
      <w:r>
        <w:t xml:space="preserve">rurale dovrebbe venir finanziata con i fondi SIE, invece tramite il PSR viene finanziata </w:t>
      </w:r>
      <w:r w:rsidR="00F2699F">
        <w:t xml:space="preserve">solo </w:t>
      </w:r>
      <w:r>
        <w:t xml:space="preserve">la viabilità comunale. </w:t>
      </w:r>
    </w:p>
    <w:p w14:paraId="4F64AB73" w14:textId="77777777" w:rsidR="00F2699F" w:rsidRDefault="00F2699F" w:rsidP="00F2699F"/>
    <w:p w14:paraId="6B5C974A" w14:textId="77777777" w:rsidR="00F2699F" w:rsidRPr="0098610A" w:rsidRDefault="00F2699F" w:rsidP="00F2699F">
      <w:pPr>
        <w:rPr>
          <w:b/>
        </w:rPr>
      </w:pPr>
      <w:r w:rsidRPr="0098610A">
        <w:rPr>
          <w:b/>
        </w:rPr>
        <w:t>Come vede il ruolo dei GAL umbri rispetto alla parità di genere nello sviluppo rurale?</w:t>
      </w:r>
    </w:p>
    <w:p w14:paraId="5A24D6A9" w14:textId="002C5BE4" w:rsidR="00F2699F" w:rsidRDefault="00F2699F" w:rsidP="00F2699F">
      <w:r>
        <w:t>In Umbria ci sono 5 GAL consorziati in un’unica organizzazione ombrello, i quali utilizzano le risorse essenzialmente per finanziare la promozione territoriale e opere pubbliche connesse.</w:t>
      </w:r>
    </w:p>
    <w:p w14:paraId="524BF712" w14:textId="2EE2C447" w:rsidR="00F2699F" w:rsidRDefault="00F2699F" w:rsidP="00F2699F">
      <w:r>
        <w:t>Non mi risulta che ci siano GAL che diano finanziamenti con incentivi specifici per la parità di genere.</w:t>
      </w:r>
    </w:p>
    <w:p w14:paraId="4C909CCD" w14:textId="77777777" w:rsidR="00F2699F" w:rsidRDefault="00F2699F" w:rsidP="00F2699F"/>
    <w:p w14:paraId="6B09CB2B" w14:textId="77777777" w:rsidR="00184A87" w:rsidRPr="001C73B3" w:rsidRDefault="00184A87" w:rsidP="00F2699F">
      <w:pPr>
        <w:rPr>
          <w:b/>
        </w:rPr>
      </w:pPr>
      <w:r w:rsidRPr="001C73B3">
        <w:rPr>
          <w:b/>
        </w:rPr>
        <w:t>Se dovesse concentrarsi su un’unica cosa per favorire la parità di genere nello sviluppo agricolo umbro, cosa sceglierebbe?</w:t>
      </w:r>
    </w:p>
    <w:p w14:paraId="71C41938" w14:textId="77777777" w:rsidR="00184A87" w:rsidRDefault="00184A87" w:rsidP="00F2699F">
      <w:r>
        <w:t>Considerati i limiti dei meccanismi premiali discussi e considerata la difficoltà della questione culturale, sceglierei:</w:t>
      </w:r>
    </w:p>
    <w:p w14:paraId="0B086911" w14:textId="7708F45A" w:rsidR="00184A87" w:rsidRDefault="00184A87" w:rsidP="00F2699F">
      <w:pPr>
        <w:pStyle w:val="Paragrafoelenco"/>
        <w:numPr>
          <w:ilvl w:val="0"/>
          <w:numId w:val="10"/>
        </w:numPr>
        <w:spacing w:before="0" w:after="160" w:line="259" w:lineRule="auto"/>
      </w:pPr>
      <w:r>
        <w:t>premiare maggiormente le imprese che sono gestite o possedute da donne da più tempo</w:t>
      </w:r>
      <w:r w:rsidR="00F2699F">
        <w:t>;</w:t>
      </w:r>
    </w:p>
    <w:p w14:paraId="5CB35E0E" w14:textId="77777777" w:rsidR="00184A87" w:rsidRDefault="00184A87" w:rsidP="00F2699F">
      <w:pPr>
        <w:pStyle w:val="Paragrafoelenco"/>
        <w:numPr>
          <w:ilvl w:val="0"/>
          <w:numId w:val="10"/>
        </w:numPr>
        <w:spacing w:before="0" w:after="160" w:line="259" w:lineRule="auto"/>
      </w:pPr>
      <w:r>
        <w:t>anteporre degli interventi di sensibilizzazione culturale sul tema della partecipazione femminile nello sviluppo agricolo.</w:t>
      </w:r>
    </w:p>
    <w:p w14:paraId="16481BF6" w14:textId="45CB3840" w:rsidR="00F2699F" w:rsidRDefault="00F2699F">
      <w:pPr>
        <w:spacing w:before="0" w:after="160" w:line="259" w:lineRule="auto"/>
        <w:jc w:val="left"/>
      </w:pPr>
      <w:r>
        <w:br w:type="page"/>
      </w:r>
    </w:p>
    <w:p w14:paraId="5476B15B" w14:textId="10504E72" w:rsidR="00F2699F" w:rsidRPr="00F2699F" w:rsidRDefault="00F2699F" w:rsidP="00F2699F">
      <w:pPr>
        <w:rPr>
          <w:rStyle w:val="Enfasigrassetto"/>
          <w:u w:val="single"/>
        </w:rPr>
      </w:pPr>
      <w:r>
        <w:rPr>
          <w:rStyle w:val="Enfasigrassetto"/>
          <w:u w:val="single"/>
        </w:rPr>
        <w:lastRenderedPageBreak/>
        <w:t>Roberto</w:t>
      </w:r>
      <w:r w:rsidRPr="00F2699F">
        <w:rPr>
          <w:rStyle w:val="Enfasigrassetto"/>
          <w:u w:val="single"/>
        </w:rPr>
        <w:t xml:space="preserve"> Montagnoli</w:t>
      </w:r>
      <w:r>
        <w:rPr>
          <w:rStyle w:val="Enfasigrassetto"/>
          <w:u w:val="single"/>
        </w:rPr>
        <w:t xml:space="preserve"> </w:t>
      </w:r>
      <w:r w:rsidRPr="00F2699F">
        <w:rPr>
          <w:rStyle w:val="Enfasigrassetto"/>
          <w:u w:val="single"/>
        </w:rPr>
        <w:t>– Coldiretti (intervista telefonica 18/12/2018)</w:t>
      </w:r>
    </w:p>
    <w:p w14:paraId="2E14BB80" w14:textId="77777777" w:rsidR="00F2699F" w:rsidRDefault="00F2699F" w:rsidP="00F2699F"/>
    <w:p w14:paraId="62ACD2E1" w14:textId="729D95A7" w:rsidR="00F2699F" w:rsidRPr="0070727E" w:rsidRDefault="00F2699F" w:rsidP="00F2699F">
      <w:pPr>
        <w:rPr>
          <w:b/>
        </w:rPr>
      </w:pPr>
      <w:r w:rsidRPr="0070727E">
        <w:rPr>
          <w:b/>
        </w:rPr>
        <w:t xml:space="preserve">Lei ha seguito </w:t>
      </w:r>
      <w:r>
        <w:rPr>
          <w:b/>
        </w:rPr>
        <w:t>il tema della parità di genere</w:t>
      </w:r>
      <w:r w:rsidRPr="0070727E">
        <w:rPr>
          <w:b/>
        </w:rPr>
        <w:t xml:space="preserve"> in fase di programmazione</w:t>
      </w:r>
      <w:r>
        <w:rPr>
          <w:b/>
        </w:rPr>
        <w:t xml:space="preserve"> del PSR</w:t>
      </w:r>
      <w:r w:rsidRPr="0070727E">
        <w:rPr>
          <w:b/>
        </w:rPr>
        <w:t>?</w:t>
      </w:r>
    </w:p>
    <w:p w14:paraId="1B22FC66" w14:textId="0D672A9D" w:rsidR="00F2699F" w:rsidRDefault="00F2699F" w:rsidP="00F2699F">
      <w:r>
        <w:t>Sì</w:t>
      </w:r>
    </w:p>
    <w:p w14:paraId="3B8A5EB3" w14:textId="77777777" w:rsidR="00F2699F" w:rsidRDefault="00F2699F" w:rsidP="00F2699F">
      <w:pPr>
        <w:rPr>
          <w:b/>
        </w:rPr>
      </w:pPr>
    </w:p>
    <w:p w14:paraId="283995CB" w14:textId="26AC501E" w:rsidR="00F2699F" w:rsidRPr="0070727E" w:rsidRDefault="00F2699F" w:rsidP="00F2699F">
      <w:pPr>
        <w:rPr>
          <w:b/>
        </w:rPr>
      </w:pPr>
      <w:r w:rsidRPr="0070727E">
        <w:rPr>
          <w:b/>
        </w:rPr>
        <w:t xml:space="preserve">C'era un interesse da parte della </w:t>
      </w:r>
      <w:r>
        <w:rPr>
          <w:b/>
        </w:rPr>
        <w:t>R</w:t>
      </w:r>
      <w:r w:rsidRPr="0070727E">
        <w:rPr>
          <w:b/>
        </w:rPr>
        <w:t>egione?</w:t>
      </w:r>
    </w:p>
    <w:p w14:paraId="44346430" w14:textId="0D49EFE6" w:rsidR="00F2699F" w:rsidRDefault="00F2699F" w:rsidP="00F2699F">
      <w:r>
        <w:t>Sì, c'è stata una valutazione abbastanza accurata dei dati precedenti. Poiché non ci sono ostacoli, nel caso umbro, alla presenza femminile, il problema si pone un po' meno rispetto ad altre regioni. Si pensi, per esempio, che la misura della formazione (M. 1) ha una percentuale femminile che rasenta l'80%. La presenza femminile nelle misure di formazione quindi è molto elevata. Per questo risulta meno cogente mettere in moto strumenti o incentivi che facilitino la presenza femminile. Rispetto alla formazione, tuttavia in questo PSR c'è stato un ridimensionamento degli strumenti specifici rispetto alla programmazione 2007-2013, che sono rimasti attivi solo sulle SM. 6.2 e 6.4.</w:t>
      </w:r>
    </w:p>
    <w:p w14:paraId="22D274D1" w14:textId="77777777" w:rsidR="00F2699F" w:rsidRDefault="00F2699F" w:rsidP="00F2699F">
      <w:pPr>
        <w:rPr>
          <w:b/>
        </w:rPr>
      </w:pPr>
    </w:p>
    <w:p w14:paraId="28F45E4E" w14:textId="2946F930" w:rsidR="00F2699F" w:rsidRDefault="00F2699F" w:rsidP="00F2699F">
      <w:pPr>
        <w:rPr>
          <w:b/>
        </w:rPr>
      </w:pPr>
      <w:r w:rsidRPr="00517152">
        <w:rPr>
          <w:b/>
        </w:rPr>
        <w:t>Cosa pensa dei meccanismi c.d. passivi e attivi per favorire la parità di genere nel PSR?</w:t>
      </w:r>
    </w:p>
    <w:p w14:paraId="41D29A25" w14:textId="77777777" w:rsidR="00F2699F" w:rsidRDefault="00F2699F" w:rsidP="00F2699F">
      <w:r>
        <w:t>La necessità di meccanismi premiali attivi al momento non è incombente, va valutata meglio sicuramente però su tutte le attività dove la presenza femminile è più frequente (agriturismo, fattorie didattiche, ecc.) dove tradizionalmente c'è una maggiore presenza femminile.</w:t>
      </w:r>
    </w:p>
    <w:p w14:paraId="0C62C7B6" w14:textId="77777777" w:rsidR="00F2699F" w:rsidRDefault="00F2699F" w:rsidP="00F2699F">
      <w:pPr>
        <w:rPr>
          <w:b/>
        </w:rPr>
      </w:pPr>
    </w:p>
    <w:p w14:paraId="4770660B" w14:textId="230B87BB" w:rsidR="00F2699F" w:rsidRPr="00517152" w:rsidRDefault="00F2699F" w:rsidP="00F2699F">
      <w:pPr>
        <w:rPr>
          <w:b/>
        </w:rPr>
      </w:pPr>
      <w:r w:rsidRPr="00517152">
        <w:rPr>
          <w:b/>
        </w:rPr>
        <w:t>Come rafforzerebbe le varie misure del PSR Umbria 2014-2020 rispetto agli obiettivi di parità di genere nello sviluppo agricolo?</w:t>
      </w:r>
    </w:p>
    <w:p w14:paraId="3E077D5A" w14:textId="507D0F79" w:rsidR="00F2699F" w:rsidRDefault="00F2699F" w:rsidP="00F2699F">
      <w:r>
        <w:t>Il fatto che la maggioranza della formazione sia stata fatta sulle misure agroambientali., comporta che i discenti erano figure significative nella gestione dell'azienda. Visto che è molto probabile che le domande di finanziamento sulle misure di sviluppo saranno fatte dagli stessi soggetti protagonisti della formazione, ci troviamo davanti a un numero considerevole di beneficiari donne. Oltre a questo, ci sono anche altre ragioni (più sociologiche) per le quali potremmo dire che è ipotizzabile un coinvolgimento di fatto delle donne.</w:t>
      </w:r>
    </w:p>
    <w:p w14:paraId="4060B8DE" w14:textId="042DB7DC" w:rsidR="00F2699F" w:rsidRDefault="00F2699F" w:rsidP="00F2699F">
      <w:r>
        <w:t>Dunque, per rispondere alla domanda: ovviamente si può sempre migliorare ma comunque non siamo in una situazione di deficit. Inoltre devono uscire ancora altri bandi e tali bandi hanno i criteri premiali per le donne.</w:t>
      </w:r>
    </w:p>
    <w:p w14:paraId="59A0E7F3" w14:textId="6F220FB1" w:rsidR="00F2699F" w:rsidRDefault="00F2699F" w:rsidP="00F2699F">
      <w:r>
        <w:t>In ogni caso, sulle misure 4 e 6, fatto salvo che bisogna basarsi in primis sulla qualità progettuale, se si andasse ad analizzare quanti sono stati finanziati e quanti no, non si misurerebbe la presenza femminile.</w:t>
      </w:r>
    </w:p>
    <w:p w14:paraId="08C0EC2B" w14:textId="77777777" w:rsidR="00961677" w:rsidRDefault="00961677" w:rsidP="00F2699F"/>
    <w:p w14:paraId="0CEF442D" w14:textId="6B8AE1BE" w:rsidR="00F2699F" w:rsidRDefault="00F2699F" w:rsidP="00F2699F">
      <w:pPr>
        <w:rPr>
          <w:b/>
        </w:rPr>
      </w:pPr>
      <w:r w:rsidRPr="00662F3D">
        <w:rPr>
          <w:b/>
        </w:rPr>
        <w:t xml:space="preserve">Nella </w:t>
      </w:r>
      <w:r w:rsidR="00961677">
        <w:rPr>
          <w:b/>
        </w:rPr>
        <w:t xml:space="preserve">SM. </w:t>
      </w:r>
      <w:r w:rsidRPr="00662F3D">
        <w:rPr>
          <w:b/>
        </w:rPr>
        <w:t>4</w:t>
      </w:r>
      <w:r w:rsidR="00961677">
        <w:rPr>
          <w:b/>
        </w:rPr>
        <w:t>.1</w:t>
      </w:r>
      <w:r w:rsidRPr="00662F3D">
        <w:rPr>
          <w:b/>
        </w:rPr>
        <w:t xml:space="preserve"> </w:t>
      </w:r>
      <w:r w:rsidR="00961677">
        <w:rPr>
          <w:b/>
        </w:rPr>
        <w:t xml:space="preserve">la quota femminile dei beneficiari </w:t>
      </w:r>
      <w:r>
        <w:rPr>
          <w:b/>
        </w:rPr>
        <w:t xml:space="preserve">è </w:t>
      </w:r>
      <w:r w:rsidR="00961677">
        <w:rPr>
          <w:b/>
        </w:rPr>
        <w:t>risultata</w:t>
      </w:r>
      <w:r>
        <w:rPr>
          <w:b/>
        </w:rPr>
        <w:t xml:space="preserve"> simile</w:t>
      </w:r>
      <w:r w:rsidRPr="00662F3D">
        <w:rPr>
          <w:b/>
        </w:rPr>
        <w:t xml:space="preserve"> </w:t>
      </w:r>
      <w:r w:rsidR="00961677">
        <w:rPr>
          <w:b/>
        </w:rPr>
        <w:t>in termini percentuali a quella registrata nel</w:t>
      </w:r>
      <w:r w:rsidRPr="00662F3D">
        <w:rPr>
          <w:b/>
        </w:rPr>
        <w:t>la programma</w:t>
      </w:r>
      <w:r>
        <w:rPr>
          <w:b/>
        </w:rPr>
        <w:t>zione</w:t>
      </w:r>
      <w:r w:rsidRPr="00662F3D">
        <w:rPr>
          <w:b/>
        </w:rPr>
        <w:t xml:space="preserve"> p</w:t>
      </w:r>
      <w:r>
        <w:rPr>
          <w:b/>
        </w:rPr>
        <w:t>recedente.</w:t>
      </w:r>
    </w:p>
    <w:p w14:paraId="52171F3B" w14:textId="6B3F50BE" w:rsidR="00F2699F" w:rsidRDefault="00F2699F" w:rsidP="00F2699F">
      <w:r w:rsidRPr="00105415">
        <w:t>Questo è vero</w:t>
      </w:r>
      <w:r>
        <w:t xml:space="preserve">, ma sarebbe da indagare </w:t>
      </w:r>
      <w:r w:rsidR="00961677">
        <w:t>la</w:t>
      </w:r>
      <w:r>
        <w:t xml:space="preserve"> gestione opera</w:t>
      </w:r>
      <w:r w:rsidR="00961677">
        <w:t>tiva di tutta l'azienda per comprendere s</w:t>
      </w:r>
      <w:r>
        <w:t>e c'è davvero un coinvolgimento attivo delle donne e non sono a livello fiscale. Mentre molta attenzione è stata messa sui giovani, per i quali è stato creato un reale percorso preferenziale, rispetto alle donne non ci sono molti requisiti specifici.</w:t>
      </w:r>
    </w:p>
    <w:p w14:paraId="27918563" w14:textId="77777777" w:rsidR="00961677" w:rsidRPr="00105415" w:rsidRDefault="00961677" w:rsidP="00F2699F">
      <w:pPr>
        <w:rPr>
          <w:b/>
        </w:rPr>
      </w:pPr>
    </w:p>
    <w:p w14:paraId="5C15ECB4" w14:textId="47A6937E" w:rsidR="00F2699F" w:rsidRPr="00662F3D" w:rsidRDefault="00F2699F" w:rsidP="00961677">
      <w:pPr>
        <w:keepNext/>
        <w:rPr>
          <w:b/>
        </w:rPr>
      </w:pPr>
      <w:r>
        <w:rPr>
          <w:b/>
        </w:rPr>
        <w:lastRenderedPageBreak/>
        <w:t>Voi come C</w:t>
      </w:r>
      <w:r w:rsidRPr="00662F3D">
        <w:rPr>
          <w:b/>
        </w:rPr>
        <w:t xml:space="preserve">oldiretti fate attività di </w:t>
      </w:r>
      <w:r w:rsidR="00961677">
        <w:rPr>
          <w:b/>
        </w:rPr>
        <w:t xml:space="preserve">studio e </w:t>
      </w:r>
      <w:r w:rsidRPr="00662F3D">
        <w:rPr>
          <w:b/>
        </w:rPr>
        <w:t>monitoraggio su quest</w:t>
      </w:r>
      <w:r w:rsidR="00961677">
        <w:rPr>
          <w:b/>
        </w:rPr>
        <w:t>i temi</w:t>
      </w:r>
      <w:r w:rsidRPr="00662F3D">
        <w:rPr>
          <w:b/>
        </w:rPr>
        <w:t>?</w:t>
      </w:r>
    </w:p>
    <w:p w14:paraId="5026A02A" w14:textId="77777777" w:rsidR="00F2699F" w:rsidRDefault="00F2699F" w:rsidP="00F2699F">
      <w:r>
        <w:t xml:space="preserve">Sì, noi abbiamo una sezione femminile che si impegna moltissimo sul ruolo che le donne hanno nell'imprenditoria agricola. Per esempio rispetto alle multifunzionalità agricole (agriturismi) per la quale c’è una forte sensibilità. </w:t>
      </w:r>
    </w:p>
    <w:p w14:paraId="74DB3EE0" w14:textId="77777777" w:rsidR="00F2699F" w:rsidRDefault="00F2699F" w:rsidP="00F2699F">
      <w:r>
        <w:t xml:space="preserve">La cosa principale tuttavia dovrebbe essere capire l’effettività reale di tale coinvolgimento femminile.  Non ci sono studi in merito a questo. Tuttavia la nostra percezione è questa: la compresenza di attività plurime nell'ambito agricolo è abbastanza diffusa e altrettanto comune è il fatto che l'uomo si occupi di certi settori all'interno della famiglia, diversi da quelli di cui si occupa la donna. Eccezione fanno invece gli agriturismi, in cui si può essere più ragionevolmente sicuri che la gestione sia in mano alle donne. Potremmo dire che più l'attività agricola è multifunzionale più il ruolo della donna è probabilmente effettivo. </w:t>
      </w:r>
    </w:p>
    <w:p w14:paraId="1A080C7E" w14:textId="30666CDA" w:rsidR="00F2699F" w:rsidRDefault="00F2699F" w:rsidP="00F2699F">
      <w:r>
        <w:t xml:space="preserve">Le figure più giovani hanno una maggiore sensibilità verso gli elementi multifunzionali e la diversificazione </w:t>
      </w:r>
      <w:r w:rsidR="00E514AA">
        <w:t xml:space="preserve">delle </w:t>
      </w:r>
      <w:r>
        <w:t>attività. In Umbria questa cosa è trainata da un contesto favorevole turistico e delle attività produttive che spesso supplisce alle difficoltà di vendere tramite i canali tradizionali (la filiera) e favorisce la vendita diretta. La filiera infatti è ancora molto "fai da te”. Permangano tuttavia le difficoltà nel realizzare attività aggregate per fare economie di scala. Tutto ciò varia ovviamente tra tipi di filiera, quella del latte è più matura mentre quella dei cereali è ancora da sviluppare; le problematiche comunque sono simili.</w:t>
      </w:r>
    </w:p>
    <w:p w14:paraId="41D3EDA7" w14:textId="2CDD3F1D" w:rsidR="00F2699F" w:rsidRDefault="00F2699F" w:rsidP="00F2699F">
      <w:r>
        <w:t xml:space="preserve">Per migliorare questo aspetto, stiamo lavorando massicciamente come </w:t>
      </w:r>
      <w:r w:rsidR="00961677">
        <w:t>C</w:t>
      </w:r>
      <w:r>
        <w:t xml:space="preserve">oldiretti, puntando sull'innovazione dei territori e sulle opportunità di tracciabilità di prodotto in un'ottica di DOC o di IGP. Ad esempio, sulle filiere tradizionali, stiamo lavorando per innovare le strumentazioni per certificare sostenibilità ambientale. Tenga in considerazione, a riprova del nostro impegno, che nella misura 16.1, ben 13 progetti </w:t>
      </w:r>
      <w:r w:rsidR="00E514AA">
        <w:t xml:space="preserve">sono </w:t>
      </w:r>
      <w:r>
        <w:t>coordinati da per al fine di farli integrare in un'ottica più aziendale. Sulla filiera corta, invece, stiamo trovando una collaborazione con LOACKER.</w:t>
      </w:r>
    </w:p>
    <w:p w14:paraId="7A50FC20" w14:textId="6DD9235E" w:rsidR="00F2699F" w:rsidRDefault="00F2699F" w:rsidP="00F2699F">
      <w:r>
        <w:t>Il punto è contribuire allo sviluppo della filiera senza costruirla da zero</w:t>
      </w:r>
      <w:r w:rsidR="00E514AA">
        <w:t>,</w:t>
      </w:r>
      <w:r>
        <w:t xml:space="preserve"> ma </w:t>
      </w:r>
      <w:r w:rsidR="00E514AA">
        <w:t>rendendo</w:t>
      </w:r>
      <w:r>
        <w:t xml:space="preserve"> </w:t>
      </w:r>
      <w:r w:rsidR="00E514AA">
        <w:t>più efficienti quelle esistenti</w:t>
      </w:r>
      <w:r>
        <w:t>. Stiamo cercando di chiudere i mercanti scoperti per stabilizzare la loro presenza nelle città principali. Abbiamo provato a far attivare a tal proposito la misura 16.4.2 (</w:t>
      </w:r>
      <w:r w:rsidRPr="00181653">
        <w:t>sostegno dei mercati</w:t>
      </w:r>
      <w:r>
        <w:t>) ma la richiesta non è stata accolta.</w:t>
      </w:r>
    </w:p>
    <w:p w14:paraId="0FE55D60" w14:textId="0463A757" w:rsidR="00F2699F" w:rsidRDefault="00F2699F" w:rsidP="00F2699F">
      <w:r>
        <w:t>Tornando all</w:t>
      </w:r>
      <w:r w:rsidR="00E514AA">
        <w:t>a</w:t>
      </w:r>
      <w:r>
        <w:t xml:space="preserve"> multifunzionalità, uno dei rischi di attività come quella della fattoria sociale consiste nel fare confusione tra azienda agricola che fa realmente vendita diretta e quelle realtà che strumentalizzano l'attività di filiera corta per attività di tipo sociale: la qualità del prodotto venduto, in quei casi, non è sempre assicurata. L'elemento educativo non deve strumentalizzare l'attività agricola. Sono due cose che vanno tenute distinte. In sostanza bisogna stare attenti affinché l'elemento agricolo, nella fattoria</w:t>
      </w:r>
      <w:r w:rsidR="00E514AA">
        <w:t xml:space="preserve"> </w:t>
      </w:r>
      <w:r>
        <w:t xml:space="preserve">sociale ad esempio, non venga sminuito dall'elemento educativo. </w:t>
      </w:r>
    </w:p>
    <w:p w14:paraId="1945DCF8" w14:textId="77777777" w:rsidR="00E514AA" w:rsidRDefault="00E514AA" w:rsidP="00F2699F">
      <w:pPr>
        <w:rPr>
          <w:b/>
        </w:rPr>
      </w:pPr>
    </w:p>
    <w:p w14:paraId="6D3BE831" w14:textId="78B6D63D" w:rsidR="00F2699F" w:rsidRPr="0095379C" w:rsidRDefault="00F2699F" w:rsidP="00F2699F">
      <w:pPr>
        <w:rPr>
          <w:b/>
        </w:rPr>
      </w:pPr>
      <w:r>
        <w:rPr>
          <w:b/>
        </w:rPr>
        <w:t>Cosa può</w:t>
      </w:r>
      <w:r w:rsidRPr="0095379C">
        <w:rPr>
          <w:b/>
        </w:rPr>
        <w:t xml:space="preserve"> dire riguardo al ruolo dei GAL umbri nel favorire la parità di genere in agricoltura?</w:t>
      </w:r>
    </w:p>
    <w:p w14:paraId="2E47821C" w14:textId="5B547ED9" w:rsidR="00F2699F" w:rsidRDefault="00F2699F" w:rsidP="00F2699F">
      <w:r>
        <w:t xml:space="preserve">Non hanno influito significativamente, non mi pare di aver visto niente di particolarmente qualificante. Direi che sono tutti quanti più orientati a rispondere alle esigenze dei </w:t>
      </w:r>
      <w:r w:rsidR="00E514AA">
        <w:t>C</w:t>
      </w:r>
      <w:r>
        <w:t xml:space="preserve">omuni; e questo è uno dei </w:t>
      </w:r>
      <w:r w:rsidR="00E514AA">
        <w:t>limiti</w:t>
      </w:r>
      <w:r>
        <w:t xml:space="preserve"> maggiori dei GAL. Se il GAL è uno strumento di gestione dei comuni staremmo utilizzando un altro strumento rispetto a quanto ha in mente l'Europa. L'elemento centrale dei GAL dovrebbe essere quello di favorire l'aggregazione di una serie di risorse in base alle caratteristiche </w:t>
      </w:r>
      <w:r w:rsidR="00E514AA">
        <w:t>del territorio</w:t>
      </w:r>
      <w:r>
        <w:t xml:space="preserve">. Se, diversamente, il GAL si specializza su attività proprie dei </w:t>
      </w:r>
      <w:r w:rsidR="00E514AA">
        <w:t>C</w:t>
      </w:r>
      <w:r>
        <w:t>omuni (come ad esempio il restauro di una chiesa</w:t>
      </w:r>
      <w:r w:rsidR="00E514AA">
        <w:t xml:space="preserve"> senza inserire l’opera in un progetto più ampio, ad esempio di promozione del territorio in chiave turistica</w:t>
      </w:r>
      <w:r>
        <w:t xml:space="preserve">), persegue un altro obiettivo. In generale, potrei dire che i GAL sono troppo sbilanciati verso la specificità locale, e questo confligge con il principio di progettazione dal basso. La progettazione dal basso fatta dalle istituzioni, ovvero dai </w:t>
      </w:r>
      <w:r w:rsidR="00E514AA">
        <w:t>Co</w:t>
      </w:r>
      <w:r>
        <w:t xml:space="preserve">muni, non consente un vero bilanciamento delle risorse perché le reali istanze dal basso vengono filtrate a livello comunale. Ciò spesso contribuisce al fatto che molteplici soggetti chiedono i finanziamenti per le stesse cose. </w:t>
      </w:r>
    </w:p>
    <w:p w14:paraId="08572BA4" w14:textId="075F2E44" w:rsidR="00F2699F" w:rsidRDefault="00F2699F" w:rsidP="00F2699F">
      <w:r>
        <w:lastRenderedPageBreak/>
        <w:t xml:space="preserve">Senza dubbio c'è bisogno di semplificare, rendendo i soggetti capaci di differenziarsi nelle richieste di finanziamento. L'elemento da aggiungere qui, probabilmente, è una misurazione di efficacia, su quanto l'intervento ha contribuito a “spostare” qualcosa. Il restauro di una chiesa, ad esempio, nonostante sia una bella iniziativa, non garantisce un aumento effettivo delle visite nel centro storico. Se faccio restauro e poi </w:t>
      </w:r>
      <w:r w:rsidR="00E514AA">
        <w:t>promozione</w:t>
      </w:r>
      <w:r>
        <w:t>, potrebbero andarci 100 persone, e quindi ho provocato uno spostamento di qualcosa, da intendersi come interesse, risorse, visibilità o qualsiasi altro beneficio. L'elemento della fruizione è lasciato troppo implicito, e non ha il peso che invece dovrebbe avere; così tutto si riduce all'efficienza e non c’è nessun valore aggiunto e nessun processo virtuoso messo in atto. Avere tante domande quindi non è sempre un dato positivo, perché potrebbe significare che in molti hanno risposto a un incentivo a realizzare prodotti invece che a raggiungere degli obiettivi.</w:t>
      </w:r>
    </w:p>
    <w:p w14:paraId="253D842E" w14:textId="77777777" w:rsidR="00E514AA" w:rsidRDefault="00E514AA" w:rsidP="00F2699F">
      <w:pPr>
        <w:rPr>
          <w:b/>
        </w:rPr>
      </w:pPr>
    </w:p>
    <w:p w14:paraId="1331E04A" w14:textId="1A074DB9" w:rsidR="00F2699F" w:rsidRPr="008A6C6B" w:rsidRDefault="00F2699F" w:rsidP="00F2699F">
      <w:pPr>
        <w:rPr>
          <w:b/>
        </w:rPr>
      </w:pPr>
      <w:r w:rsidRPr="008A6C6B">
        <w:rPr>
          <w:b/>
        </w:rPr>
        <w:t>Se dovesse concentrarsi su un’unica cosa per favorire la parità di genere nello sviluppo agricolo umbro, cosa sceglierebbe?</w:t>
      </w:r>
    </w:p>
    <w:p w14:paraId="7B7622B6" w14:textId="77777777" w:rsidR="00F2699F" w:rsidRDefault="00F2699F" w:rsidP="00F2699F">
      <w:r>
        <w:t xml:space="preserve">Sottolineerei che la presenza femminile debba essere effettiva nella gestione aziendale (vale anche per i giovani). </w:t>
      </w:r>
      <w:r w:rsidRPr="008A6C6B">
        <w:t>Incentivare ulteriormente la pres</w:t>
      </w:r>
      <w:r>
        <w:t>e</w:t>
      </w:r>
      <w:r w:rsidRPr="008A6C6B">
        <w:t xml:space="preserve">nza </w:t>
      </w:r>
      <w:r>
        <w:t>f</w:t>
      </w:r>
      <w:r w:rsidRPr="008A6C6B">
        <w:t>emminile creerebbe un incentivo al fenomeno contrario o al fenomeno fittizio.</w:t>
      </w:r>
    </w:p>
    <w:p w14:paraId="7E1EAA48" w14:textId="7A91A34A" w:rsidR="00F2699F" w:rsidRDefault="00F2699F" w:rsidP="00F2699F">
      <w:r>
        <w:t>Altro grande problema da risolvere: la formazione che finanzia solo chi ha il nulla osta. Si tratta di un criterio sbagliato perché non si accorda con i tempi di realizzazione di impresa. Non ha molto senso erogare la formazione dopo che il progetto è stato realizzato. Purtroppo funziona così: se non si ha il nulla osta, non mi finanziano la formazione. E quando si riceverà il nulla osta magari i termini delle certificazioni sono scaduti. Bisognerebbe che ci fosse sincronia da parte dell'amminis</w:t>
      </w:r>
      <w:r w:rsidR="00E514AA">
        <w:t xml:space="preserve">trazione (nei diversi uffici). </w:t>
      </w:r>
      <w:r>
        <w:t xml:space="preserve">E anche che </w:t>
      </w:r>
      <w:r w:rsidR="00E514AA">
        <w:t xml:space="preserve">la formazione possa essere anche </w:t>
      </w:r>
      <w:r>
        <w:t>disgiunt</w:t>
      </w:r>
      <w:r w:rsidR="00E514AA">
        <w:t>a dagli investimenti</w:t>
      </w:r>
      <w:r>
        <w:t>: se uno volesse fare solo formazione dovrebbe poter essere in grado di farlo</w:t>
      </w:r>
      <w:r w:rsidR="0090060C">
        <w:t>.</w:t>
      </w:r>
    </w:p>
    <w:p w14:paraId="79FFFAC9" w14:textId="36BBBD01" w:rsidR="00F2699F" w:rsidRDefault="00F2699F" w:rsidP="00F2699F">
      <w:r>
        <w:t>Nella prima fase, c’era un numero altissimo di domande (molte non finanziate), i bandi erano molto “barocchi”, perché andavano ad individuare una serie di esigenze nel dettaglio.</w:t>
      </w:r>
    </w:p>
    <w:p w14:paraId="6C44F81D" w14:textId="494687F1" w:rsidR="00F2699F" w:rsidRDefault="00F2699F" w:rsidP="00F2699F">
      <w:r>
        <w:t>A mio avviso, il bando non deve cristallizzare una realtà presente, deve invece aiutare ad alimentare il mutamento della realtà presente verso gli indirizzi del programma. Se io ho deciso qualcosa per i miei figli (che non è in linea con l'indirizzo del PSR), i criteri non dovrebbero calarsi su di me, con dei piani aziendali articolatissimi che fanno in modo che ciascuno pensi di poter trovare il suo finanziamento. Se il programma dice, ad esempio, che dobbiamo sviluppare una struttura multifunzionale, ed io finanzio lo stesso (tramite una serie di deroghe) una domanda che in fin dei conti non sta sviluppando la multifunzionalità, non ho fatto il mio dovere. Se devo spingere verso una gestione di filiere corte, e poi finanzio chiunque si compri il trattore a prescindere d</w:t>
      </w:r>
      <w:r w:rsidR="00DE683F">
        <w:t>a</w:t>
      </w:r>
      <w:r>
        <w:t xml:space="preserve"> dove vende, non sto realmente mutando la realtà agricola umbra. Stessa cosa se nelle misure ambientali non finanzio la partecipazione alle associazioni, e in qualche modo, tramite altri criteri, risultano comunque ammissibili anche quelle che non prevedono partecipazione. Pur di spendere risorse però si fa così. Tuttavia, a mio avviso, meglio mettere più soldi su alcune misure, facendo una scelta precisa e chiara, rispetto a distribuire i soldi a prescindere.</w:t>
      </w:r>
    </w:p>
    <w:p w14:paraId="2039BFCD" w14:textId="23414342" w:rsidR="00262795" w:rsidRDefault="00F2699F" w:rsidP="00552DB9">
      <w:r>
        <w:t>Altro esempio: nella vecchia programmazione ci furono tantissimi frantoi finanziati, e tali finanziamenti spesso non erano accompagnati</w:t>
      </w:r>
      <w:r w:rsidR="00DE683F">
        <w:t xml:space="preserve"> dall</w:t>
      </w:r>
      <w:r>
        <w:t>'ottimizzazione della commercializzazione dell'olio umbro. Tante cantine, anche piccole, erano riusciti ad avere un frantoio ed ora sono chiuse. in alcuni casi, questo modo di finanziare mette a rischio le imprese. A tal proposito, avevamo richiesto che - ex ante - fosse introdotto l’obbligo di presentare un business plan che aiutasse le imprese a capire la sostenibilità e la fattibilità degli investimenti per i quali si chiedeva un finanziamento (anche confrontandosi con le banche).</w:t>
      </w:r>
      <w:r w:rsidR="0090060C">
        <w:t xml:space="preserve"> </w:t>
      </w:r>
      <w:r>
        <w:t xml:space="preserve">L'elemento finanziario deve infatti essere affrontato infatti all'inizio della procedura di presentazione delle domande. L'entità deve essere comparata con la capacità economica dell'azienda di sostenere le rate dei mutui. Bisogna dialogare con le banche perché esse hanno un interesse diverso da quello dell'impresa (che ha bisogno della liquidità garantita, e questo è l'elemento critico). Utile sarebbe introdurre strumenti finanziari specifici atti ad affrontare questo problema. </w:t>
      </w:r>
    </w:p>
    <w:p w14:paraId="19BE083B" w14:textId="7D90CE35" w:rsidR="0090060C" w:rsidRDefault="0090060C" w:rsidP="00552DB9"/>
    <w:p w14:paraId="4C0C6AFA" w14:textId="00759B3E" w:rsidR="0000764A" w:rsidRPr="0000764A" w:rsidRDefault="0000764A" w:rsidP="0000764A">
      <w:pPr>
        <w:rPr>
          <w:rStyle w:val="Enfasigrassetto"/>
          <w:u w:val="single"/>
        </w:rPr>
      </w:pPr>
      <w:r w:rsidRPr="00F45309">
        <w:rPr>
          <w:rStyle w:val="Enfasigrassetto"/>
          <w:highlight w:val="cyan"/>
          <w:u w:val="single"/>
        </w:rPr>
        <w:lastRenderedPageBreak/>
        <w:t>Maria Vigilante – Donne in campo - CIA (intervista telefonica 19/12/2018)</w:t>
      </w:r>
      <w:bookmarkStart w:id="16" w:name="_GoBack"/>
      <w:bookmarkEnd w:id="16"/>
    </w:p>
    <w:p w14:paraId="3A6D5829" w14:textId="77777777" w:rsidR="00F80613" w:rsidRDefault="00F80613" w:rsidP="0000764A"/>
    <w:p w14:paraId="3009346E" w14:textId="16E51DE2" w:rsidR="0000764A" w:rsidRPr="00F80613" w:rsidRDefault="00F80613" w:rsidP="0000764A">
      <w:pPr>
        <w:rPr>
          <w:b/>
        </w:rPr>
      </w:pPr>
      <w:r w:rsidRPr="00F80613">
        <w:rPr>
          <w:b/>
        </w:rPr>
        <w:t>Ci sono alcune misure del PSR che hanno criteri premiali per le donne (elenco misure)</w:t>
      </w:r>
      <w:r>
        <w:rPr>
          <w:b/>
        </w:rPr>
        <w:t>, altri pur importanti (ad es. l</w:t>
      </w:r>
      <w:r w:rsidRPr="00F80613">
        <w:rPr>
          <w:b/>
        </w:rPr>
        <w:t>a 4.1) invece non ne hanno. Nella valutazione ex ante si spiegava che questa scelta rifletteva un meccanismo passivo, coerente con i bisogni tutto sommato non critici della regione rispetto alla pa</w:t>
      </w:r>
      <w:r>
        <w:rPr>
          <w:b/>
        </w:rPr>
        <w:t>rità</w:t>
      </w:r>
      <w:r w:rsidRPr="00F80613">
        <w:rPr>
          <w:b/>
        </w:rPr>
        <w:t xml:space="preserve"> di genere in agricoltura.</w:t>
      </w:r>
    </w:p>
    <w:p w14:paraId="6C2D2B1D" w14:textId="18EA2DE3" w:rsidR="0000764A" w:rsidRDefault="0000764A" w:rsidP="0000764A">
      <w:r>
        <w:t>Questa è stata una questione su cui diverse associazioni di categoria hanno protestato. Questo sta</w:t>
      </w:r>
      <w:r w:rsidR="00F80613">
        <w:t>t</w:t>
      </w:r>
      <w:r>
        <w:t xml:space="preserve">o di cose è stato giustificato dalla </w:t>
      </w:r>
      <w:r w:rsidR="00F80613">
        <w:t>Regione</w:t>
      </w:r>
      <w:r>
        <w:t xml:space="preserve">, ma rispetto ai precedenti due PSR, che prevedevano buoni punteggi per la </w:t>
      </w:r>
      <w:r w:rsidR="00F80613">
        <w:t>conduzione</w:t>
      </w:r>
      <w:r>
        <w:t xml:space="preserve"> femminile, in questo PSR c'è stata una grossa differenza. </w:t>
      </w:r>
    </w:p>
    <w:p w14:paraId="1BDBD87F" w14:textId="77777777" w:rsidR="0000764A" w:rsidRDefault="0000764A" w:rsidP="0000764A">
      <w:r>
        <w:t>In merito agli agriturismi, ad esempio, nel PSR 2007-2013, a causa del boom degli agriturismi in Umbria, i punteggi premiali andavano a chi aveva già una licenza o un'autorizzazione comunale, in sostanza a chi faceva in qualche modo già attività da agriturismo, e non a chi volesse iniziare ex novo.</w:t>
      </w:r>
    </w:p>
    <w:p w14:paraId="5C0D3569" w14:textId="62C2470E" w:rsidR="0000764A" w:rsidRDefault="0000764A" w:rsidP="0000764A">
      <w:r>
        <w:t xml:space="preserve">Quest'ultimo PSR in Umbria </w:t>
      </w:r>
      <w:r w:rsidR="00F80613">
        <w:t xml:space="preserve">non </w:t>
      </w:r>
      <w:r>
        <w:t>è stato favorevole alle donne in generale.</w:t>
      </w:r>
    </w:p>
    <w:p w14:paraId="0AC2146D" w14:textId="77777777" w:rsidR="00F80613" w:rsidRDefault="00F80613" w:rsidP="0000764A">
      <w:pPr>
        <w:rPr>
          <w:b/>
        </w:rPr>
      </w:pPr>
    </w:p>
    <w:p w14:paraId="01C6DC9B" w14:textId="0A80D041" w:rsidR="0000764A" w:rsidRPr="00F80613" w:rsidRDefault="00F80613" w:rsidP="0000764A">
      <w:pPr>
        <w:rPr>
          <w:b/>
        </w:rPr>
      </w:pPr>
      <w:r w:rsidRPr="00F80613">
        <w:rPr>
          <w:b/>
        </w:rPr>
        <w:t xml:space="preserve">Voi avete partecipato nella fase di pianificazione del </w:t>
      </w:r>
      <w:r w:rsidR="0000764A" w:rsidRPr="00F80613">
        <w:rPr>
          <w:b/>
        </w:rPr>
        <w:t>PSR?</w:t>
      </w:r>
    </w:p>
    <w:p w14:paraId="4509E985" w14:textId="79AC8FB3" w:rsidR="0000764A" w:rsidRDefault="00F80613" w:rsidP="0000764A">
      <w:r>
        <w:t>Certo, c</w:t>
      </w:r>
      <w:r w:rsidR="0000764A">
        <w:t xml:space="preserve">ome presidente di Donne In Campo (CIA), rappresentando categorie di persone (giovani, pensionati, ecc.), faccio parte della giunta. Al suo interno, si discute e le eventuali proteste o i suggerimenti vengono portati in </w:t>
      </w:r>
      <w:r>
        <w:t xml:space="preserve">Regione </w:t>
      </w:r>
      <w:r w:rsidR="0000764A">
        <w:t>da chi poi va a rappresentarci al tavolo verde. La questione del mancato punteggio in tante misure è stato segnalato, anche prima che i bandi venissero completati.</w:t>
      </w:r>
    </w:p>
    <w:p w14:paraId="1FBC310C" w14:textId="77777777" w:rsidR="00F80613" w:rsidRDefault="00F80613" w:rsidP="0000764A">
      <w:pPr>
        <w:rPr>
          <w:b/>
        </w:rPr>
      </w:pPr>
    </w:p>
    <w:p w14:paraId="28506A89" w14:textId="58E336DA" w:rsidR="0000764A" w:rsidRPr="00F80613" w:rsidRDefault="00F80613" w:rsidP="0000764A">
      <w:pPr>
        <w:rPr>
          <w:b/>
        </w:rPr>
      </w:pPr>
      <w:r>
        <w:rPr>
          <w:b/>
        </w:rPr>
        <w:t>In che modo è</w:t>
      </w:r>
      <w:r w:rsidRPr="00F80613">
        <w:rPr>
          <w:b/>
        </w:rPr>
        <w:t xml:space="preserve"> stata recepita questa istanza dalla Regione?</w:t>
      </w:r>
    </w:p>
    <w:p w14:paraId="3013E4BC" w14:textId="5C7A24F8" w:rsidR="0000764A" w:rsidRDefault="0000764A" w:rsidP="0000764A">
      <w:r>
        <w:t xml:space="preserve">Evidentemente non è stata recepita. I bandi in questo PSR sono più complicati a livello burocratico di quanto non lo fossero i bandi dei PSR passati. </w:t>
      </w:r>
    </w:p>
    <w:p w14:paraId="063AC768" w14:textId="1CD0E4CA" w:rsidR="0000764A" w:rsidRDefault="0000764A" w:rsidP="0000764A">
      <w:r>
        <w:t xml:space="preserve">L'apertura dei bandi di questo PSR </w:t>
      </w:r>
      <w:r w:rsidR="00F80613">
        <w:t xml:space="preserve">è avvenuta </w:t>
      </w:r>
      <w:r>
        <w:t xml:space="preserve">molto in ritardo, tuttavia quando si </w:t>
      </w:r>
      <w:r w:rsidR="00F80613">
        <w:t xml:space="preserve">è </w:t>
      </w:r>
      <w:r>
        <w:t>arriv</w:t>
      </w:r>
      <w:r w:rsidR="00F80613">
        <w:t>ati</w:t>
      </w:r>
      <w:r>
        <w:t xml:space="preserve"> al momento, fu fatta grande pubblicità per invitare a partecipare ai bandi. Si sottolineava (in particolare l'assessore Cecchini) che sarebbe stata un'opportunità da non perdere perché c'era necessità di riuscire a spendere i soldi europei. Quando poi sono usciti alcuni di questi bandi (ad es. per i giovani), la realtà fu che in molti si trovarono in difficoltà perché nonostante il grande impegno richiesto per presentare la domanda (a livello temporale, economico e burocratico) ricevettero come risposta che "non c'erano soldi". Era successo che molti soldi erano stati allocati all'agroindustria umbra - causando le proteste delle associazioni di categoria, tranne Coldiretti - per esempio a Grifolatte, Farchioni, ecc. E così, molti giovani ricevettero come risposta che la domanda era finanziabile ma che purtroppo non sarebbe stata finanziata perché non c'erano soldi. </w:t>
      </w:r>
    </w:p>
    <w:p w14:paraId="1800A2B9" w14:textId="2C28521B" w:rsidR="0000764A" w:rsidRDefault="0000764A" w:rsidP="0000764A">
      <w:r>
        <w:t xml:space="preserve">Ora, quello che credo che sarà fatto (se non è già stato fatto), sarà riallocare le risorse. La riallocazione da una misura all'altra è una cosa fisiologica e logica alla fine dei PSR, diverso è quello che è successo in quest'ultimo PSR, in cui ci sono state importanti somme che sono andate all'agrindustria, sollevando parecchie perplessità. </w:t>
      </w:r>
      <w:r w:rsidR="00F80613">
        <w:rPr>
          <w:rFonts w:cs="Times New Roman"/>
        </w:rPr>
        <w:t>È</w:t>
      </w:r>
      <w:r>
        <w:t xml:space="preserve"> stato risposto che su carta non sono riscontrabili illeciti, ma come CIA abbiamo chiesto che vengano applicati dei massimali per certe misure, così da mettere un limite al fenomeno. </w:t>
      </w:r>
      <w:r w:rsidR="005F3D94">
        <w:t>È</w:t>
      </w:r>
      <w:r>
        <w:t xml:space="preserve"> chiaro che se sono un'azienda agroindustriale con un 1.000.000 di euro di fatturato possono richiedere un cofinanziamento su un importo anche di 2.000.000, mentre le piccole aziende viaggiano su somme di 100.000 euro per le quali è fattibili richiedere in banca 40-50.0000 euro. </w:t>
      </w:r>
    </w:p>
    <w:p w14:paraId="6B6F40B0" w14:textId="77777777" w:rsidR="0000764A" w:rsidRDefault="0000764A" w:rsidP="0000764A"/>
    <w:p w14:paraId="26118398" w14:textId="0EB525EF" w:rsidR="0000764A" w:rsidRPr="00F80613" w:rsidRDefault="00F80613" w:rsidP="0000764A">
      <w:pPr>
        <w:rPr>
          <w:b/>
        </w:rPr>
      </w:pPr>
      <w:r w:rsidRPr="00F80613">
        <w:rPr>
          <w:b/>
        </w:rPr>
        <w:t>Ritorn</w:t>
      </w:r>
      <w:r>
        <w:rPr>
          <w:b/>
        </w:rPr>
        <w:t>ando</w:t>
      </w:r>
      <w:r w:rsidRPr="00F80613">
        <w:rPr>
          <w:b/>
        </w:rPr>
        <w:t xml:space="preserve"> </w:t>
      </w:r>
      <w:r>
        <w:rPr>
          <w:b/>
        </w:rPr>
        <w:t>alla parità</w:t>
      </w:r>
      <w:r w:rsidRPr="00F80613">
        <w:rPr>
          <w:b/>
        </w:rPr>
        <w:t xml:space="preserve"> di genere in Umbria, come vede la situazione a livello generale?</w:t>
      </w:r>
    </w:p>
    <w:p w14:paraId="08F2282D" w14:textId="6F4C1F88" w:rsidR="0000764A" w:rsidRDefault="0000764A" w:rsidP="0000764A">
      <w:r>
        <w:t xml:space="preserve">In Italia circa il 30-33% delle aziende agricole sono a conduzione femminile. In questi anni della crisi, hanno chiuso meno aziende agricole a conduzione femminile rispetto a quelle maschi. I motivi sono </w:t>
      </w:r>
      <w:r>
        <w:lastRenderedPageBreak/>
        <w:t>vari: 1) la multifunzionalità delle piccole-medie aziende agricole, che dall'inizio degli anni duemila ha continuato ad aumentare, anche grazie ai vari PSR. Per esempio, gli agriturismi che dapprima doveva essere un'attività di supporto all'attività agricola, ora spesso nascono da subito come attività di ospitalità di lusso (se hanno i criteri giusti, ovviamente). Una cosa che è cambiata dai primi PSR invece, è tutto ciò che riguarda gli agricatering e l'agri-sociale che, tolte le fattorie didattiche</w:t>
      </w:r>
      <w:r w:rsidR="00F80613">
        <w:t xml:space="preserve"> che</w:t>
      </w:r>
      <w:r>
        <w:t xml:space="preserve"> esistevano in Umbria già da fine anni 90, ha </w:t>
      </w:r>
      <w:r w:rsidR="00F80613">
        <w:t>rappresentato</w:t>
      </w:r>
      <w:r>
        <w:t xml:space="preserve"> una novità più recente il cui successo è da imputare al fattore femminile. </w:t>
      </w:r>
    </w:p>
    <w:p w14:paraId="4CFC048A" w14:textId="622D009F" w:rsidR="0000764A" w:rsidRPr="00F80613" w:rsidRDefault="00F80613" w:rsidP="0000764A">
      <w:pPr>
        <w:rPr>
          <w:b/>
        </w:rPr>
      </w:pPr>
      <w:r w:rsidRPr="00F80613">
        <w:rPr>
          <w:b/>
        </w:rPr>
        <w:t>Quali sono state le condizioni che hanno favorito lo sviluppo dell'agrisociale?</w:t>
      </w:r>
    </w:p>
    <w:p w14:paraId="7B46F2D4" w14:textId="3C56B866" w:rsidR="0000764A" w:rsidRDefault="0000764A" w:rsidP="0000764A">
      <w:r>
        <w:t>Direi da una parte la necessità di chi ha bisogno di un introito aggiuntivo per tenere in piedi l'azienda e dall'altra parte la necess</w:t>
      </w:r>
      <w:r w:rsidR="005F3D94">
        <w:t xml:space="preserve">ità di avere alcuni servizi in </w:t>
      </w:r>
      <w:r>
        <w:t>aree in cui non ci sono servizi. Per esempio, gli agriasili, che reputo un'attività molto interessante, hanno portato in alcuni casi alla creazione di un'ulteriore attività: l'agricatering. Capitava magari che i genitori che arrivavano a prendere i figli all'agriasilo pian piano chiedevano di poter comprare i prodotti che vedevano cucinati all'interno dell'agriasilo. Ovviamente il percorso per regolamentare l'agricatering (attività nuova e non regolamentata) è stato impegnativo ma è risultato dalla necessità di creare delle norme per un fenomeno nuovo. In Umbria mi sembra ci siano alcuni agricatering. Altri esempi di agricoltura sociale, sono gli agriturismi con attività specifiche per i disabili.</w:t>
      </w:r>
    </w:p>
    <w:p w14:paraId="679E099C" w14:textId="77777777" w:rsidR="005F3D94" w:rsidRDefault="005F3D94" w:rsidP="0000764A">
      <w:pPr>
        <w:rPr>
          <w:b/>
        </w:rPr>
      </w:pPr>
    </w:p>
    <w:p w14:paraId="6BDEA0E7" w14:textId="183C97F3" w:rsidR="0000764A" w:rsidRPr="00F80613" w:rsidRDefault="00F80613" w:rsidP="0000764A">
      <w:pPr>
        <w:rPr>
          <w:b/>
        </w:rPr>
      </w:pPr>
      <w:r w:rsidRPr="00F80613">
        <w:rPr>
          <w:b/>
        </w:rPr>
        <w:t>I dati s</w:t>
      </w:r>
      <w:r w:rsidR="005F3D94">
        <w:rPr>
          <w:b/>
        </w:rPr>
        <w:t>ulle misure che hanno premialità</w:t>
      </w:r>
      <w:r w:rsidRPr="00F80613">
        <w:rPr>
          <w:b/>
        </w:rPr>
        <w:t xml:space="preserve"> delle donne non sono ancora usciti, tuttavia vorrei chiederle un giud</w:t>
      </w:r>
      <w:r w:rsidR="005F3D94">
        <w:rPr>
          <w:b/>
        </w:rPr>
        <w:t>izio complessivo sulla capacità</w:t>
      </w:r>
      <w:r w:rsidRPr="00F80613">
        <w:rPr>
          <w:b/>
        </w:rPr>
        <w:t xml:space="preserve"> di q</w:t>
      </w:r>
      <w:r w:rsidR="005F3D94">
        <w:rPr>
          <w:b/>
        </w:rPr>
        <w:t>uesto PSR di favorire la parità</w:t>
      </w:r>
      <w:r w:rsidRPr="00F80613">
        <w:rPr>
          <w:b/>
        </w:rPr>
        <w:t xml:space="preserve"> di genere nell'agricoltura umbra.</w:t>
      </w:r>
    </w:p>
    <w:p w14:paraId="56CFC1B7" w14:textId="12223F2C" w:rsidR="0000764A" w:rsidRDefault="0000764A" w:rsidP="0000764A">
      <w:r>
        <w:t>Darei un giudizio negativo. Il fatto che non siano ancora usciti i bandi di quelle misure la dice lunga. Le motivazioni, da un punto di vista non tecnico ma dalla percezione che ho, sono le seguenti: a) poca fiducia, perché si ha la percezione che nessuno si sia preoccupato di rendere l'iter burocratico più facile. Alcune persone dunque rinunciano (tra cui le conduttrici di impresa). b) è difficile iniziare da zero. Ciò che si vede su Linea Verde la domenica, dove sono mostrati gli esempi più positivi di donne e giovani che si mettono a capo dell'azienda agricola, rispecchia poco la realtà. La maggior parte delle aziende rilevate da giovani o donne si basano su terreni e capitali che già appartengono alla famiglia. Prima di iniziare tutto ex novo significa comprare la terra, fare gli investimenti che servono per l'avviamento dell'attività, combattere con la burocrazia, avere obblighi burocratici fiscali e legali, è normale che ci si pensi. Similmen</w:t>
      </w:r>
      <w:r w:rsidR="005F3D94">
        <w:t>te al PSR, anche i finanziamenti</w:t>
      </w:r>
      <w:r>
        <w:t xml:space="preserve"> dell'ISMEA funzionano così. Se non hai un qualche vantaggio (terra o strutture che già ci sono, magari da ristrutturare), iniziare da zero ti spaventa. Tutte le misure dunque, e specialmente queste misure per le donne e i giovani, devono essere misure concrete, in cui sia facile seguire l'iter. Dal PSR scorso al nuovo, ho notato invece un peggioramento a livello burocratico.</w:t>
      </w:r>
    </w:p>
    <w:p w14:paraId="489649F1" w14:textId="77777777" w:rsidR="005F3D94" w:rsidRDefault="005F3D94" w:rsidP="005F3D94">
      <w:pPr>
        <w:rPr>
          <w:b/>
        </w:rPr>
      </w:pPr>
    </w:p>
    <w:p w14:paraId="7B4776CC" w14:textId="6322C96D" w:rsidR="0000764A" w:rsidRPr="005F3D94" w:rsidRDefault="005F3D94" w:rsidP="005F3D94">
      <w:pPr>
        <w:rPr>
          <w:b/>
        </w:rPr>
      </w:pPr>
      <w:r>
        <w:rPr>
          <w:b/>
        </w:rPr>
        <w:t>Quindi</w:t>
      </w:r>
      <w:r w:rsidRPr="005F3D94">
        <w:rPr>
          <w:b/>
        </w:rPr>
        <w:t xml:space="preserve">, lei </w:t>
      </w:r>
      <w:r>
        <w:rPr>
          <w:b/>
        </w:rPr>
        <w:t>sostiene</w:t>
      </w:r>
      <w:r w:rsidRPr="005F3D94">
        <w:rPr>
          <w:b/>
        </w:rPr>
        <w:t xml:space="preserve"> che sia per le misure per la modernizzazione delle aziende agricole sia quelle per lo sviluppo di attività extra-agricole </w:t>
      </w:r>
      <w:r>
        <w:rPr>
          <w:b/>
        </w:rPr>
        <w:t>vi sia</w:t>
      </w:r>
      <w:r w:rsidRPr="005F3D94">
        <w:rPr>
          <w:b/>
        </w:rPr>
        <w:t xml:space="preserve"> una sorta di selezione in entrata: solo chi ha sufficienti capacità (economiche, tecniche e temporali) riesce a partecipare realmente.</w:t>
      </w:r>
    </w:p>
    <w:p w14:paraId="7FA570D5" w14:textId="7F156910" w:rsidR="0000764A" w:rsidRDefault="0000764A" w:rsidP="0000764A">
      <w:r>
        <w:t xml:space="preserve">Esattamente. Se per fare una domanda viene richiesta una trafila di passaggi molto lunga e </w:t>
      </w:r>
      <w:r w:rsidR="005F3D94">
        <w:t>il coinvolgimento</w:t>
      </w:r>
      <w:r>
        <w:t xml:space="preserve"> di così tante figure tecniche (geometri, geologi, ecc.), diventa difficilissimo partecipare. </w:t>
      </w:r>
    </w:p>
    <w:p w14:paraId="072C7874" w14:textId="77777777" w:rsidR="005F3D94" w:rsidRDefault="005F3D94" w:rsidP="0000764A">
      <w:pPr>
        <w:rPr>
          <w:b/>
        </w:rPr>
      </w:pPr>
    </w:p>
    <w:p w14:paraId="08E69DFC" w14:textId="31EDB459" w:rsidR="0000764A" w:rsidRPr="005F3D94" w:rsidRDefault="005F3D94" w:rsidP="0000764A">
      <w:pPr>
        <w:rPr>
          <w:b/>
        </w:rPr>
      </w:pPr>
      <w:r w:rsidRPr="005F3D94">
        <w:rPr>
          <w:b/>
        </w:rPr>
        <w:t>Vede altre debolezze rispetto alla parità di genere in agricoltura in Umbria?</w:t>
      </w:r>
    </w:p>
    <w:p w14:paraId="124770BE" w14:textId="3E3C2BF7" w:rsidR="0000764A" w:rsidRDefault="0000764A" w:rsidP="0000764A">
      <w:r>
        <w:t>No, direi che quelle che le ho detto sono tutte.</w:t>
      </w:r>
    </w:p>
    <w:p w14:paraId="59BCD23C" w14:textId="4EF8BFA2" w:rsidR="0000764A" w:rsidRPr="005F3D94" w:rsidRDefault="005F3D94" w:rsidP="0000764A">
      <w:pPr>
        <w:rPr>
          <w:b/>
        </w:rPr>
      </w:pPr>
      <w:r w:rsidRPr="005F3D94">
        <w:rPr>
          <w:b/>
        </w:rPr>
        <w:t>Cosa ne pensa del fenomeno dei conduttori o proprietari fittizi di aziend</w:t>
      </w:r>
      <w:r>
        <w:rPr>
          <w:b/>
        </w:rPr>
        <w:t>e</w:t>
      </w:r>
      <w:r w:rsidRPr="005F3D94">
        <w:rPr>
          <w:b/>
        </w:rPr>
        <w:t xml:space="preserve"> agricol</w:t>
      </w:r>
      <w:r>
        <w:rPr>
          <w:b/>
        </w:rPr>
        <w:t>e</w:t>
      </w:r>
      <w:r w:rsidRPr="005F3D94">
        <w:rPr>
          <w:b/>
        </w:rPr>
        <w:t xml:space="preserve"> nei bandi per giovani e donne</w:t>
      </w:r>
      <w:r w:rsidR="0000764A" w:rsidRPr="005F3D94">
        <w:rPr>
          <w:b/>
        </w:rPr>
        <w:t>?</w:t>
      </w:r>
    </w:p>
    <w:p w14:paraId="3BDA1DE4" w14:textId="25AE247F" w:rsidR="0000764A" w:rsidRDefault="0000764A" w:rsidP="0000764A">
      <w:r>
        <w:lastRenderedPageBreak/>
        <w:t xml:space="preserve">Come dice lei, queste cose possono capitare ed è un problema che c'è sempre: negli anni in cui c'erano finanziamenti per le aziende giovanili capitava che i genitori intestassero l'azienda al figlio. Però penso che oramai sia più raro. </w:t>
      </w:r>
    </w:p>
    <w:p w14:paraId="4A18A268" w14:textId="77777777" w:rsidR="005F3D94" w:rsidRDefault="005F3D94" w:rsidP="0000764A">
      <w:pPr>
        <w:rPr>
          <w:b/>
        </w:rPr>
      </w:pPr>
    </w:p>
    <w:p w14:paraId="18580C0D" w14:textId="77777777" w:rsidR="005F3D94" w:rsidRPr="005F3D94" w:rsidRDefault="005F3D94" w:rsidP="005F3D94">
      <w:pPr>
        <w:rPr>
          <w:b/>
        </w:rPr>
      </w:pPr>
      <w:r w:rsidRPr="005F3D94">
        <w:rPr>
          <w:b/>
        </w:rPr>
        <w:t>Nei piani dei GAL c'è l'obbligo di inclusione sociale delle fasce deboli, dai GAL ha avuto qualche riscontro per quanto riguarda la problematica di genere?</w:t>
      </w:r>
    </w:p>
    <w:p w14:paraId="04D30593" w14:textId="323A6560" w:rsidR="005F3D94" w:rsidRDefault="005F3D94" w:rsidP="005F3D94">
      <w:r>
        <w:t>Non sono molto informata su ciò purtroppo.</w:t>
      </w:r>
    </w:p>
    <w:p w14:paraId="64893378" w14:textId="77777777" w:rsidR="005F3D94" w:rsidRDefault="005F3D94" w:rsidP="0000764A">
      <w:pPr>
        <w:rPr>
          <w:b/>
        </w:rPr>
      </w:pPr>
    </w:p>
    <w:p w14:paraId="39B9825B" w14:textId="2C661D92" w:rsidR="0000764A" w:rsidRPr="005F3D94" w:rsidRDefault="005F3D94" w:rsidP="0000764A">
      <w:pPr>
        <w:rPr>
          <w:b/>
        </w:rPr>
      </w:pPr>
      <w:r w:rsidRPr="005F3D94">
        <w:rPr>
          <w:b/>
        </w:rPr>
        <w:t>Ora ci stiamo avviando alla fine del PSR. Se ci fosse una sola priorità che vorrebbe vedere attuata nel nuovo PSR per favorire la parità di genere nell'agricoltura umbra, lei quale direbbe?</w:t>
      </w:r>
    </w:p>
    <w:p w14:paraId="1CCA9E53" w14:textId="7E716766" w:rsidR="0000764A" w:rsidRDefault="005F3D94" w:rsidP="0000764A">
      <w:r>
        <w:t>È</w:t>
      </w:r>
      <w:r w:rsidR="0000764A">
        <w:t xml:space="preserve"> una domanda giusta e non vorrei dare una risposta superficiale o da manuale. Direi: meno burocrazia, più chiarezza, meno spese, attenzione </w:t>
      </w:r>
      <w:r>
        <w:t>istituzionale</w:t>
      </w:r>
      <w:r w:rsidR="0000764A">
        <w:t xml:space="preserve"> al problema del credito (il credito crea un problema di liquidità per chi deve sostenere le spese cofinanziate), velocizzare il processo e facilitare la comunicazione con la regione. Molta gente lascia perdere durante il tragitto: se faccio domanda nel 2016 e mi arriva la risposta nel 2019 è logico che io abbia altri progetti di vita.</w:t>
      </w:r>
    </w:p>
    <w:p w14:paraId="242891A6" w14:textId="442220A0" w:rsidR="0000764A" w:rsidRDefault="005F3D94" w:rsidP="0000764A">
      <w:r>
        <w:t>Inoltre,</w:t>
      </w:r>
      <w:r w:rsidR="0000764A">
        <w:t xml:space="preserve"> puntare sui servizi extra-agricoli, che possono dare un'immagine diversa dell'azienda agricola (agriasili, attività per bambini e disabili). A tal proposito si può facilitare la formazione delle figure interne all'azienda che devono prendere in carico queste nuove attività (così da evitare di dover dipendere da cooperative con personale esterno). </w:t>
      </w:r>
    </w:p>
    <w:p w14:paraId="11868A2E" w14:textId="77777777" w:rsidR="005F3D94" w:rsidRDefault="005F3D94" w:rsidP="0000764A">
      <w:pPr>
        <w:rPr>
          <w:b/>
        </w:rPr>
      </w:pPr>
    </w:p>
    <w:p w14:paraId="13163972" w14:textId="554AFF90" w:rsidR="0000764A" w:rsidRPr="005F3D94" w:rsidRDefault="005F3D94" w:rsidP="0000764A">
      <w:pPr>
        <w:rPr>
          <w:b/>
        </w:rPr>
      </w:pPr>
      <w:r w:rsidRPr="005F3D94">
        <w:rPr>
          <w:b/>
        </w:rPr>
        <w:t>Le statistiche ci dicono che dal 2011 al 2016 la partecipazione femminile ai bandi PSR è salita dal 36% al 38% (dunque nella media italiana, e anzi nella fascia medioalta), queste tuttavia informazioni mettono in luce molte elementi che non possono essere riassunti in numeri.</w:t>
      </w:r>
    </w:p>
    <w:p w14:paraId="56A6769F" w14:textId="6355782B" w:rsidR="0000764A" w:rsidRDefault="0000764A" w:rsidP="0000764A">
      <w:r>
        <w:t xml:space="preserve">Esatto. Tenendo conto di quello che abbiamo detto infatti, le dico che molte donne non hanno </w:t>
      </w:r>
      <w:r w:rsidR="005F3D94">
        <w:t>partecipato</w:t>
      </w:r>
      <w:r>
        <w:t xml:space="preserve"> affatto ai bandi, e dunque il miglioramento potenziale sarebbe potuto essere molto più alto.</w:t>
      </w:r>
    </w:p>
    <w:p w14:paraId="3743C6B5" w14:textId="7AD82BC7" w:rsidR="00170773" w:rsidRDefault="00170773">
      <w:pPr>
        <w:spacing w:before="0" w:after="160" w:line="259" w:lineRule="auto"/>
        <w:jc w:val="left"/>
      </w:pPr>
      <w:r>
        <w:br w:type="page"/>
      </w:r>
    </w:p>
    <w:p w14:paraId="37AB0E27" w14:textId="07FBB9F3" w:rsidR="00170773" w:rsidRPr="00170773" w:rsidRDefault="00170773" w:rsidP="00170773">
      <w:pPr>
        <w:rPr>
          <w:rStyle w:val="Enfasigrassetto"/>
          <w:bCs w:val="0"/>
          <w:u w:val="single"/>
        </w:rPr>
      </w:pPr>
      <w:r w:rsidRPr="00170773">
        <w:rPr>
          <w:rStyle w:val="Enfasigrassetto"/>
          <w:bCs w:val="0"/>
          <w:u w:val="single"/>
        </w:rPr>
        <w:lastRenderedPageBreak/>
        <w:t xml:space="preserve">Walter Rondolini - </w:t>
      </w:r>
      <w:r>
        <w:rPr>
          <w:rStyle w:val="Enfasigrassetto"/>
          <w:bCs w:val="0"/>
          <w:u w:val="single"/>
        </w:rPr>
        <w:t>R</w:t>
      </w:r>
      <w:r w:rsidRPr="00170773">
        <w:rPr>
          <w:rStyle w:val="Enfasigrassetto"/>
          <w:bCs w:val="0"/>
          <w:u w:val="single"/>
        </w:rPr>
        <w:t xml:space="preserve">esponsabile regionale </w:t>
      </w:r>
      <w:r>
        <w:rPr>
          <w:rStyle w:val="Enfasigrassetto"/>
          <w:bCs w:val="0"/>
          <w:u w:val="single"/>
        </w:rPr>
        <w:t xml:space="preserve">della SM 6.1.1 e </w:t>
      </w:r>
      <w:r w:rsidRPr="00170773">
        <w:rPr>
          <w:rStyle w:val="Enfasigrassetto"/>
          <w:bCs w:val="0"/>
          <w:u w:val="single"/>
        </w:rPr>
        <w:t>della sezione investimenti delle imprese agricole ed imprenditoria femminile e giovanile</w:t>
      </w:r>
      <w:r>
        <w:rPr>
          <w:rStyle w:val="Enfasigrassetto"/>
          <w:bCs w:val="0"/>
          <w:u w:val="single"/>
        </w:rPr>
        <w:t xml:space="preserve"> (intervista de visu)</w:t>
      </w:r>
    </w:p>
    <w:p w14:paraId="1354E9A2" w14:textId="77777777" w:rsidR="00170773" w:rsidRDefault="00170773" w:rsidP="00170773"/>
    <w:p w14:paraId="4C1F0B29" w14:textId="1A834735" w:rsidR="00170773" w:rsidRPr="00170773" w:rsidRDefault="00170773" w:rsidP="00170773">
      <w:pPr>
        <w:rPr>
          <w:b/>
        </w:rPr>
      </w:pPr>
      <w:r w:rsidRPr="00170773">
        <w:rPr>
          <w:b/>
        </w:rPr>
        <w:t xml:space="preserve">In merito all'andamento e ai risultati raggiunti </w:t>
      </w:r>
      <w:r>
        <w:rPr>
          <w:b/>
        </w:rPr>
        <w:t>dalla</w:t>
      </w:r>
      <w:r w:rsidRPr="00170773">
        <w:rPr>
          <w:b/>
        </w:rPr>
        <w:t xml:space="preserve"> misura, quale differenza sottolineerebbe tra </w:t>
      </w:r>
      <w:r>
        <w:rPr>
          <w:b/>
        </w:rPr>
        <w:t xml:space="preserve">la </w:t>
      </w:r>
      <w:r w:rsidRPr="00170773">
        <w:rPr>
          <w:b/>
        </w:rPr>
        <w:t>programmazione 2007/2013 e nuova programmazione?</w:t>
      </w:r>
    </w:p>
    <w:p w14:paraId="3413425C" w14:textId="5F424D32" w:rsidR="00170773" w:rsidRPr="00170773" w:rsidRDefault="00170773" w:rsidP="00170773">
      <w:pPr>
        <w:rPr>
          <w:sz w:val="20"/>
        </w:rPr>
      </w:pPr>
    </w:p>
    <w:p w14:paraId="61E58EA6" w14:textId="4727AEA1" w:rsidR="00170773" w:rsidRPr="00170773" w:rsidRDefault="00170773" w:rsidP="00170773">
      <w:pPr>
        <w:rPr>
          <w:color w:val="000000"/>
          <w:sz w:val="20"/>
        </w:rPr>
      </w:pPr>
      <w:r w:rsidRPr="00170773">
        <w:rPr>
          <w:color w:val="000000"/>
          <w:szCs w:val="24"/>
        </w:rPr>
        <w:t xml:space="preserve">Nella precedente programmazione, la </w:t>
      </w:r>
      <w:r w:rsidRPr="00170773">
        <w:rPr>
          <w:b/>
          <w:bCs/>
          <w:color w:val="000000"/>
          <w:szCs w:val="24"/>
        </w:rPr>
        <w:t>misura 112 I</w:t>
      </w:r>
      <w:r w:rsidRPr="00170773">
        <w:rPr>
          <w:color w:val="000000"/>
          <w:szCs w:val="24"/>
        </w:rPr>
        <w:t>nsediamento di giovani agricoltori ha sostenuto anche l'imprenditoria femminile.</w:t>
      </w:r>
    </w:p>
    <w:p w14:paraId="3E9E5E3B" w14:textId="4A43EA0F" w:rsidR="00170773" w:rsidRPr="00170773" w:rsidRDefault="00170773" w:rsidP="00170773">
      <w:pPr>
        <w:rPr>
          <w:color w:val="000000"/>
          <w:sz w:val="20"/>
        </w:rPr>
      </w:pPr>
      <w:r w:rsidRPr="00170773">
        <w:rPr>
          <w:color w:val="000000"/>
          <w:szCs w:val="24"/>
        </w:rPr>
        <w:t>L’obiettivo specifico della misura era quello di favorire il ricam</w:t>
      </w:r>
      <w:r>
        <w:rPr>
          <w:color w:val="000000"/>
          <w:szCs w:val="24"/>
        </w:rPr>
        <w:t>bio generazionale nelle imprese</w:t>
      </w:r>
      <w:r w:rsidRPr="00170773">
        <w:rPr>
          <w:color w:val="000000"/>
          <w:szCs w:val="24"/>
        </w:rPr>
        <w:t xml:space="preserve"> agricole con l’inserimento stabile di giovani agricoltori pro</w:t>
      </w:r>
      <w:r>
        <w:rPr>
          <w:color w:val="000000"/>
          <w:szCs w:val="24"/>
        </w:rPr>
        <w:t xml:space="preserve">fessionalizzati concorrendo al </w:t>
      </w:r>
      <w:r w:rsidRPr="00170773">
        <w:rPr>
          <w:color w:val="000000"/>
          <w:szCs w:val="24"/>
        </w:rPr>
        <w:t>conseguimento dell’obiettivo strategico comunitario del miglio</w:t>
      </w:r>
      <w:r>
        <w:rPr>
          <w:color w:val="000000"/>
          <w:szCs w:val="24"/>
        </w:rPr>
        <w:t>ramento della competitività dei</w:t>
      </w:r>
      <w:r w:rsidRPr="00170773">
        <w:rPr>
          <w:color w:val="000000"/>
          <w:szCs w:val="24"/>
        </w:rPr>
        <w:t xml:space="preserve"> settori agricolo e forestale.</w:t>
      </w:r>
    </w:p>
    <w:p w14:paraId="5C91D4CC" w14:textId="77777777" w:rsidR="00170773" w:rsidRPr="00170773" w:rsidRDefault="00170773" w:rsidP="00170773">
      <w:pPr>
        <w:rPr>
          <w:color w:val="000000"/>
          <w:sz w:val="20"/>
        </w:rPr>
      </w:pPr>
      <w:r w:rsidRPr="00170773">
        <w:rPr>
          <w:color w:val="000000"/>
          <w:szCs w:val="24"/>
        </w:rPr>
        <w:t>La misura intendeva creare un tessuto regionale d’aziende vitali, condotte da imprenditori giovani dotati di conoscenze e competenze professionali, per questo capaci più degli altri di adattarsi ai mutevoli cambiamenti richiesti dagli attuali orientamenti della politica comunitaria.</w:t>
      </w:r>
    </w:p>
    <w:p w14:paraId="619D8E5E" w14:textId="77777777" w:rsidR="00170773" w:rsidRPr="00170773" w:rsidRDefault="00170773" w:rsidP="00170773">
      <w:pPr>
        <w:rPr>
          <w:color w:val="000000"/>
          <w:sz w:val="20"/>
        </w:rPr>
      </w:pPr>
      <w:r w:rsidRPr="00170773">
        <w:rPr>
          <w:color w:val="000000"/>
          <w:szCs w:val="24"/>
        </w:rPr>
        <w:t>Obiettivo della misura era l’accrescimento della competitività delle imprese agricole orientandole al mercato e alla diversificazione, raccogliendo la sfida dell’innovazione e della qualità, utilizzando le opportunità offerte dall’accesso alla Ricerca &amp; Sviluppo e dall’adozione e diffusione delle Tecnologie dell’Informazione e della Comunicazione.</w:t>
      </w:r>
    </w:p>
    <w:p w14:paraId="746B9A71" w14:textId="77777777" w:rsidR="00170773" w:rsidRPr="00170773" w:rsidRDefault="00170773" w:rsidP="00170773">
      <w:pPr>
        <w:rPr>
          <w:color w:val="000000"/>
          <w:sz w:val="20"/>
        </w:rPr>
      </w:pPr>
      <w:r w:rsidRPr="00170773">
        <w:rPr>
          <w:color w:val="000000"/>
          <w:szCs w:val="24"/>
        </w:rPr>
        <w:t>Pertanto, al fine di raggiungere l’obiettivo specifico sopra indicato, la misura intendeva conseguire i seguenti obiettivi operativi:</w:t>
      </w:r>
    </w:p>
    <w:p w14:paraId="5F10C946" w14:textId="77777777" w:rsidR="00170773" w:rsidRPr="00170773" w:rsidRDefault="00170773" w:rsidP="00170773">
      <w:pPr>
        <w:pStyle w:val="Sommario4"/>
        <w:rPr>
          <w:sz w:val="20"/>
        </w:rPr>
      </w:pPr>
      <w:r w:rsidRPr="00170773">
        <w:t>mantenere i giovani nei territori rurali favorendone l’inserimento in imprese agricole vitali;</w:t>
      </w:r>
    </w:p>
    <w:p w14:paraId="220675BF" w14:textId="77777777" w:rsidR="00170773" w:rsidRPr="00170773" w:rsidRDefault="00170773" w:rsidP="00170773">
      <w:pPr>
        <w:pStyle w:val="Sommario4"/>
        <w:rPr>
          <w:sz w:val="20"/>
        </w:rPr>
      </w:pPr>
      <w:r w:rsidRPr="00170773">
        <w:t>diminuire l’età media dei conduttori di imprese agricole favorendo il ricambio generazionale;</w:t>
      </w:r>
    </w:p>
    <w:p w14:paraId="6CDFE8C4" w14:textId="77777777" w:rsidR="00170773" w:rsidRPr="00170773" w:rsidRDefault="00170773" w:rsidP="00170773">
      <w:pPr>
        <w:pStyle w:val="Sommario4"/>
        <w:rPr>
          <w:sz w:val="20"/>
        </w:rPr>
      </w:pPr>
      <w:r w:rsidRPr="00170773">
        <w:t>migliorare l’efficienza delle imprese favorendo l’inserimento di giovani qualificati.</w:t>
      </w:r>
    </w:p>
    <w:p w14:paraId="78403BB4" w14:textId="12F657BD" w:rsidR="00170773" w:rsidRPr="00FB397A" w:rsidRDefault="00CD1294" w:rsidP="00CD1294">
      <w:r>
        <w:t xml:space="preserve">I bandi emessi all'epoca prevedevano un </w:t>
      </w:r>
      <w:r w:rsidR="00170773" w:rsidRPr="00FB397A">
        <w:t xml:space="preserve">ulteriore punteggio se il </w:t>
      </w:r>
      <w:r>
        <w:t>potenziale beneficiario</w:t>
      </w:r>
      <w:r w:rsidR="00170773" w:rsidRPr="00FB397A">
        <w:t xml:space="preserve"> era </w:t>
      </w:r>
      <w:r>
        <w:t>una donna</w:t>
      </w:r>
      <w:r w:rsidR="00170773" w:rsidRPr="00FB397A">
        <w:t>.</w:t>
      </w:r>
    </w:p>
    <w:p w14:paraId="40D63566" w14:textId="35CA7F63" w:rsidR="00170773" w:rsidRPr="00FB397A" w:rsidRDefault="00170773" w:rsidP="00CD1294">
      <w:r w:rsidRPr="00FB397A">
        <w:t xml:space="preserve">La </w:t>
      </w:r>
      <w:r w:rsidR="00CD1294">
        <w:t xml:space="preserve">misura ha riscosso un grande interesse e la </w:t>
      </w:r>
      <w:r w:rsidRPr="00FB397A">
        <w:t xml:space="preserve">partecipazione femminile è stata ottima </w:t>
      </w:r>
      <w:r w:rsidR="00CD1294">
        <w:t>ed ha finanziato l’insediamento di numerose</w:t>
      </w:r>
      <w:r w:rsidRPr="00FB397A">
        <w:t xml:space="preserve"> giovani imprenditrici</w:t>
      </w:r>
      <w:r w:rsidR="00CD1294">
        <w:t xml:space="preserve"> agricole</w:t>
      </w:r>
      <w:r w:rsidRPr="00FB397A">
        <w:t>.</w:t>
      </w:r>
    </w:p>
    <w:p w14:paraId="74CB695C" w14:textId="77777777" w:rsidR="00170773" w:rsidRPr="00CD1294" w:rsidRDefault="00170773" w:rsidP="00CD1294"/>
    <w:p w14:paraId="15312195" w14:textId="6B5C0CB5" w:rsidR="00CD1294" w:rsidRPr="00CD1294" w:rsidRDefault="00CD1294" w:rsidP="00CD1294">
      <w:r w:rsidRPr="00CD1294">
        <w:t xml:space="preserve">Con la programmazione 2014/2020, questo tipo di sostegno è stato assicurato con </w:t>
      </w:r>
      <w:r w:rsidR="007D35B1">
        <w:t xml:space="preserve">il Pacchetto giovani attivato con </w:t>
      </w:r>
      <w:r w:rsidRPr="00CD1294">
        <w:t xml:space="preserve">la </w:t>
      </w:r>
      <w:r w:rsidR="00170773" w:rsidRPr="00CD1294">
        <w:t>Misura 6 sottomisura 6.1 intervento 6.1.1 "Aiuti all'avviamento d'impresa per giovani agricoltori".</w:t>
      </w:r>
    </w:p>
    <w:p w14:paraId="01D19C7D" w14:textId="0CF85FB3" w:rsidR="00170773" w:rsidRPr="00FB397A" w:rsidRDefault="007D35B1" w:rsidP="007D35B1">
      <w:r w:rsidRPr="00FA5D9D">
        <w:t>Il s</w:t>
      </w:r>
      <w:r w:rsidR="00170773" w:rsidRPr="00FA5D9D">
        <w:t>ostegno</w:t>
      </w:r>
      <w:r>
        <w:t>, come nella precedente programmazione, è rivolto</w:t>
      </w:r>
      <w:r w:rsidR="00170773" w:rsidRPr="00FB397A">
        <w:t xml:space="preserve"> a favore di giovani agricoltori di età compresa tra 18 e 40 anni al momento della pres</w:t>
      </w:r>
      <w:r>
        <w:t xml:space="preserve">entazione della domanda di aiuto, che </w:t>
      </w:r>
      <w:r w:rsidR="00170773" w:rsidRPr="00FB397A">
        <w:t>intendono avviare un'impre</w:t>
      </w:r>
      <w:r>
        <w:t xml:space="preserve">sa agricola e che si insediano </w:t>
      </w:r>
      <w:r w:rsidR="00170773" w:rsidRPr="00FB397A">
        <w:t>per la prima volta come capi az</w:t>
      </w:r>
      <w:r w:rsidR="00FA5D9D">
        <w:t xml:space="preserve">ienda o come ditta individuale </w:t>
      </w:r>
      <w:r w:rsidR="00170773" w:rsidRPr="00FB397A">
        <w:t xml:space="preserve">o associata. Il sostegno </w:t>
      </w:r>
      <w:r w:rsidR="00FA5D9D">
        <w:t>prevede la presentazione di un Piano aziendale</w:t>
      </w:r>
      <w:r w:rsidR="00170773" w:rsidRPr="00FB397A">
        <w:t>.</w:t>
      </w:r>
    </w:p>
    <w:p w14:paraId="616D16D7" w14:textId="2173ACC1" w:rsidR="00170773" w:rsidRPr="00FB397A" w:rsidRDefault="00FA5D9D" w:rsidP="007D35B1">
      <w:r>
        <w:t>A fronte dei bandi emessi,</w:t>
      </w:r>
      <w:r w:rsidR="00170773" w:rsidRPr="00FB397A">
        <w:t xml:space="preserve"> sono state presentate ben 800 domande</w:t>
      </w:r>
      <w:r>
        <w:t xml:space="preserve"> di sostegno, di cui quelle </w:t>
      </w:r>
      <w:r w:rsidR="00170773" w:rsidRPr="00FB397A">
        <w:t xml:space="preserve">ammesse </w:t>
      </w:r>
      <w:r>
        <w:t xml:space="preserve">sono circa </w:t>
      </w:r>
      <w:r w:rsidR="00170773" w:rsidRPr="00FB397A">
        <w:t>250.</w:t>
      </w:r>
    </w:p>
    <w:p w14:paraId="31120F20" w14:textId="33577FB2" w:rsidR="00170773" w:rsidRPr="00FB397A" w:rsidRDefault="00170773" w:rsidP="00FA5D9D">
      <w:r w:rsidRPr="00FB397A">
        <w:t xml:space="preserve">Si nota comunque, che, </w:t>
      </w:r>
      <w:r w:rsidR="00FA5D9D" w:rsidRPr="00FB397A">
        <w:t>nonostante</w:t>
      </w:r>
      <w:r w:rsidRPr="00FB397A">
        <w:t xml:space="preserve"> l'assenza di criteri di selezione e punteggi favorevoli alle </w:t>
      </w:r>
      <w:r w:rsidR="00FA5D9D" w:rsidRPr="00FB397A">
        <w:t>donne</w:t>
      </w:r>
      <w:r w:rsidRPr="00FB397A">
        <w:t xml:space="preserve">, il numero di </w:t>
      </w:r>
      <w:r w:rsidR="00FA5D9D" w:rsidRPr="00FB397A">
        <w:t>domande</w:t>
      </w:r>
      <w:r w:rsidR="00FA5D9D">
        <w:t xml:space="preserve"> presentate da queste ultime</w:t>
      </w:r>
      <w:r w:rsidRPr="00FB397A">
        <w:t xml:space="preserve"> nel complesso risulta aumentato, rispetto al periodo 2007/2013. Si ipotizza, che abbiano fatto domanda un maggior numero di giovani e di d</w:t>
      </w:r>
      <w:r w:rsidR="00FA5D9D">
        <w:t>onne o di giovani donne, anche a causa de</w:t>
      </w:r>
      <w:r w:rsidRPr="00FB397A">
        <w:t xml:space="preserve">l periodo di crisi economica che ha interessato sia a livello nazionale che regionale, i vari </w:t>
      </w:r>
      <w:r w:rsidR="00FA5D9D" w:rsidRPr="00FB397A">
        <w:t>territori</w:t>
      </w:r>
      <w:r w:rsidRPr="00FB397A">
        <w:t>.</w:t>
      </w:r>
    </w:p>
    <w:p w14:paraId="18C2A762" w14:textId="77777777" w:rsidR="00170773" w:rsidRPr="00FB397A" w:rsidRDefault="00170773" w:rsidP="00170773">
      <w:pPr>
        <w:pStyle w:val="Standard"/>
        <w:spacing w:line="360" w:lineRule="auto"/>
        <w:rPr>
          <w:color w:val="000000"/>
          <w:lang w:val="it-IT"/>
        </w:rPr>
      </w:pPr>
    </w:p>
    <w:p w14:paraId="47896DF2" w14:textId="5BCE62D4" w:rsidR="00C12BA7" w:rsidRPr="00170773" w:rsidRDefault="00C12BA7" w:rsidP="00C12BA7">
      <w:pPr>
        <w:rPr>
          <w:rStyle w:val="Enfasigrassetto"/>
          <w:bCs w:val="0"/>
          <w:u w:val="single"/>
        </w:rPr>
      </w:pPr>
      <w:r>
        <w:rPr>
          <w:rStyle w:val="Enfasigrassetto"/>
          <w:bCs w:val="0"/>
          <w:u w:val="single"/>
        </w:rPr>
        <w:lastRenderedPageBreak/>
        <w:t>Chiara Meneguale</w:t>
      </w:r>
      <w:r w:rsidRPr="00170773">
        <w:rPr>
          <w:rStyle w:val="Enfasigrassetto"/>
          <w:bCs w:val="0"/>
          <w:u w:val="single"/>
        </w:rPr>
        <w:t xml:space="preserve"> - </w:t>
      </w:r>
      <w:r>
        <w:rPr>
          <w:rStyle w:val="Enfasigrassetto"/>
          <w:bCs w:val="0"/>
          <w:u w:val="single"/>
        </w:rPr>
        <w:t>R</w:t>
      </w:r>
      <w:r w:rsidRPr="00170773">
        <w:rPr>
          <w:rStyle w:val="Enfasigrassetto"/>
          <w:bCs w:val="0"/>
          <w:u w:val="single"/>
        </w:rPr>
        <w:t xml:space="preserve">esponsabile regionale </w:t>
      </w:r>
      <w:r>
        <w:rPr>
          <w:rStyle w:val="Enfasigrassetto"/>
          <w:bCs w:val="0"/>
          <w:u w:val="single"/>
        </w:rPr>
        <w:t xml:space="preserve">delle SM 6.2 e 6.4 </w:t>
      </w:r>
      <w:r w:rsidRPr="00C12BA7">
        <w:rPr>
          <w:rStyle w:val="Enfasigrassetto"/>
          <w:bCs w:val="0"/>
          <w:u w:val="single"/>
        </w:rPr>
        <w:t>interventi per lo s</w:t>
      </w:r>
      <w:r>
        <w:rPr>
          <w:rStyle w:val="Enfasigrassetto"/>
          <w:bCs w:val="0"/>
          <w:u w:val="single"/>
        </w:rPr>
        <w:t xml:space="preserve">viluppo della diversificazione </w:t>
      </w:r>
      <w:r w:rsidRPr="00C12BA7">
        <w:rPr>
          <w:rStyle w:val="Enfasigrassetto"/>
          <w:bCs w:val="0"/>
          <w:u w:val="single"/>
        </w:rPr>
        <w:t>delle attività agricole</w:t>
      </w:r>
      <w:r>
        <w:rPr>
          <w:rStyle w:val="Enfasigrassetto"/>
          <w:bCs w:val="0"/>
          <w:u w:val="single"/>
        </w:rPr>
        <w:t xml:space="preserve"> (intervista de visu)</w:t>
      </w:r>
    </w:p>
    <w:p w14:paraId="47589E75" w14:textId="77777777" w:rsidR="00170773" w:rsidRPr="005E0CEC" w:rsidRDefault="00170773" w:rsidP="00FF10E0"/>
    <w:p w14:paraId="5C17CB70" w14:textId="3A611196" w:rsidR="00170773" w:rsidRPr="005E0CEC" w:rsidRDefault="00FF10E0" w:rsidP="00FF10E0">
      <w:pPr>
        <w:rPr>
          <w:color w:val="000000"/>
        </w:rPr>
      </w:pPr>
      <w:r w:rsidRPr="005E0CEC">
        <w:rPr>
          <w:color w:val="000000"/>
        </w:rPr>
        <w:t>Si segnala l</w:t>
      </w:r>
      <w:r w:rsidR="00170773" w:rsidRPr="005E0CEC">
        <w:rPr>
          <w:color w:val="000000"/>
        </w:rPr>
        <w:t>'introduzione della nuova normativa su agricoltura sociale e Fattorie Sociali risulta una novità</w:t>
      </w:r>
      <w:r w:rsidRPr="005E0CEC">
        <w:rPr>
          <w:color w:val="000000"/>
        </w:rPr>
        <w:t>.</w:t>
      </w:r>
      <w:r w:rsidR="00170773" w:rsidRPr="005E0CEC">
        <w:rPr>
          <w:color w:val="000000"/>
        </w:rPr>
        <w:t xml:space="preserve"> La proposta è di andare in maniera sinergica a rispondere, da una parte a un'esigenza di welfare diffuso e dall'altra ad individuare ulteriori possibilità di incremento dei redditi agricoli al fine di mantenere un'economia diffusa in particolare nelle zone marginali del territorio regionale:  </w:t>
      </w:r>
    </w:p>
    <w:p w14:paraId="17E46FEA" w14:textId="5DC7BF93" w:rsidR="00170773" w:rsidRPr="005E0CEC" w:rsidRDefault="00170773" w:rsidP="00FF10E0">
      <w:pPr>
        <w:pStyle w:val="Paragrafoelenco"/>
        <w:numPr>
          <w:ilvl w:val="0"/>
          <w:numId w:val="24"/>
        </w:numPr>
        <w:rPr>
          <w:color w:val="000000"/>
        </w:rPr>
      </w:pPr>
      <w:r w:rsidRPr="005E0CEC">
        <w:rPr>
          <w:color w:val="000000"/>
        </w:rPr>
        <w:t>inclusione socio-lavorativa di soggetti appartenenti alle fasce deboli e inserimento socio-lavorativo di soggetti svantaggiati, molto svantaggiati e disabili;</w:t>
      </w:r>
    </w:p>
    <w:p w14:paraId="31A630E3" w14:textId="797A69A4" w:rsidR="00170773" w:rsidRPr="005E0CEC" w:rsidRDefault="00170773" w:rsidP="00FF10E0">
      <w:pPr>
        <w:pStyle w:val="Paragrafoelenco"/>
        <w:numPr>
          <w:ilvl w:val="0"/>
          <w:numId w:val="24"/>
        </w:numPr>
        <w:rPr>
          <w:color w:val="000000"/>
        </w:rPr>
      </w:pPr>
      <w:r w:rsidRPr="005E0CEC">
        <w:rPr>
          <w:color w:val="000000"/>
        </w:rPr>
        <w:t>fornitura di prestazione e di servizi sociali, socio-sanitari, riabilitativi, terapeutici, formativi ed educativi per famiglie, anziani, categorie deboli e soggetti svantaggiati, molto svantaggiati e disabili;</w:t>
      </w:r>
    </w:p>
    <w:p w14:paraId="4FAE35E0" w14:textId="5776A60B" w:rsidR="00170773" w:rsidRPr="005E0CEC" w:rsidRDefault="00170773" w:rsidP="00FF10E0">
      <w:pPr>
        <w:pStyle w:val="Paragrafoelenco"/>
        <w:numPr>
          <w:ilvl w:val="0"/>
          <w:numId w:val="24"/>
        </w:numPr>
        <w:rPr>
          <w:color w:val="000000"/>
        </w:rPr>
      </w:pPr>
      <w:r w:rsidRPr="005E0CEC">
        <w:rPr>
          <w:color w:val="000000"/>
        </w:rPr>
        <w:t>prestazioni e attività sociali e di servizio per le comunità locali che impieghino le risorse materiali e immateriali dell'agricoltura per promuovere, accompagnare e realizzare azioni di inclusione sociale e lavorativa, di ricreazione, di servizi utili per la vita quotidiana e di educazione.</w:t>
      </w:r>
    </w:p>
    <w:p w14:paraId="6955C22A" w14:textId="77777777" w:rsidR="00170773" w:rsidRPr="005E0CEC" w:rsidRDefault="00170773" w:rsidP="00FF10E0">
      <w:pPr>
        <w:rPr>
          <w:color w:val="000000"/>
        </w:rPr>
      </w:pPr>
      <w:r w:rsidRPr="005E0CEC">
        <w:rPr>
          <w:color w:val="000000"/>
        </w:rPr>
        <w:t>La Regione Umbria ha inteso disciplinare l'attività relativa all'agricoltura sociale e alle fattorie sociali con l'emanazione della L. 9 aprile 2015 n. 12 concernente "Testo unico in materia di agricoltura" pubblicata nel Bollettino Ufficiale n. 21 S.O. n. 2 del 15 aprile 2015.</w:t>
      </w:r>
    </w:p>
    <w:p w14:paraId="780687B6" w14:textId="2B2D836E" w:rsidR="00170773" w:rsidRPr="005E0CEC" w:rsidRDefault="00FF10E0" w:rsidP="00FF10E0">
      <w:r w:rsidRPr="005E0CEC">
        <w:t>Con riferimento</w:t>
      </w:r>
      <w:r w:rsidR="00170773" w:rsidRPr="005E0CEC">
        <w:t xml:space="preserve"> all'andamento e ai risultati raggiunti dai bandi emessi nella sua misura</w:t>
      </w:r>
      <w:r w:rsidRPr="005E0CEC">
        <w:t xml:space="preserve"> e alle principali differenze</w:t>
      </w:r>
      <w:r w:rsidR="00170773" w:rsidRPr="005E0CEC">
        <w:t xml:space="preserve"> tra </w:t>
      </w:r>
      <w:r w:rsidR="005E0CEC" w:rsidRPr="005E0CEC">
        <w:t xml:space="preserve">la </w:t>
      </w:r>
      <w:r w:rsidR="00170773" w:rsidRPr="005E0CEC">
        <w:t>programmazione 2</w:t>
      </w:r>
      <w:r w:rsidR="005E0CEC" w:rsidRPr="005E0CEC">
        <w:t>007/2013 e la nuova programmazione, si possono sottolineare i seguenti aspetti.</w:t>
      </w:r>
    </w:p>
    <w:p w14:paraId="4EF2E7AB" w14:textId="41D77ED2" w:rsidR="00170773" w:rsidRPr="005E0CEC" w:rsidRDefault="00170773" w:rsidP="005E0CEC">
      <w:r w:rsidRPr="005E0CEC">
        <w:t>Nella precedente programmazione la misura a favore dell'imprendit</w:t>
      </w:r>
      <w:r w:rsidR="005E0CEC" w:rsidRPr="005E0CEC">
        <w:t xml:space="preserve">oria femminile era </w:t>
      </w:r>
      <w:r w:rsidRPr="005E0CEC">
        <w:t xml:space="preserve">la </w:t>
      </w:r>
      <w:r w:rsidR="005E0CEC" w:rsidRPr="005E0CEC">
        <w:t>Misura 311, articolata</w:t>
      </w:r>
      <w:r w:rsidRPr="005E0CEC">
        <w:t xml:space="preserve"> </w:t>
      </w:r>
      <w:r w:rsidRPr="005E0CEC">
        <w:rPr>
          <w:color w:val="000000"/>
        </w:rPr>
        <w:t>nelle seguenti azioni e tipologie:</w:t>
      </w:r>
    </w:p>
    <w:p w14:paraId="57AE6B07" w14:textId="77777777" w:rsidR="00170773" w:rsidRPr="005E0CEC" w:rsidRDefault="00170773" w:rsidP="005E0CEC">
      <w:r w:rsidRPr="005E0CEC">
        <w:rPr>
          <w:color w:val="000000"/>
        </w:rPr>
        <w:t>Azione a) - Investimenti per la diversificazione in attività turistica, ricreativa e sociale che promuove l'attività di ricettività turistica rurale e dei connessi servizi, l'attività ricreativa, didattica e culturale nonché altre attività sociali con preferenza per le categorie svantaggiate, nell'azienda agricola. L'azione si articolava in tre tipologie:</w:t>
      </w:r>
    </w:p>
    <w:p w14:paraId="594CD890" w14:textId="77777777" w:rsidR="00170773" w:rsidRPr="005E0CEC" w:rsidRDefault="00170773" w:rsidP="005E0CEC">
      <w:pPr>
        <w:ind w:left="708"/>
      </w:pPr>
      <w:r w:rsidRPr="005E0CEC">
        <w:rPr>
          <w:color w:val="000000"/>
        </w:rPr>
        <w:t>a.1. investimenti finalizzati alla ricettività turistica e all'adeguamento e qualificazione dell'offerta agrituristica;</w:t>
      </w:r>
    </w:p>
    <w:p w14:paraId="741CF12A" w14:textId="77777777" w:rsidR="00170773" w:rsidRPr="005E0CEC" w:rsidRDefault="00170773" w:rsidP="005E0CEC">
      <w:pPr>
        <w:ind w:left="708"/>
      </w:pPr>
      <w:r w:rsidRPr="005E0CEC">
        <w:rPr>
          <w:color w:val="000000"/>
        </w:rPr>
        <w:t>a.2. investimenti per lo sviluppo di attività didattica e culturale;</w:t>
      </w:r>
    </w:p>
    <w:p w14:paraId="155CC4D5" w14:textId="77777777" w:rsidR="00170773" w:rsidRPr="005E0CEC" w:rsidRDefault="00170773" w:rsidP="005E0CEC">
      <w:pPr>
        <w:ind w:left="708"/>
      </w:pPr>
      <w:r w:rsidRPr="005E0CEC">
        <w:rPr>
          <w:color w:val="000000"/>
        </w:rPr>
        <w:t>a.3. investimenti per attività sociali e ricreative.</w:t>
      </w:r>
    </w:p>
    <w:p w14:paraId="22F7DA80" w14:textId="5D78964B" w:rsidR="00170773" w:rsidRPr="005E0CEC" w:rsidRDefault="00170773" w:rsidP="005E0CEC">
      <w:pPr>
        <w:ind w:left="708"/>
      </w:pPr>
      <w:r w:rsidRPr="005E0CEC">
        <w:rPr>
          <w:color w:val="000000"/>
        </w:rPr>
        <w:t>Azione b) - Investimenti per la diversificazione in attività artigianali e commerciali non agricol</w:t>
      </w:r>
      <w:r w:rsidR="00C12BA7" w:rsidRPr="005E0CEC">
        <w:rPr>
          <w:color w:val="000000"/>
        </w:rPr>
        <w:t>i</w:t>
      </w:r>
    </w:p>
    <w:p w14:paraId="1986200B" w14:textId="77777777" w:rsidR="00170773" w:rsidRPr="005E0CEC" w:rsidRDefault="00170773" w:rsidP="005E0CEC">
      <w:pPr>
        <w:ind w:left="708"/>
      </w:pPr>
      <w:r w:rsidRPr="005E0CEC">
        <w:rPr>
          <w:color w:val="000000"/>
        </w:rPr>
        <w:t>Azione c) - Investimento per la produzione di energia da fonti rinnovabili.</w:t>
      </w:r>
    </w:p>
    <w:p w14:paraId="4987FAAC" w14:textId="77777777" w:rsidR="00170773" w:rsidRPr="005E0CEC" w:rsidRDefault="00170773" w:rsidP="005E0CEC">
      <w:r w:rsidRPr="005E0CEC">
        <w:rPr>
          <w:color w:val="000000"/>
        </w:rPr>
        <w:t>I soggetti beneficiari sono, per tutte le azioni/tipologie imprenditori agricoli singoli o associati (titolari di azienda agricola in qualità di proprietario, usufruttuario o affittuario) oppure un membro della famiglia agricola.</w:t>
      </w:r>
    </w:p>
    <w:p w14:paraId="00A86690" w14:textId="70E9CAAA" w:rsidR="00170773" w:rsidRPr="005E0CEC" w:rsidRDefault="00170773" w:rsidP="005E0CEC">
      <w:r w:rsidRPr="005E0CEC">
        <w:t>N</w:t>
      </w:r>
      <w:r w:rsidR="00C12BA7" w:rsidRPr="005E0CEC">
        <w:t>ella precedente programmazione e</w:t>
      </w:r>
      <w:r w:rsidRPr="005E0CEC">
        <w:t>rano previsti criteri a favore delle</w:t>
      </w:r>
      <w:r w:rsidR="005E0CEC" w:rsidRPr="005E0CEC">
        <w:t xml:space="preserve"> donne imprenditrici: infatti, </w:t>
      </w:r>
      <w:r w:rsidRPr="005E0CEC">
        <w:t xml:space="preserve">in caso di parità di punteggio </w:t>
      </w:r>
      <w:r w:rsidRPr="005E0CEC">
        <w:rPr>
          <w:u w:val="single"/>
        </w:rPr>
        <w:t>verrà data priorità alle microimprese condotte da giovani e alle microimprese condotte da donne. In caso di ulteriore parità si procederà sulla base della data di nascita.</w:t>
      </w:r>
    </w:p>
    <w:p w14:paraId="57736021" w14:textId="77777777" w:rsidR="00170773" w:rsidRPr="005E0CEC" w:rsidRDefault="00170773" w:rsidP="005E0CEC">
      <w:r w:rsidRPr="005E0CEC">
        <w:t>Le domande fatte ai bandi di questa misura sono state numerose e in particolare hanno favorito il sorgere di agriturismi e fattorie didattiche femminili.</w:t>
      </w:r>
    </w:p>
    <w:p w14:paraId="1CCCC0BF" w14:textId="7078BDA3" w:rsidR="00170773" w:rsidRPr="005E0CEC" w:rsidRDefault="005E0CEC" w:rsidP="005E0CEC">
      <w:r w:rsidRPr="00354A10">
        <w:t xml:space="preserve">Con la programmazione 2014-2020, la principale </w:t>
      </w:r>
      <w:r w:rsidR="00170773" w:rsidRPr="00354A10">
        <w:t xml:space="preserve">misura a favore dell'imprenditoria femminile, </w:t>
      </w:r>
      <w:r w:rsidRPr="00354A10">
        <w:t>è la</w:t>
      </w:r>
      <w:r w:rsidRPr="005E0CEC">
        <w:t xml:space="preserve"> 6.4.1, al cui</w:t>
      </w:r>
      <w:r w:rsidR="00170773" w:rsidRPr="005E0CEC">
        <w:t xml:space="preserve"> interno è possibile la Creazione e sviluppo di agriturismi, fattorie didattiche e fattorie sociali</w:t>
      </w:r>
      <w:r w:rsidRPr="005E0CEC">
        <w:t>.</w:t>
      </w:r>
    </w:p>
    <w:p w14:paraId="760B0F2E" w14:textId="77777777" w:rsidR="00170773" w:rsidRPr="005E0CEC" w:rsidRDefault="00170773" w:rsidP="005E0CEC">
      <w:r w:rsidRPr="005E0CEC">
        <w:lastRenderedPageBreak/>
        <w:t>Sono ammissibili interventi di ristrutturazioni su fabbricati “esistenti” come definiti dalla normativa vigente. Non è ammissibile l’acquisto di attrezzature di seconda mano nonché quanto previsto e alle condizioni sancite all’art. 13 del Reg. Delegato (UE) n. 807/2014 della Commissione.</w:t>
      </w:r>
    </w:p>
    <w:p w14:paraId="21524452" w14:textId="77777777" w:rsidR="00170773" w:rsidRPr="005E0CEC" w:rsidRDefault="00170773" w:rsidP="005E0CEC">
      <w:r w:rsidRPr="005E0CEC">
        <w:t>Tra i requisiti e criteri di selezione si evince:</w:t>
      </w:r>
    </w:p>
    <w:p w14:paraId="6C13CF89" w14:textId="77777777" w:rsidR="00170773" w:rsidRPr="005E0CEC" w:rsidRDefault="00170773" w:rsidP="005E0CEC">
      <w:pPr>
        <w:pStyle w:val="Sommario4"/>
      </w:pPr>
      <w:r w:rsidRPr="005E0CEC">
        <w:t>tipologia di proponente (massimo punti 20) -</w:t>
      </w:r>
    </w:p>
    <w:p w14:paraId="4F0D9B20" w14:textId="7657DC9E" w:rsidR="00170773" w:rsidRPr="005E0CEC" w:rsidRDefault="00170773" w:rsidP="005E0CEC">
      <w:pPr>
        <w:pStyle w:val="Sommario4"/>
      </w:pPr>
      <w:r w:rsidRPr="005E0CEC">
        <w:t>Età fino a 40: età del conduttore o in caso di società di persone o cooperativa&gt;=50% dei soci rappresentato giovani.</w:t>
      </w:r>
    </w:p>
    <w:p w14:paraId="58050B3E" w14:textId="77777777" w:rsidR="00170773" w:rsidRPr="005E0CEC" w:rsidRDefault="00170773" w:rsidP="005E0CEC">
      <w:pPr>
        <w:pStyle w:val="Sommario4"/>
      </w:pPr>
      <w:r w:rsidRPr="005E0CEC">
        <w:t>In caso di società di capitali: la maggioranza del capitale sociale deve essere detenuto da giovani (Requisito in possesso al momento della presentazione della domanda di aiuto) punti 10 -</w:t>
      </w:r>
    </w:p>
    <w:p w14:paraId="548D2396" w14:textId="77777777" w:rsidR="00170773" w:rsidRPr="005E0CEC" w:rsidRDefault="00170773" w:rsidP="005E0CEC">
      <w:pPr>
        <w:pStyle w:val="Sommario4"/>
      </w:pPr>
      <w:r w:rsidRPr="005E0CEC">
        <w:t>Genere: conduttore donna o in caso di società di persone o cooperativa &gt;=50% dei soci rappresentato da donne. In caso di società di capitali: la maggioranza del capitale sociale deve essere detenuto da donne punti 10.</w:t>
      </w:r>
    </w:p>
    <w:p w14:paraId="5214595E" w14:textId="1CD1250E" w:rsidR="0090060C" w:rsidRPr="005A00DB" w:rsidRDefault="00170773" w:rsidP="00552DB9">
      <w:r w:rsidRPr="005E0CEC">
        <w:t>Si prevede e si auspica una buona partecipazione femminile ai bandi che usciranno a partire da fine</w:t>
      </w:r>
      <w:r w:rsidRPr="00FB397A">
        <w:t xml:space="preserve"> anno.</w:t>
      </w:r>
    </w:p>
    <w:sectPr w:rsidR="0090060C" w:rsidRPr="005A00DB" w:rsidSect="001C1E12">
      <w:footerReference w:type="default" r:id="rId27"/>
      <w:footnotePr>
        <w:numRestart w:val="eachSect"/>
      </w:footnotePr>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DDB38" w14:textId="77777777" w:rsidR="00B1699C" w:rsidRDefault="00B1699C" w:rsidP="00401D82">
      <w:pPr>
        <w:spacing w:after="0"/>
      </w:pPr>
      <w:r>
        <w:separator/>
      </w:r>
    </w:p>
  </w:endnote>
  <w:endnote w:type="continuationSeparator" w:id="0">
    <w:p w14:paraId="561925ED" w14:textId="77777777" w:rsidR="00B1699C" w:rsidRDefault="00B1699C" w:rsidP="00401D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1"/>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Cambria"/>
    <w:panose1 w:val="00000000000000000000"/>
    <w:charset w:val="00"/>
    <w:family w:val="roman"/>
    <w:notTrueType/>
    <w:pitch w:val="default"/>
    <w:sig w:usb0="00000003" w:usb1="00000000" w:usb2="00000000" w:usb3="00000000" w:csb0="00000001" w:csb1="00000000"/>
  </w:font>
  <w:font w:name="Andale Sans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745775"/>
      <w:docPartObj>
        <w:docPartGallery w:val="Page Numbers (Bottom of Page)"/>
        <w:docPartUnique/>
      </w:docPartObj>
    </w:sdtPr>
    <w:sdtEndPr>
      <w:rPr>
        <w:noProof/>
      </w:rPr>
    </w:sdtEndPr>
    <w:sdtContent>
      <w:p w14:paraId="43491348" w14:textId="3A551348" w:rsidR="007531A9" w:rsidRDefault="007531A9" w:rsidP="00DD3C49">
        <w:pPr>
          <w:pStyle w:val="Pidipagina"/>
          <w:jc w:val="right"/>
        </w:pPr>
        <w:r>
          <w:fldChar w:fldCharType="begin"/>
        </w:r>
        <w:r>
          <w:instrText xml:space="preserve"> PAGE   \* MERGEFORMAT </w:instrText>
        </w:r>
        <w:r>
          <w:fldChar w:fldCharType="separate"/>
        </w:r>
        <w:r>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28B88" w14:textId="77777777" w:rsidR="007531A9" w:rsidRDefault="007531A9" w:rsidP="00262795">
    <w:pPr>
      <w:pStyle w:val="Pidipagin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983504"/>
      <w:docPartObj>
        <w:docPartGallery w:val="Page Numbers (Bottom of Page)"/>
        <w:docPartUnique/>
      </w:docPartObj>
    </w:sdtPr>
    <w:sdtEndPr>
      <w:rPr>
        <w:noProof/>
        <w:color w:val="404040" w:themeColor="text1" w:themeTint="BF"/>
      </w:rPr>
    </w:sdtEndPr>
    <w:sdtContent>
      <w:p w14:paraId="4F858A3C" w14:textId="47655118" w:rsidR="007531A9" w:rsidRPr="0083413D" w:rsidRDefault="007531A9" w:rsidP="0083413D">
        <w:pPr>
          <w:pStyle w:val="Pidipagina"/>
          <w:jc w:val="right"/>
          <w:rPr>
            <w:color w:val="404040" w:themeColor="text1" w:themeTint="BF"/>
          </w:rPr>
        </w:pPr>
        <w:r w:rsidRPr="0083413D">
          <w:rPr>
            <w:color w:val="404040" w:themeColor="text1" w:themeTint="BF"/>
          </w:rPr>
          <w:fldChar w:fldCharType="begin"/>
        </w:r>
        <w:r w:rsidRPr="0083413D">
          <w:rPr>
            <w:color w:val="404040" w:themeColor="text1" w:themeTint="BF"/>
          </w:rPr>
          <w:instrText xml:space="preserve"> PAGE   \* MERGEFORMAT </w:instrText>
        </w:r>
        <w:r w:rsidRPr="0083413D">
          <w:rPr>
            <w:color w:val="404040" w:themeColor="text1" w:themeTint="BF"/>
          </w:rPr>
          <w:fldChar w:fldCharType="separate"/>
        </w:r>
        <w:r w:rsidR="00DB53BA">
          <w:rPr>
            <w:noProof/>
            <w:color w:val="404040" w:themeColor="text1" w:themeTint="BF"/>
          </w:rPr>
          <w:t>1</w:t>
        </w:r>
        <w:r w:rsidRPr="0083413D">
          <w:rPr>
            <w:noProof/>
            <w:color w:val="404040" w:themeColor="text1" w:themeTint="B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542967"/>
      <w:docPartObj>
        <w:docPartGallery w:val="Page Numbers (Bottom of Page)"/>
        <w:docPartUnique/>
      </w:docPartObj>
    </w:sdtPr>
    <w:sdtEndPr>
      <w:rPr>
        <w:noProof/>
      </w:rPr>
    </w:sdtEndPr>
    <w:sdtContent>
      <w:p w14:paraId="7BEE7BF4" w14:textId="76CCF467" w:rsidR="007531A9" w:rsidRDefault="007531A9" w:rsidP="00AA0E00">
        <w:pPr>
          <w:pStyle w:val="Pidipagina"/>
          <w:ind w:right="-313"/>
          <w:jc w:val="right"/>
        </w:pPr>
        <w:r>
          <w:fldChar w:fldCharType="begin"/>
        </w:r>
        <w:r>
          <w:instrText xml:space="preserve"> PAGE   \* MERGEFORMAT </w:instrText>
        </w:r>
        <w:r>
          <w:fldChar w:fldCharType="separate"/>
        </w:r>
        <w:r w:rsidR="00F45309">
          <w:rPr>
            <w:noProof/>
          </w:rP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91B83" w14:textId="77777777" w:rsidR="00B1699C" w:rsidRDefault="00B1699C" w:rsidP="00401D82">
      <w:pPr>
        <w:spacing w:after="0"/>
      </w:pPr>
      <w:r>
        <w:separator/>
      </w:r>
    </w:p>
  </w:footnote>
  <w:footnote w:type="continuationSeparator" w:id="0">
    <w:p w14:paraId="3AEB33D4" w14:textId="77777777" w:rsidR="00B1699C" w:rsidRDefault="00B1699C" w:rsidP="00401D82">
      <w:pPr>
        <w:spacing w:after="0"/>
      </w:pPr>
      <w:r>
        <w:continuationSeparator/>
      </w:r>
    </w:p>
  </w:footnote>
  <w:footnote w:id="1">
    <w:p w14:paraId="2CBB7219" w14:textId="12623718" w:rsidR="007531A9" w:rsidRPr="001072D3" w:rsidRDefault="007531A9" w:rsidP="00570BC7">
      <w:pPr>
        <w:pStyle w:val="Testonotaapidipagina"/>
      </w:pPr>
      <w:r>
        <w:rPr>
          <w:rStyle w:val="Rimandonotaapidipagina"/>
        </w:rPr>
        <w:footnoteRef/>
      </w:r>
      <w:r>
        <w:t xml:space="preserve"> </w:t>
      </w:r>
      <w:r w:rsidRPr="001072D3">
        <w:t>Vantaggi economici dell’uguaglianza di genere nell’UE</w:t>
      </w:r>
      <w:r>
        <w:t>, EIGE, 2017.</w:t>
      </w:r>
    </w:p>
  </w:footnote>
  <w:footnote w:id="2">
    <w:p w14:paraId="2E14FF53" w14:textId="34237562" w:rsidR="007531A9" w:rsidRDefault="007531A9" w:rsidP="00570BC7">
      <w:pPr>
        <w:pStyle w:val="Testonotaapidipagina"/>
      </w:pPr>
      <w:r w:rsidRPr="000C70BD">
        <w:rPr>
          <w:rStyle w:val="Rimandonotaapidipagina"/>
          <w:vertAlign w:val="superscript"/>
        </w:rPr>
        <w:footnoteRef/>
      </w:r>
      <w:r>
        <w:t xml:space="preserve"> Relazione sull'emancipazione economica delle donne nel settore pubblico e privato nell'UE, Parlamento Europeo, </w:t>
      </w:r>
      <w:r w:rsidRPr="003B3E2B">
        <w:t>13 settembre 2017</w:t>
      </w:r>
      <w:r>
        <w:t>.</w:t>
      </w:r>
    </w:p>
  </w:footnote>
  <w:footnote w:id="3">
    <w:p w14:paraId="7693EF9C" w14:textId="54407FDF" w:rsidR="007531A9" w:rsidRPr="00D31459" w:rsidRDefault="007531A9" w:rsidP="00923D5B">
      <w:pPr>
        <w:pStyle w:val="Testonotaapidipagina"/>
        <w:spacing w:line="240" w:lineRule="auto"/>
        <w:rPr>
          <w:lang w:val="en-US"/>
        </w:rPr>
      </w:pPr>
      <w:r w:rsidRPr="000C70BD">
        <w:rPr>
          <w:rStyle w:val="Rimandonotaapidipagina"/>
          <w:vertAlign w:val="superscript"/>
        </w:rPr>
        <w:footnoteRef/>
      </w:r>
      <w:r w:rsidRPr="00D31459">
        <w:rPr>
          <w:lang w:val="en-US"/>
        </w:rPr>
        <w:t xml:space="preserve"> European Parliament recommendation of 1 March 2018 to the Council on the EU priorities for the 62nd session of the UN Commission on the Status of Women</w:t>
      </w:r>
      <w:r>
        <w:rPr>
          <w:lang w:val="en-US"/>
        </w:rPr>
        <w:t>, Parlamento Europeo, 1 marzo 2018.</w:t>
      </w:r>
    </w:p>
  </w:footnote>
  <w:footnote w:id="4">
    <w:p w14:paraId="245C396C" w14:textId="73AA36C2" w:rsidR="007531A9" w:rsidRPr="002841CE" w:rsidRDefault="007531A9" w:rsidP="00923D5B">
      <w:pPr>
        <w:pStyle w:val="Testonotaapidipagina"/>
        <w:spacing w:line="240" w:lineRule="auto"/>
      </w:pPr>
      <w:r w:rsidRPr="000C70BD">
        <w:rPr>
          <w:rStyle w:val="Rimandonotaapidipagina"/>
          <w:vertAlign w:val="superscript"/>
        </w:rPr>
        <w:footnoteRef/>
      </w:r>
      <w:r>
        <w:t xml:space="preserve"> Dati statistici </w:t>
      </w:r>
      <w:r w:rsidRPr="002841CE">
        <w:t>sulle donne imprenditrici europee</w:t>
      </w:r>
      <w:r>
        <w:t xml:space="preserve">, Commissione Europea, 11 novembre 2014. </w:t>
      </w:r>
      <w:r w:rsidRPr="002841CE">
        <w:t xml:space="preserve"> https://wegate.eu 4.</w:t>
      </w:r>
    </w:p>
  </w:footnote>
  <w:footnote w:id="5">
    <w:p w14:paraId="0113A08E" w14:textId="63FE8233" w:rsidR="007531A9" w:rsidRPr="003F7465" w:rsidRDefault="007531A9" w:rsidP="00923D5B">
      <w:pPr>
        <w:pStyle w:val="Testonotaapidipagina"/>
        <w:spacing w:line="240" w:lineRule="auto"/>
      </w:pPr>
      <w:r w:rsidRPr="000C70BD">
        <w:rPr>
          <w:vertAlign w:val="superscript"/>
          <w:lang w:val="en-US"/>
        </w:rPr>
        <w:footnoteRef/>
      </w:r>
      <w:r w:rsidRPr="003F7465">
        <w:t xml:space="preserve"> </w:t>
      </w:r>
      <w:r>
        <w:t>Ibidem.</w:t>
      </w:r>
    </w:p>
  </w:footnote>
  <w:footnote w:id="6">
    <w:p w14:paraId="69032387" w14:textId="77777777" w:rsidR="007531A9" w:rsidRPr="00A435D2" w:rsidRDefault="007531A9" w:rsidP="00923D5B">
      <w:pPr>
        <w:pStyle w:val="Testonotaapidipagina"/>
        <w:spacing w:line="240" w:lineRule="auto"/>
      </w:pPr>
      <w:r w:rsidRPr="000C70BD">
        <w:rPr>
          <w:vertAlign w:val="superscript"/>
          <w:lang w:val="en-US"/>
        </w:rPr>
        <w:footnoteRef/>
      </w:r>
      <w:r w:rsidRPr="00A435D2">
        <w:t xml:space="preserve"> Eurostat:  L'Europa in cifre.</w:t>
      </w:r>
    </w:p>
  </w:footnote>
  <w:footnote w:id="7">
    <w:p w14:paraId="3876D7DF" w14:textId="085FB02A" w:rsidR="007531A9" w:rsidRDefault="007531A9" w:rsidP="00923D5B">
      <w:pPr>
        <w:pStyle w:val="Testonotaapidipagina"/>
        <w:spacing w:line="240" w:lineRule="auto"/>
      </w:pPr>
      <w:r w:rsidRPr="000C70BD">
        <w:rPr>
          <w:rStyle w:val="Rimandonotaapidipagina"/>
          <w:vertAlign w:val="superscript"/>
        </w:rPr>
        <w:footnoteRef/>
      </w:r>
      <w:r>
        <w:t xml:space="preserve"> Eurostat: newsrelease, 105/2018 - 28 giugno</w:t>
      </w:r>
      <w:r w:rsidRPr="00A435D2">
        <w:t xml:space="preserve"> 2018</w:t>
      </w:r>
      <w:r>
        <w:t>.</w:t>
      </w:r>
    </w:p>
  </w:footnote>
  <w:footnote w:id="8">
    <w:p w14:paraId="4244658C" w14:textId="0D6FB0CC" w:rsidR="007531A9" w:rsidRPr="00923D5B" w:rsidRDefault="007531A9" w:rsidP="00570BC7">
      <w:pPr>
        <w:pStyle w:val="Notaapidipagina"/>
        <w:rPr>
          <w:sz w:val="18"/>
          <w:szCs w:val="18"/>
          <w:lang w:val="it-IT"/>
        </w:rPr>
      </w:pPr>
      <w:r w:rsidRPr="00923D5B">
        <w:rPr>
          <w:sz w:val="18"/>
          <w:szCs w:val="18"/>
          <w:vertAlign w:val="superscript"/>
        </w:rPr>
        <w:footnoteRef/>
      </w:r>
      <w:r w:rsidRPr="00923D5B">
        <w:rPr>
          <w:sz w:val="18"/>
          <w:szCs w:val="18"/>
          <w:lang w:val="it-IT"/>
        </w:rPr>
        <w:tab/>
      </w:r>
      <w:r w:rsidRPr="00923D5B">
        <w:rPr>
          <w:i/>
          <w:iCs/>
          <w:sz w:val="18"/>
          <w:szCs w:val="18"/>
          <w:lang w:val="it-IT"/>
        </w:rPr>
        <w:t>Dati: Presidenza del Consiglio dei Ministri. Dipartimento per le pari opportunità.</w:t>
      </w:r>
    </w:p>
  </w:footnote>
  <w:footnote w:id="9">
    <w:p w14:paraId="54F8760A" w14:textId="77777777" w:rsidR="007531A9" w:rsidRPr="00FF10E0" w:rsidRDefault="007531A9" w:rsidP="00907EA1">
      <w:pPr>
        <w:pStyle w:val="Testonotaapidipagina"/>
        <w:spacing w:line="240" w:lineRule="auto"/>
        <w:rPr>
          <w:szCs w:val="18"/>
        </w:rPr>
      </w:pPr>
      <w:r w:rsidRPr="00FF10E0">
        <w:rPr>
          <w:rStyle w:val="Rimandonotaapidipagina"/>
          <w:vertAlign w:val="superscript"/>
        </w:rPr>
        <w:footnoteRef/>
      </w:r>
      <w:r>
        <w:t xml:space="preserve"> </w:t>
      </w:r>
      <w:r w:rsidRPr="00FF10E0">
        <w:rPr>
          <w:szCs w:val="18"/>
        </w:rPr>
        <w:t>http://www.unioncamere.gov.it/P42A3670C160S123/imprese-femminili--10mila-in-piu-nel-2017--grazie-a-turismo--cura-della-persona-attivita-professionali---.htm</w:t>
      </w:r>
    </w:p>
  </w:footnote>
  <w:footnote w:id="10">
    <w:p w14:paraId="3FBB3A45" w14:textId="6F4532B1" w:rsidR="007531A9" w:rsidRPr="00313937" w:rsidRDefault="007531A9" w:rsidP="00907EA1">
      <w:pPr>
        <w:pStyle w:val="Notaapidipagina"/>
        <w:spacing w:line="240" w:lineRule="auto"/>
        <w:jc w:val="both"/>
        <w:rPr>
          <w:i/>
          <w:iCs/>
          <w:sz w:val="20"/>
          <w:szCs w:val="20"/>
          <w:lang w:val="it-IT"/>
        </w:rPr>
      </w:pPr>
      <w:r w:rsidRPr="00FF10E0">
        <w:rPr>
          <w:i/>
          <w:iCs/>
          <w:sz w:val="18"/>
          <w:szCs w:val="18"/>
          <w:vertAlign w:val="superscript"/>
        </w:rPr>
        <w:footnoteRef/>
      </w:r>
      <w:r>
        <w:rPr>
          <w:i/>
          <w:iCs/>
          <w:sz w:val="18"/>
          <w:szCs w:val="18"/>
          <w:lang w:val="it-IT"/>
        </w:rPr>
        <w:t xml:space="preserve"> Unioncamere </w:t>
      </w:r>
      <w:r w:rsidRPr="00FF10E0">
        <w:rPr>
          <w:i/>
          <w:iCs/>
          <w:sz w:val="18"/>
          <w:szCs w:val="18"/>
          <w:lang w:val="it-IT"/>
        </w:rPr>
        <w:t>e InfoCamere:</w:t>
      </w:r>
      <w:r w:rsidRPr="00FF10E0">
        <w:rPr>
          <w:i/>
          <w:iCs/>
          <w:color w:val="000099"/>
          <w:sz w:val="18"/>
          <w:szCs w:val="18"/>
          <w:lang w:val="it-IT"/>
        </w:rPr>
        <w:t>http://www.i</w:t>
      </w:r>
      <w:r>
        <w:rPr>
          <w:i/>
          <w:iCs/>
          <w:color w:val="000099"/>
          <w:sz w:val="18"/>
          <w:szCs w:val="18"/>
          <w:lang w:val="it-IT"/>
        </w:rPr>
        <w:t>mprenditoriafemminile.camcom.it -</w:t>
      </w:r>
      <w:r w:rsidRPr="00FF10E0">
        <w:rPr>
          <w:i/>
          <w:iCs/>
          <w:sz w:val="18"/>
          <w:szCs w:val="18"/>
          <w:lang w:val="it-IT"/>
        </w:rPr>
        <w:t>Osservatorio per l'imprenditoria femminile.</w:t>
      </w:r>
    </w:p>
  </w:footnote>
  <w:footnote w:id="11">
    <w:p w14:paraId="0CB735B9" w14:textId="46B4560B" w:rsidR="007531A9" w:rsidRPr="000B3BAD" w:rsidRDefault="007531A9" w:rsidP="00570BC7">
      <w:pPr>
        <w:pStyle w:val="Testonotaapidipagina"/>
        <w:rPr>
          <w:szCs w:val="18"/>
        </w:rPr>
      </w:pPr>
      <w:r w:rsidRPr="000B3BAD">
        <w:rPr>
          <w:rStyle w:val="Rimandonotaapidipagina"/>
          <w:szCs w:val="18"/>
          <w:vertAlign w:val="superscript"/>
        </w:rPr>
        <w:footnoteRef/>
      </w:r>
      <w:r w:rsidRPr="000B3BAD">
        <w:rPr>
          <w:szCs w:val="18"/>
        </w:rPr>
        <w:t xml:space="preserve">            </w:t>
      </w:r>
      <w:r w:rsidRPr="000B3BAD">
        <w:rPr>
          <w:i/>
          <w:iCs/>
          <w:szCs w:val="18"/>
        </w:rPr>
        <w:t>Istat.(2017) Indagine conoscitiva sulle politiche in materia di parità tra Donne e uomini.</w:t>
      </w:r>
    </w:p>
  </w:footnote>
  <w:footnote w:id="12">
    <w:p w14:paraId="6B94A6B6" w14:textId="10F4C17F" w:rsidR="007531A9" w:rsidRPr="000B3BAD" w:rsidRDefault="007531A9" w:rsidP="00570BC7">
      <w:pPr>
        <w:pStyle w:val="Contenutotabella"/>
        <w:rPr>
          <w:i/>
          <w:iCs/>
          <w:sz w:val="18"/>
          <w:szCs w:val="18"/>
          <w:lang w:val="it-IT"/>
        </w:rPr>
      </w:pPr>
      <w:r w:rsidRPr="000B3BAD">
        <w:rPr>
          <w:i/>
          <w:iCs/>
          <w:sz w:val="18"/>
          <w:szCs w:val="18"/>
          <w:vertAlign w:val="superscript"/>
        </w:rPr>
        <w:footnoteRef/>
      </w:r>
      <w:r w:rsidRPr="000B3BAD">
        <w:rPr>
          <w:i/>
          <w:iCs/>
          <w:sz w:val="18"/>
          <w:szCs w:val="18"/>
          <w:lang w:val="it-IT"/>
        </w:rPr>
        <w:tab/>
        <w:t>Istat.(2017) Indagine conoscitiva sulle politiche in materia di parità tra Donne e uomini.</w:t>
      </w:r>
    </w:p>
  </w:footnote>
  <w:footnote w:id="13">
    <w:p w14:paraId="40CC9046" w14:textId="182D0672" w:rsidR="007531A9" w:rsidRPr="000B3BAD" w:rsidRDefault="007531A9" w:rsidP="00570BC7">
      <w:pPr>
        <w:pStyle w:val="Notaapidipagina"/>
        <w:rPr>
          <w:i/>
          <w:iCs/>
          <w:sz w:val="18"/>
          <w:szCs w:val="18"/>
          <w:lang w:val="it-IT"/>
        </w:rPr>
      </w:pPr>
      <w:r w:rsidRPr="000B3BAD">
        <w:rPr>
          <w:i/>
          <w:iCs/>
          <w:sz w:val="18"/>
          <w:szCs w:val="18"/>
          <w:vertAlign w:val="superscript"/>
        </w:rPr>
        <w:footnoteRef/>
      </w:r>
      <w:r w:rsidRPr="000B3BAD">
        <w:rPr>
          <w:i/>
          <w:iCs/>
          <w:sz w:val="18"/>
          <w:szCs w:val="18"/>
          <w:lang w:val="it-IT"/>
        </w:rPr>
        <w:tab/>
        <w:t>UnionCamere – IMPRESA IN GENERE- 3 Rapporto sull'imprenditoria femminile 2016.</w:t>
      </w:r>
    </w:p>
  </w:footnote>
  <w:footnote w:id="14">
    <w:p w14:paraId="6C99C12E" w14:textId="77777777" w:rsidR="007531A9" w:rsidRDefault="007531A9" w:rsidP="00CD1294">
      <w:pPr>
        <w:pStyle w:val="Testonotaapidipagina"/>
      </w:pPr>
      <w:r w:rsidRPr="003730A0">
        <w:rPr>
          <w:rStyle w:val="Rimandonotaapidipagina"/>
          <w:vertAlign w:val="superscript"/>
        </w:rPr>
        <w:footnoteRef/>
      </w:r>
      <w:r>
        <w:t xml:space="preserve"> Banca d’Italia, Economia regionali (2018).</w:t>
      </w:r>
    </w:p>
  </w:footnote>
  <w:footnote w:id="15">
    <w:p w14:paraId="24DBEC0C" w14:textId="77777777" w:rsidR="007531A9" w:rsidRDefault="007531A9" w:rsidP="0047755C">
      <w:pPr>
        <w:pStyle w:val="Testonotaapidipagina"/>
      </w:pPr>
      <w:r w:rsidRPr="00354A10">
        <w:rPr>
          <w:rStyle w:val="Rimandonotaapidipagina"/>
          <w:vertAlign w:val="superscript"/>
        </w:rPr>
        <w:footnoteRef/>
      </w:r>
      <w:r w:rsidRPr="00354A10">
        <w:rPr>
          <w:vertAlign w:val="superscript"/>
        </w:rPr>
        <w:t xml:space="preserve"> </w:t>
      </w:r>
      <w:r w:rsidRPr="00847BDE">
        <w:t>http://www.regione.umbria.it/la-regione/bandi</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19290" w14:textId="4E89A6A8" w:rsidR="007531A9" w:rsidRDefault="007531A9" w:rsidP="00DD3C49">
    <w:pPr>
      <w:pStyle w:val="Intestazione"/>
      <w:jc w:val="left"/>
      <w:rPr>
        <w:noProof/>
      </w:rPr>
    </w:pPr>
    <w:r>
      <w:rPr>
        <w:noProof/>
        <w:lang w:eastAsia="it-IT"/>
      </w:rPr>
      <w:drawing>
        <wp:anchor distT="0" distB="0" distL="114300" distR="114300" simplePos="0" relativeHeight="251658240" behindDoc="0" locked="0" layoutInCell="1" allowOverlap="1" wp14:anchorId="48F04D88" wp14:editId="2BA8E2BE">
          <wp:simplePos x="0" y="0"/>
          <wp:positionH relativeFrom="column">
            <wp:posOffset>-224155</wp:posOffset>
          </wp:positionH>
          <wp:positionV relativeFrom="paragraph">
            <wp:posOffset>178435</wp:posOffset>
          </wp:positionV>
          <wp:extent cx="1670322" cy="263525"/>
          <wp:effectExtent l="0" t="0" r="6350" b="3175"/>
          <wp:wrapSquare wrapText="bothSides"/>
          <wp:docPr id="2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epore\Documents\Lattanzio\Logo LATTANZIO Advisory.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70322" cy="263525"/>
                  </a:xfrm>
                  <a:prstGeom prst="rect">
                    <a:avLst/>
                  </a:prstGeom>
                  <a:noFill/>
                  <a:ln>
                    <a:noFill/>
                  </a:ln>
                </pic:spPr>
              </pic:pic>
            </a:graphicData>
          </a:graphic>
        </wp:anchor>
      </w:drawing>
    </w:r>
  </w:p>
  <w:p w14:paraId="49E90F84" w14:textId="2C04C86C" w:rsidR="007531A9" w:rsidRDefault="007531A9" w:rsidP="00DD3C49">
    <w:pPr>
      <w:pStyle w:val="Intestazione"/>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B4D1D" w14:textId="77777777" w:rsidR="007531A9" w:rsidRDefault="007531A9">
    <w:pPr>
      <w:pStyle w:val="Intestazione"/>
    </w:pPr>
    <w:r>
      <w:rPr>
        <w:noProof/>
        <w:lang w:eastAsia="it-IT"/>
      </w:rPr>
      <w:drawing>
        <wp:anchor distT="0" distB="0" distL="114300" distR="114300" simplePos="0" relativeHeight="251659264" behindDoc="0" locked="0" layoutInCell="1" allowOverlap="1" wp14:anchorId="4C7B68CA" wp14:editId="21F7BC85">
          <wp:simplePos x="0" y="0"/>
          <wp:positionH relativeFrom="column">
            <wp:posOffset>0</wp:posOffset>
          </wp:positionH>
          <wp:positionV relativeFrom="paragraph">
            <wp:posOffset>-59055</wp:posOffset>
          </wp:positionV>
          <wp:extent cx="1673225" cy="263983"/>
          <wp:effectExtent l="0" t="0" r="3175" b="3175"/>
          <wp:wrapSquare wrapText="bothSides"/>
          <wp:docPr id="2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epore\Documents\Lattanzio\Logo LATTANZIO Advisory.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73225" cy="263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A1FEA" w14:textId="77777777" w:rsidR="007531A9" w:rsidRDefault="007531A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1D5"/>
    <w:multiLevelType w:val="hybridMultilevel"/>
    <w:tmpl w:val="5A46B418"/>
    <w:lvl w:ilvl="0" w:tplc="6568A320">
      <w:start w:val="1"/>
      <w:numFmt w:val="bullet"/>
      <w:lvlText w:val=""/>
      <w:lvlJc w:val="left"/>
      <w:pPr>
        <w:ind w:left="720" w:hanging="360"/>
      </w:pPr>
      <w:rPr>
        <w:rFonts w:ascii="Wingdings" w:hAnsi="Wingdings" w:hint="default"/>
        <w:color w:val="1F4E79" w:themeColor="accent1" w:themeShade="80"/>
        <w:sz w:val="22"/>
      </w:rPr>
    </w:lvl>
    <w:lvl w:ilvl="1" w:tplc="6568A320">
      <w:start w:val="1"/>
      <w:numFmt w:val="bullet"/>
      <w:lvlText w:val=""/>
      <w:lvlJc w:val="left"/>
      <w:pPr>
        <w:ind w:left="1440" w:hanging="360"/>
      </w:pPr>
      <w:rPr>
        <w:rFonts w:ascii="Wingdings" w:hAnsi="Wingdings" w:hint="default"/>
        <w:color w:val="1F4E79" w:themeColor="accent1" w:themeShade="80"/>
        <w:sz w:val="22"/>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251BC4"/>
    <w:multiLevelType w:val="hybridMultilevel"/>
    <w:tmpl w:val="CBD64912"/>
    <w:lvl w:ilvl="0" w:tplc="63FC3D56">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3C5126"/>
    <w:multiLevelType w:val="hybridMultilevel"/>
    <w:tmpl w:val="EBB4D8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8C30D6"/>
    <w:multiLevelType w:val="hybridMultilevel"/>
    <w:tmpl w:val="82F8E362"/>
    <w:lvl w:ilvl="0" w:tplc="ADE00C4E">
      <w:start w:val="1"/>
      <w:numFmt w:val="decimal"/>
      <w:lvlText w:val="%1."/>
      <w:lvlJc w:val="left"/>
      <w:pPr>
        <w:ind w:left="1080" w:hanging="720"/>
      </w:pPr>
      <w:rPr>
        <w:rFonts w:hint="default"/>
        <w:b/>
        <w:i w:val="0"/>
        <w:color w:val="1F3864" w:themeColor="accent5" w:themeShade="80"/>
      </w:rPr>
    </w:lvl>
    <w:lvl w:ilvl="1" w:tplc="C644B994">
      <w:numFmt w:val="bullet"/>
      <w:lvlText w:val="-"/>
      <w:lvlJc w:val="left"/>
      <w:pPr>
        <w:ind w:left="1440" w:hanging="360"/>
      </w:pPr>
      <w:rPr>
        <w:rFonts w:ascii="Times New Roman" w:eastAsiaTheme="minorHAnsi" w:hAnsi="Times New Roman" w:cs="Times New Roman" w:hint="default"/>
        <w:sz w:val="24"/>
      </w:rPr>
    </w:lvl>
    <w:lvl w:ilvl="2" w:tplc="ADE00C4E">
      <w:start w:val="1"/>
      <w:numFmt w:val="decimal"/>
      <w:lvlText w:val="%3."/>
      <w:lvlJc w:val="left"/>
      <w:pPr>
        <w:ind w:left="2685" w:hanging="705"/>
      </w:pPr>
      <w:rPr>
        <w:rFonts w:hint="default"/>
        <w:b/>
        <w:i w:val="0"/>
        <w:color w:val="1F3864" w:themeColor="accent5" w:themeShade="80"/>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98C6043"/>
    <w:multiLevelType w:val="hybridMultilevel"/>
    <w:tmpl w:val="C5F4B6C0"/>
    <w:lvl w:ilvl="0" w:tplc="790AD26E">
      <w:start w:val="1"/>
      <w:numFmt w:val="decimal"/>
      <w:lvlText w:val="Tab. %1."/>
      <w:lvlJc w:val="left"/>
      <w:pPr>
        <w:tabs>
          <w:tab w:val="num" w:pos="2552"/>
        </w:tabs>
        <w:ind w:left="2552" w:hanging="992"/>
      </w:pPr>
      <w:rPr>
        <w:rFonts w:ascii="Arial" w:hAnsi="Arial" w:cs="Arial" w:hint="default"/>
        <w:b/>
        <w:color w:val="999999"/>
        <w:sz w:val="20"/>
        <w:szCs w:val="20"/>
      </w:rPr>
    </w:lvl>
    <w:lvl w:ilvl="1" w:tplc="2668CB16">
      <w:start w:val="1"/>
      <w:numFmt w:val="decimal"/>
      <w:lvlText w:val="%2."/>
      <w:lvlJc w:val="left"/>
      <w:pPr>
        <w:tabs>
          <w:tab w:val="num" w:pos="1440"/>
        </w:tabs>
        <w:ind w:left="1440" w:hanging="360"/>
      </w:pPr>
      <w:rPr>
        <w:rFonts w:cs="Times New Roman"/>
      </w:rPr>
    </w:lvl>
    <w:lvl w:ilvl="2" w:tplc="BC021DCA">
      <w:start w:val="1"/>
      <w:numFmt w:val="decimal"/>
      <w:lvlText w:val="%3."/>
      <w:lvlJc w:val="left"/>
      <w:pPr>
        <w:tabs>
          <w:tab w:val="num" w:pos="2160"/>
        </w:tabs>
        <w:ind w:left="2160" w:hanging="360"/>
      </w:pPr>
      <w:rPr>
        <w:rFonts w:cs="Times New Roman"/>
      </w:rPr>
    </w:lvl>
    <w:lvl w:ilvl="3" w:tplc="47C8308E">
      <w:start w:val="1"/>
      <w:numFmt w:val="decimal"/>
      <w:lvlText w:val="%4."/>
      <w:lvlJc w:val="left"/>
      <w:pPr>
        <w:tabs>
          <w:tab w:val="num" w:pos="2880"/>
        </w:tabs>
        <w:ind w:left="2880" w:hanging="360"/>
      </w:pPr>
      <w:rPr>
        <w:rFonts w:cs="Times New Roman"/>
      </w:rPr>
    </w:lvl>
    <w:lvl w:ilvl="4" w:tplc="16760E46">
      <w:start w:val="1"/>
      <w:numFmt w:val="decimal"/>
      <w:lvlText w:val="%5."/>
      <w:lvlJc w:val="left"/>
      <w:pPr>
        <w:tabs>
          <w:tab w:val="num" w:pos="3600"/>
        </w:tabs>
        <w:ind w:left="3600" w:hanging="360"/>
      </w:pPr>
      <w:rPr>
        <w:rFonts w:cs="Times New Roman"/>
      </w:rPr>
    </w:lvl>
    <w:lvl w:ilvl="5" w:tplc="E01661B2">
      <w:start w:val="1"/>
      <w:numFmt w:val="decimal"/>
      <w:lvlText w:val="%6."/>
      <w:lvlJc w:val="left"/>
      <w:pPr>
        <w:tabs>
          <w:tab w:val="num" w:pos="4320"/>
        </w:tabs>
        <w:ind w:left="4320" w:hanging="360"/>
      </w:pPr>
      <w:rPr>
        <w:rFonts w:cs="Times New Roman"/>
      </w:rPr>
    </w:lvl>
    <w:lvl w:ilvl="6" w:tplc="796E1394">
      <w:start w:val="1"/>
      <w:numFmt w:val="decimal"/>
      <w:lvlText w:val="%7."/>
      <w:lvlJc w:val="left"/>
      <w:pPr>
        <w:tabs>
          <w:tab w:val="num" w:pos="5040"/>
        </w:tabs>
        <w:ind w:left="5040" w:hanging="360"/>
      </w:pPr>
      <w:rPr>
        <w:rFonts w:cs="Times New Roman"/>
      </w:rPr>
    </w:lvl>
    <w:lvl w:ilvl="7" w:tplc="91B654E2">
      <w:start w:val="1"/>
      <w:numFmt w:val="decimal"/>
      <w:lvlText w:val="%8."/>
      <w:lvlJc w:val="left"/>
      <w:pPr>
        <w:tabs>
          <w:tab w:val="num" w:pos="5760"/>
        </w:tabs>
        <w:ind w:left="5760" w:hanging="360"/>
      </w:pPr>
      <w:rPr>
        <w:rFonts w:cs="Times New Roman"/>
      </w:rPr>
    </w:lvl>
    <w:lvl w:ilvl="8" w:tplc="E9226C9E">
      <w:start w:val="1"/>
      <w:numFmt w:val="decimal"/>
      <w:lvlText w:val="%9."/>
      <w:lvlJc w:val="left"/>
      <w:pPr>
        <w:tabs>
          <w:tab w:val="num" w:pos="6480"/>
        </w:tabs>
        <w:ind w:left="6480" w:hanging="360"/>
      </w:pPr>
      <w:rPr>
        <w:rFonts w:cs="Times New Roman"/>
      </w:rPr>
    </w:lvl>
  </w:abstractNum>
  <w:abstractNum w:abstractNumId="5" w15:restartNumberingAfterBreak="0">
    <w:nsid w:val="13097A36"/>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169919E8"/>
    <w:multiLevelType w:val="hybridMultilevel"/>
    <w:tmpl w:val="2E4A283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9808B4"/>
    <w:multiLevelType w:val="hybridMultilevel"/>
    <w:tmpl w:val="303600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E5D0FC9"/>
    <w:multiLevelType w:val="multilevel"/>
    <w:tmpl w:val="FFFFFFFF"/>
    <w:lvl w:ilvl="0">
      <w:start w:val="1"/>
      <w:numFmt w:val="bullet"/>
      <w:lvlText w:val=""/>
      <w:lvlJc w:val="left"/>
      <w:pPr>
        <w:tabs>
          <w:tab w:val="num" w:pos="820"/>
        </w:tabs>
        <w:ind w:left="820" w:hanging="360"/>
      </w:pPr>
      <w:rPr>
        <w:rFonts w:ascii="Symbol" w:hAnsi="Symbol" w:cs="OpenSymbol" w:hint="default"/>
      </w:rPr>
    </w:lvl>
    <w:lvl w:ilvl="1">
      <w:start w:val="1"/>
      <w:numFmt w:val="bullet"/>
      <w:lvlText w:val="◦"/>
      <w:lvlJc w:val="left"/>
      <w:pPr>
        <w:tabs>
          <w:tab w:val="num" w:pos="1180"/>
        </w:tabs>
        <w:ind w:left="1180" w:hanging="360"/>
      </w:pPr>
      <w:rPr>
        <w:rFonts w:ascii="OpenSymbol" w:hAnsi="OpenSymbol" w:cs="OpenSymbol" w:hint="default"/>
      </w:rPr>
    </w:lvl>
    <w:lvl w:ilvl="2">
      <w:start w:val="1"/>
      <w:numFmt w:val="bullet"/>
      <w:lvlText w:val="▪"/>
      <w:lvlJc w:val="left"/>
      <w:pPr>
        <w:tabs>
          <w:tab w:val="num" w:pos="1540"/>
        </w:tabs>
        <w:ind w:left="1540" w:hanging="360"/>
      </w:pPr>
      <w:rPr>
        <w:rFonts w:ascii="OpenSymbol" w:hAnsi="OpenSymbol" w:cs="OpenSymbol" w:hint="default"/>
      </w:rPr>
    </w:lvl>
    <w:lvl w:ilvl="3">
      <w:start w:val="1"/>
      <w:numFmt w:val="bullet"/>
      <w:lvlText w:val=""/>
      <w:lvlJc w:val="left"/>
      <w:pPr>
        <w:tabs>
          <w:tab w:val="num" w:pos="1900"/>
        </w:tabs>
        <w:ind w:left="1900" w:hanging="360"/>
      </w:pPr>
      <w:rPr>
        <w:rFonts w:ascii="Symbol" w:hAnsi="Symbol" w:cs="OpenSymbol" w:hint="default"/>
      </w:rPr>
    </w:lvl>
    <w:lvl w:ilvl="4">
      <w:start w:val="1"/>
      <w:numFmt w:val="bullet"/>
      <w:lvlText w:val="◦"/>
      <w:lvlJc w:val="left"/>
      <w:pPr>
        <w:tabs>
          <w:tab w:val="num" w:pos="2260"/>
        </w:tabs>
        <w:ind w:left="2260" w:hanging="360"/>
      </w:pPr>
      <w:rPr>
        <w:rFonts w:ascii="OpenSymbol" w:hAnsi="OpenSymbol" w:cs="OpenSymbol" w:hint="default"/>
      </w:rPr>
    </w:lvl>
    <w:lvl w:ilvl="5">
      <w:start w:val="1"/>
      <w:numFmt w:val="bullet"/>
      <w:lvlText w:val="▪"/>
      <w:lvlJc w:val="left"/>
      <w:pPr>
        <w:tabs>
          <w:tab w:val="num" w:pos="2620"/>
        </w:tabs>
        <w:ind w:left="2620" w:hanging="360"/>
      </w:pPr>
      <w:rPr>
        <w:rFonts w:ascii="OpenSymbol" w:hAnsi="OpenSymbol" w:cs="OpenSymbol" w:hint="default"/>
      </w:rPr>
    </w:lvl>
    <w:lvl w:ilvl="6">
      <w:start w:val="1"/>
      <w:numFmt w:val="bullet"/>
      <w:lvlText w:val=""/>
      <w:lvlJc w:val="left"/>
      <w:pPr>
        <w:tabs>
          <w:tab w:val="num" w:pos="2980"/>
        </w:tabs>
        <w:ind w:left="2980" w:hanging="360"/>
      </w:pPr>
      <w:rPr>
        <w:rFonts w:ascii="Symbol" w:hAnsi="Symbol" w:cs="OpenSymbol" w:hint="default"/>
      </w:rPr>
    </w:lvl>
    <w:lvl w:ilvl="7">
      <w:start w:val="1"/>
      <w:numFmt w:val="bullet"/>
      <w:lvlText w:val="◦"/>
      <w:lvlJc w:val="left"/>
      <w:pPr>
        <w:tabs>
          <w:tab w:val="num" w:pos="3340"/>
        </w:tabs>
        <w:ind w:left="3340" w:hanging="360"/>
      </w:pPr>
      <w:rPr>
        <w:rFonts w:ascii="OpenSymbol" w:hAnsi="OpenSymbol" w:cs="OpenSymbol" w:hint="default"/>
      </w:rPr>
    </w:lvl>
    <w:lvl w:ilvl="8">
      <w:start w:val="1"/>
      <w:numFmt w:val="bullet"/>
      <w:lvlText w:val="▪"/>
      <w:lvlJc w:val="left"/>
      <w:pPr>
        <w:tabs>
          <w:tab w:val="num" w:pos="3700"/>
        </w:tabs>
        <w:ind w:left="3700" w:hanging="360"/>
      </w:pPr>
      <w:rPr>
        <w:rFonts w:ascii="OpenSymbol" w:hAnsi="OpenSymbol" w:cs="OpenSymbol" w:hint="default"/>
      </w:rPr>
    </w:lvl>
  </w:abstractNum>
  <w:abstractNum w:abstractNumId="9" w15:restartNumberingAfterBreak="0">
    <w:nsid w:val="1F5D65AC"/>
    <w:multiLevelType w:val="multilevel"/>
    <w:tmpl w:val="6AE41DE8"/>
    <w:lvl w:ilvl="0">
      <w:start w:val="1"/>
      <w:numFmt w:val="bullet"/>
      <w:lvlText w:val=""/>
      <w:lvlJc w:val="left"/>
      <w:pPr>
        <w:tabs>
          <w:tab w:val="num" w:pos="720"/>
        </w:tabs>
        <w:ind w:left="720" w:hanging="360"/>
      </w:pPr>
      <w:rPr>
        <w:rFonts w:ascii="Wingdings" w:hAnsi="Wingdings" w:hint="default"/>
        <w:color w:val="1F4E79" w:themeColor="accent1" w:themeShade="8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228A4265"/>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28C259EF"/>
    <w:multiLevelType w:val="multilevel"/>
    <w:tmpl w:val="D80E0BD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2977696B"/>
    <w:multiLevelType w:val="multilevel"/>
    <w:tmpl w:val="20A834D6"/>
    <w:lvl w:ilvl="0">
      <w:start w:val="1"/>
      <w:numFmt w:val="decimal"/>
      <w:pStyle w:val="CapitoloTitolo"/>
      <w:lvlText w:val="%1."/>
      <w:lvlJc w:val="left"/>
      <w:pPr>
        <w:ind w:left="720" w:hanging="360"/>
      </w:pPr>
      <w:rPr>
        <w:rFonts w:hint="default"/>
        <w:b/>
        <w:i w:val="0"/>
        <w:color w:val="1F4E79" w:themeColor="accent1" w:themeShade="80"/>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0D4685A"/>
    <w:multiLevelType w:val="hybridMultilevel"/>
    <w:tmpl w:val="2152AE02"/>
    <w:lvl w:ilvl="0" w:tplc="6568A320">
      <w:start w:val="1"/>
      <w:numFmt w:val="bullet"/>
      <w:lvlText w:val=""/>
      <w:lvlJc w:val="left"/>
      <w:pPr>
        <w:ind w:left="720" w:hanging="360"/>
      </w:pPr>
      <w:rPr>
        <w:rFonts w:ascii="Wingdings" w:hAnsi="Wingdings" w:hint="default"/>
        <w:color w:val="1F4E79" w:themeColor="accent1" w:themeShade="80"/>
        <w:sz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4B82EB8"/>
    <w:multiLevelType w:val="multilevel"/>
    <w:tmpl w:val="FFFFFFFF"/>
    <w:lvl w:ilvl="0">
      <w:start w:val="1"/>
      <w:numFmt w:val="bullet"/>
      <w:lvlText w:val=""/>
      <w:lvlJc w:val="left"/>
      <w:pPr>
        <w:ind w:left="0"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5" w15:restartNumberingAfterBreak="0">
    <w:nsid w:val="3D831877"/>
    <w:multiLevelType w:val="hybridMultilevel"/>
    <w:tmpl w:val="560EE41A"/>
    <w:lvl w:ilvl="0" w:tplc="02DAD5F4">
      <w:start w:val="1"/>
      <w:numFmt w:val="lowerRoman"/>
      <w:lvlText w:val="(%1)"/>
      <w:lvlJc w:val="left"/>
      <w:pPr>
        <w:ind w:left="1080" w:hanging="720"/>
      </w:pPr>
      <w:rPr>
        <w:rFonts w:hint="default"/>
        <w:b/>
        <w:color w:val="1F4E79" w:themeColor="accent1" w:themeShade="80"/>
      </w:rPr>
    </w:lvl>
    <w:lvl w:ilvl="1" w:tplc="C644B994">
      <w:numFmt w:val="bullet"/>
      <w:lvlText w:val="-"/>
      <w:lvlJc w:val="left"/>
      <w:pPr>
        <w:ind w:left="1440" w:hanging="360"/>
      </w:pPr>
      <w:rPr>
        <w:rFonts w:ascii="Times New Roman" w:eastAsiaTheme="minorHAnsi" w:hAnsi="Times New Roman" w:cs="Times New Roman" w:hint="default"/>
        <w:sz w:val="24"/>
      </w:rPr>
    </w:lvl>
    <w:lvl w:ilvl="2" w:tplc="646C1262">
      <w:start w:val="1"/>
      <w:numFmt w:val="decimal"/>
      <w:lvlText w:val="%3."/>
      <w:lvlJc w:val="left"/>
      <w:pPr>
        <w:ind w:left="2685" w:hanging="705"/>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AA90494"/>
    <w:multiLevelType w:val="multilevel"/>
    <w:tmpl w:val="8DD252CE"/>
    <w:lvl w:ilvl="0">
      <w:start w:val="1"/>
      <w:numFmt w:val="bullet"/>
      <w:lvlText w:val=""/>
      <w:lvlJc w:val="left"/>
      <w:rPr>
        <w:rFonts w:ascii="Symbol" w:hAnsi="Symbol" w:hint="default"/>
        <w:color w:val="1F4E79" w:themeColor="accent1" w:themeShade="80"/>
        <w:sz w:val="24"/>
        <w:szCs w:val="16"/>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15:restartNumberingAfterBreak="0">
    <w:nsid w:val="4C907730"/>
    <w:multiLevelType w:val="hybridMultilevel"/>
    <w:tmpl w:val="86C47176"/>
    <w:lvl w:ilvl="0" w:tplc="6568A320">
      <w:start w:val="1"/>
      <w:numFmt w:val="bullet"/>
      <w:lvlText w:val=""/>
      <w:lvlJc w:val="left"/>
      <w:pPr>
        <w:ind w:left="720" w:hanging="360"/>
      </w:pPr>
      <w:rPr>
        <w:rFonts w:ascii="Wingdings" w:hAnsi="Wingdings" w:hint="default"/>
        <w:color w:val="1F4E79" w:themeColor="accent1" w:themeShade="80"/>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F2C0207"/>
    <w:multiLevelType w:val="hybridMultilevel"/>
    <w:tmpl w:val="E2DA7B42"/>
    <w:lvl w:ilvl="0" w:tplc="6568A320">
      <w:start w:val="1"/>
      <w:numFmt w:val="bullet"/>
      <w:pStyle w:val="Sommario4"/>
      <w:lvlText w:val=""/>
      <w:lvlJc w:val="left"/>
      <w:pPr>
        <w:ind w:left="720" w:hanging="360"/>
      </w:pPr>
      <w:rPr>
        <w:rFonts w:ascii="Wingdings" w:hAnsi="Wingdings" w:hint="default"/>
        <w:color w:val="1F4E79" w:themeColor="accent1" w:themeShade="80"/>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FEF58ED"/>
    <w:multiLevelType w:val="hybridMultilevel"/>
    <w:tmpl w:val="976228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4811B47"/>
    <w:multiLevelType w:val="hybridMultilevel"/>
    <w:tmpl w:val="7012F75C"/>
    <w:lvl w:ilvl="0" w:tplc="6568A320">
      <w:start w:val="1"/>
      <w:numFmt w:val="bullet"/>
      <w:lvlText w:val=""/>
      <w:lvlJc w:val="left"/>
      <w:pPr>
        <w:ind w:left="720" w:hanging="360"/>
      </w:pPr>
      <w:rPr>
        <w:rFonts w:ascii="Wingdings" w:hAnsi="Wingdings" w:hint="default"/>
        <w:color w:val="1F4E79" w:themeColor="accent1" w:themeShade="80"/>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4E51B27"/>
    <w:multiLevelType w:val="multilevel"/>
    <w:tmpl w:val="B880B04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2" w15:restartNumberingAfterBreak="0">
    <w:nsid w:val="566517D0"/>
    <w:multiLevelType w:val="hybridMultilevel"/>
    <w:tmpl w:val="BF9C5664"/>
    <w:lvl w:ilvl="0" w:tplc="6568A320">
      <w:start w:val="1"/>
      <w:numFmt w:val="bullet"/>
      <w:lvlText w:val=""/>
      <w:lvlJc w:val="left"/>
      <w:pPr>
        <w:ind w:left="720" w:hanging="360"/>
      </w:pPr>
      <w:rPr>
        <w:rFonts w:ascii="Wingdings" w:hAnsi="Wingdings" w:hint="default"/>
        <w:color w:val="1F4E79" w:themeColor="accent1" w:themeShade="80"/>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2732058"/>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64612056"/>
    <w:multiLevelType w:val="multilevel"/>
    <w:tmpl w:val="772A1D7C"/>
    <w:lvl w:ilvl="0">
      <w:start w:val="1"/>
      <w:numFmt w:val="bullet"/>
      <w:lvlText w:val=""/>
      <w:lvlJc w:val="left"/>
      <w:pPr>
        <w:tabs>
          <w:tab w:val="num" w:pos="720"/>
        </w:tabs>
        <w:ind w:left="720" w:hanging="360"/>
      </w:pPr>
      <w:rPr>
        <w:rFonts w:ascii="Wingdings" w:hAnsi="Wingdings" w:hint="default"/>
        <w:color w:val="1F4E79" w:themeColor="accent1" w:themeShade="8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6AB7343E"/>
    <w:multiLevelType w:val="hybridMultilevel"/>
    <w:tmpl w:val="EA5EDD8C"/>
    <w:lvl w:ilvl="0" w:tplc="02DAD5F4">
      <w:start w:val="1"/>
      <w:numFmt w:val="lowerRoman"/>
      <w:lvlText w:val="(%1)"/>
      <w:lvlJc w:val="left"/>
      <w:pPr>
        <w:ind w:left="1080" w:hanging="720"/>
      </w:pPr>
      <w:rPr>
        <w:rFonts w:hint="default"/>
        <w:b/>
        <w:color w:val="1F4E79" w:themeColor="accent1" w:themeShade="80"/>
      </w:rPr>
    </w:lvl>
    <w:lvl w:ilvl="1" w:tplc="C644B994">
      <w:numFmt w:val="bullet"/>
      <w:lvlText w:val="-"/>
      <w:lvlJc w:val="left"/>
      <w:pPr>
        <w:ind w:left="1440" w:hanging="360"/>
      </w:pPr>
      <w:rPr>
        <w:rFonts w:ascii="Times New Roman" w:eastAsiaTheme="minorHAnsi" w:hAnsi="Times New Roman" w:cs="Times New Roman" w:hint="default"/>
        <w:sz w:val="24"/>
      </w:rPr>
    </w:lvl>
    <w:lvl w:ilvl="2" w:tplc="ADE00C4E">
      <w:start w:val="1"/>
      <w:numFmt w:val="decimal"/>
      <w:lvlText w:val="%3."/>
      <w:lvlJc w:val="left"/>
      <w:pPr>
        <w:ind w:left="2685" w:hanging="705"/>
      </w:pPr>
      <w:rPr>
        <w:rFonts w:hint="default"/>
        <w:b/>
        <w:i w:val="0"/>
        <w:color w:val="1F3864" w:themeColor="accent5" w:themeShade="80"/>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55C1AB1"/>
    <w:multiLevelType w:val="hybridMultilevel"/>
    <w:tmpl w:val="5D0879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6740BB5"/>
    <w:multiLevelType w:val="multilevel"/>
    <w:tmpl w:val="AD72608E"/>
    <w:lvl w:ilvl="0">
      <w:start w:val="1"/>
      <w:numFmt w:val="decimal"/>
      <w:lvlText w:val="%1"/>
      <w:lvlJc w:val="left"/>
      <w:pPr>
        <w:ind w:left="709" w:hanging="709"/>
      </w:pPr>
      <w:rPr>
        <w:rFonts w:hint="default"/>
      </w:rPr>
    </w:lvl>
    <w:lvl w:ilvl="1">
      <w:start w:val="1"/>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ParagrafoLivello4"/>
      <w:isLgl/>
      <w:lvlText w:val="%1.%2.%3.%4"/>
      <w:lvlJc w:val="left"/>
      <w:pPr>
        <w:ind w:left="709" w:hanging="709"/>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709" w:hanging="709"/>
      </w:pPr>
      <w:rPr>
        <w:rFonts w:hint="default"/>
      </w:rPr>
    </w:lvl>
    <w:lvl w:ilvl="5">
      <w:start w:val="1"/>
      <w:numFmt w:val="decimal"/>
      <w:isLgl/>
      <w:lvlText w:val="%1.%2.%3.%4.%5.%6"/>
      <w:lvlJc w:val="left"/>
      <w:pPr>
        <w:ind w:left="709" w:hanging="709"/>
      </w:pPr>
      <w:rPr>
        <w:rFonts w:hint="default"/>
      </w:rPr>
    </w:lvl>
    <w:lvl w:ilvl="6">
      <w:start w:val="1"/>
      <w:numFmt w:val="decimal"/>
      <w:isLgl/>
      <w:lvlText w:val="%1.%2.%3.%4.%5.%6.%7"/>
      <w:lvlJc w:val="left"/>
      <w:pPr>
        <w:ind w:left="709" w:hanging="709"/>
      </w:pPr>
      <w:rPr>
        <w:rFonts w:hint="default"/>
      </w:rPr>
    </w:lvl>
    <w:lvl w:ilvl="7">
      <w:start w:val="1"/>
      <w:numFmt w:val="decimal"/>
      <w:isLgl/>
      <w:lvlText w:val="%1.%2.%3.%4.%5.%6.%7.%8"/>
      <w:lvlJc w:val="left"/>
      <w:pPr>
        <w:ind w:left="709" w:hanging="709"/>
      </w:pPr>
      <w:rPr>
        <w:rFonts w:hint="default"/>
      </w:rPr>
    </w:lvl>
    <w:lvl w:ilvl="8">
      <w:start w:val="1"/>
      <w:numFmt w:val="decimal"/>
      <w:isLgl/>
      <w:lvlText w:val="%1.%2.%3.%4.%5.%6.%7.%8.%9"/>
      <w:lvlJc w:val="left"/>
      <w:pPr>
        <w:ind w:left="709" w:hanging="709"/>
      </w:pPr>
      <w:rPr>
        <w:rFonts w:hint="default"/>
      </w:rPr>
    </w:lvl>
  </w:abstractNum>
  <w:num w:numId="1">
    <w:abstractNumId w:val="27"/>
  </w:num>
  <w:num w:numId="2">
    <w:abstractNumId w:val="4"/>
  </w:num>
  <w:num w:numId="3">
    <w:abstractNumId w:val="12"/>
  </w:num>
  <w:num w:numId="4">
    <w:abstractNumId w:val="10"/>
  </w:num>
  <w:num w:numId="5">
    <w:abstractNumId w:val="23"/>
  </w:num>
  <w:num w:numId="6">
    <w:abstractNumId w:val="5"/>
  </w:num>
  <w:num w:numId="7">
    <w:abstractNumId w:val="14"/>
  </w:num>
  <w:num w:numId="8">
    <w:abstractNumId w:val="8"/>
  </w:num>
  <w:num w:numId="9">
    <w:abstractNumId w:val="15"/>
  </w:num>
  <w:num w:numId="10">
    <w:abstractNumId w:val="7"/>
  </w:num>
  <w:num w:numId="11">
    <w:abstractNumId w:val="21"/>
  </w:num>
  <w:num w:numId="12">
    <w:abstractNumId w:val="11"/>
  </w:num>
  <w:num w:numId="13">
    <w:abstractNumId w:val="16"/>
  </w:num>
  <w:num w:numId="14">
    <w:abstractNumId w:val="22"/>
  </w:num>
  <w:num w:numId="15">
    <w:abstractNumId w:val="19"/>
  </w:num>
  <w:num w:numId="16">
    <w:abstractNumId w:val="1"/>
  </w:num>
  <w:num w:numId="17">
    <w:abstractNumId w:val="6"/>
  </w:num>
  <w:num w:numId="18">
    <w:abstractNumId w:val="20"/>
  </w:num>
  <w:num w:numId="19">
    <w:abstractNumId w:val="26"/>
  </w:num>
  <w:num w:numId="20">
    <w:abstractNumId w:val="24"/>
  </w:num>
  <w:num w:numId="21">
    <w:abstractNumId w:val="9"/>
  </w:num>
  <w:num w:numId="22">
    <w:abstractNumId w:val="17"/>
  </w:num>
  <w:num w:numId="23">
    <w:abstractNumId w:val="13"/>
  </w:num>
  <w:num w:numId="24">
    <w:abstractNumId w:val="0"/>
  </w:num>
  <w:num w:numId="25">
    <w:abstractNumId w:val="18"/>
  </w:num>
  <w:num w:numId="26">
    <w:abstractNumId w:val="2"/>
  </w:num>
  <w:num w:numId="27">
    <w:abstractNumId w:val="25"/>
  </w:num>
  <w:num w:numId="2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D82"/>
    <w:rsid w:val="00000789"/>
    <w:rsid w:val="00001DA1"/>
    <w:rsid w:val="00004FA2"/>
    <w:rsid w:val="000072FD"/>
    <w:rsid w:val="0000764A"/>
    <w:rsid w:val="000120F4"/>
    <w:rsid w:val="00012D7E"/>
    <w:rsid w:val="00013E27"/>
    <w:rsid w:val="00015B2B"/>
    <w:rsid w:val="00023797"/>
    <w:rsid w:val="00026C74"/>
    <w:rsid w:val="00032D3D"/>
    <w:rsid w:val="00035E0D"/>
    <w:rsid w:val="00041902"/>
    <w:rsid w:val="000473F3"/>
    <w:rsid w:val="00054423"/>
    <w:rsid w:val="000625FC"/>
    <w:rsid w:val="0006683F"/>
    <w:rsid w:val="00066F5E"/>
    <w:rsid w:val="00070A22"/>
    <w:rsid w:val="00072DFB"/>
    <w:rsid w:val="000756B7"/>
    <w:rsid w:val="00075B43"/>
    <w:rsid w:val="00080A7E"/>
    <w:rsid w:val="0008224B"/>
    <w:rsid w:val="00083B33"/>
    <w:rsid w:val="00085712"/>
    <w:rsid w:val="00090B91"/>
    <w:rsid w:val="000915E4"/>
    <w:rsid w:val="00095A84"/>
    <w:rsid w:val="00096B27"/>
    <w:rsid w:val="000A2210"/>
    <w:rsid w:val="000A5E00"/>
    <w:rsid w:val="000A7AFD"/>
    <w:rsid w:val="000B0909"/>
    <w:rsid w:val="000B13A1"/>
    <w:rsid w:val="000B3BAD"/>
    <w:rsid w:val="000B43D5"/>
    <w:rsid w:val="000C0C1C"/>
    <w:rsid w:val="000C333C"/>
    <w:rsid w:val="000C4503"/>
    <w:rsid w:val="000C70BD"/>
    <w:rsid w:val="000D2AF0"/>
    <w:rsid w:val="000D2B77"/>
    <w:rsid w:val="000D3969"/>
    <w:rsid w:val="000D4488"/>
    <w:rsid w:val="000E0422"/>
    <w:rsid w:val="000E2B47"/>
    <w:rsid w:val="000E4F2A"/>
    <w:rsid w:val="000E5203"/>
    <w:rsid w:val="000E55F8"/>
    <w:rsid w:val="000F53BF"/>
    <w:rsid w:val="000F605D"/>
    <w:rsid w:val="000F67C2"/>
    <w:rsid w:val="00104A87"/>
    <w:rsid w:val="00105622"/>
    <w:rsid w:val="00111829"/>
    <w:rsid w:val="0011249F"/>
    <w:rsid w:val="00114731"/>
    <w:rsid w:val="00114F8A"/>
    <w:rsid w:val="0011609A"/>
    <w:rsid w:val="00117378"/>
    <w:rsid w:val="0012030B"/>
    <w:rsid w:val="00123995"/>
    <w:rsid w:val="00123A3E"/>
    <w:rsid w:val="001273C6"/>
    <w:rsid w:val="0012759C"/>
    <w:rsid w:val="00133542"/>
    <w:rsid w:val="00137048"/>
    <w:rsid w:val="001412F2"/>
    <w:rsid w:val="00145C5F"/>
    <w:rsid w:val="00147C4F"/>
    <w:rsid w:val="001558A1"/>
    <w:rsid w:val="00160310"/>
    <w:rsid w:val="0016478D"/>
    <w:rsid w:val="00170773"/>
    <w:rsid w:val="00184216"/>
    <w:rsid w:val="00184A87"/>
    <w:rsid w:val="00185026"/>
    <w:rsid w:val="00185228"/>
    <w:rsid w:val="00185255"/>
    <w:rsid w:val="001907AA"/>
    <w:rsid w:val="00194687"/>
    <w:rsid w:val="001A0353"/>
    <w:rsid w:val="001A19A0"/>
    <w:rsid w:val="001B04B3"/>
    <w:rsid w:val="001B237E"/>
    <w:rsid w:val="001B7C2B"/>
    <w:rsid w:val="001C1E12"/>
    <w:rsid w:val="001C7D9C"/>
    <w:rsid w:val="001D1267"/>
    <w:rsid w:val="001D29E5"/>
    <w:rsid w:val="001D38D7"/>
    <w:rsid w:val="001D56E9"/>
    <w:rsid w:val="001E4E35"/>
    <w:rsid w:val="001F428E"/>
    <w:rsid w:val="001F5A81"/>
    <w:rsid w:val="001F5E3D"/>
    <w:rsid w:val="00200367"/>
    <w:rsid w:val="00200FE7"/>
    <w:rsid w:val="00201AC0"/>
    <w:rsid w:val="00214D2B"/>
    <w:rsid w:val="00216A8C"/>
    <w:rsid w:val="00221E0E"/>
    <w:rsid w:val="002249FB"/>
    <w:rsid w:val="002274B2"/>
    <w:rsid w:val="002401CA"/>
    <w:rsid w:val="00246D0B"/>
    <w:rsid w:val="002505AF"/>
    <w:rsid w:val="00250B0E"/>
    <w:rsid w:val="00252315"/>
    <w:rsid w:val="0025589C"/>
    <w:rsid w:val="00255BCA"/>
    <w:rsid w:val="00256FE1"/>
    <w:rsid w:val="00261DDD"/>
    <w:rsid w:val="00262795"/>
    <w:rsid w:val="00265B10"/>
    <w:rsid w:val="00277338"/>
    <w:rsid w:val="00285F18"/>
    <w:rsid w:val="00286467"/>
    <w:rsid w:val="00286BF2"/>
    <w:rsid w:val="00291CD8"/>
    <w:rsid w:val="00295319"/>
    <w:rsid w:val="002A0777"/>
    <w:rsid w:val="002A482A"/>
    <w:rsid w:val="002B5318"/>
    <w:rsid w:val="002B60A2"/>
    <w:rsid w:val="002B76C2"/>
    <w:rsid w:val="002B7FCA"/>
    <w:rsid w:val="002C11E0"/>
    <w:rsid w:val="002C46D2"/>
    <w:rsid w:val="002D2FD1"/>
    <w:rsid w:val="002D2FD7"/>
    <w:rsid w:val="002D4781"/>
    <w:rsid w:val="002D5822"/>
    <w:rsid w:val="002E4BEE"/>
    <w:rsid w:val="002F074A"/>
    <w:rsid w:val="002F2ACA"/>
    <w:rsid w:val="002F4CF3"/>
    <w:rsid w:val="003009BC"/>
    <w:rsid w:val="00300CD2"/>
    <w:rsid w:val="003030CC"/>
    <w:rsid w:val="00303E56"/>
    <w:rsid w:val="00307486"/>
    <w:rsid w:val="003077E6"/>
    <w:rsid w:val="0031772D"/>
    <w:rsid w:val="003179EC"/>
    <w:rsid w:val="003204CD"/>
    <w:rsid w:val="0032163D"/>
    <w:rsid w:val="0032511F"/>
    <w:rsid w:val="00331F20"/>
    <w:rsid w:val="00336A59"/>
    <w:rsid w:val="003465A6"/>
    <w:rsid w:val="00347A42"/>
    <w:rsid w:val="0035122E"/>
    <w:rsid w:val="00352429"/>
    <w:rsid w:val="00354A10"/>
    <w:rsid w:val="00355FE5"/>
    <w:rsid w:val="00363A15"/>
    <w:rsid w:val="00372803"/>
    <w:rsid w:val="003730A0"/>
    <w:rsid w:val="0037397F"/>
    <w:rsid w:val="00374D2F"/>
    <w:rsid w:val="00386CE9"/>
    <w:rsid w:val="0039192E"/>
    <w:rsid w:val="00391E0F"/>
    <w:rsid w:val="00392B78"/>
    <w:rsid w:val="00396B93"/>
    <w:rsid w:val="003A568E"/>
    <w:rsid w:val="003B180A"/>
    <w:rsid w:val="003B44A6"/>
    <w:rsid w:val="003C1827"/>
    <w:rsid w:val="003C28B8"/>
    <w:rsid w:val="003C354A"/>
    <w:rsid w:val="003D2721"/>
    <w:rsid w:val="003D4D37"/>
    <w:rsid w:val="003D5183"/>
    <w:rsid w:val="003E0839"/>
    <w:rsid w:val="003E262A"/>
    <w:rsid w:val="003E2928"/>
    <w:rsid w:val="003F0184"/>
    <w:rsid w:val="003F3D9B"/>
    <w:rsid w:val="003F45E3"/>
    <w:rsid w:val="00401D82"/>
    <w:rsid w:val="004077CE"/>
    <w:rsid w:val="004123BF"/>
    <w:rsid w:val="00412E7B"/>
    <w:rsid w:val="0041522B"/>
    <w:rsid w:val="00420EE0"/>
    <w:rsid w:val="004228DF"/>
    <w:rsid w:val="004255A7"/>
    <w:rsid w:val="004405B5"/>
    <w:rsid w:val="0044306A"/>
    <w:rsid w:val="004451DE"/>
    <w:rsid w:val="004506D1"/>
    <w:rsid w:val="004507FA"/>
    <w:rsid w:val="004512F6"/>
    <w:rsid w:val="0045550C"/>
    <w:rsid w:val="0045554E"/>
    <w:rsid w:val="00455A3C"/>
    <w:rsid w:val="004620A1"/>
    <w:rsid w:val="00462983"/>
    <w:rsid w:val="00463315"/>
    <w:rsid w:val="00466BAA"/>
    <w:rsid w:val="0047755C"/>
    <w:rsid w:val="004851BF"/>
    <w:rsid w:val="004851ED"/>
    <w:rsid w:val="00485293"/>
    <w:rsid w:val="00494DC2"/>
    <w:rsid w:val="0049532B"/>
    <w:rsid w:val="0049675F"/>
    <w:rsid w:val="00496EFA"/>
    <w:rsid w:val="004A1CD8"/>
    <w:rsid w:val="004A5ED7"/>
    <w:rsid w:val="004B53A0"/>
    <w:rsid w:val="004B6B84"/>
    <w:rsid w:val="004B76C3"/>
    <w:rsid w:val="004C0F01"/>
    <w:rsid w:val="004C2C82"/>
    <w:rsid w:val="004C740D"/>
    <w:rsid w:val="004C7F90"/>
    <w:rsid w:val="004D33A8"/>
    <w:rsid w:val="004D43C9"/>
    <w:rsid w:val="004D614B"/>
    <w:rsid w:val="004F3E5A"/>
    <w:rsid w:val="004F502F"/>
    <w:rsid w:val="00500B87"/>
    <w:rsid w:val="00510146"/>
    <w:rsid w:val="00512B17"/>
    <w:rsid w:val="00512D0A"/>
    <w:rsid w:val="005136DD"/>
    <w:rsid w:val="00520EFE"/>
    <w:rsid w:val="005369C3"/>
    <w:rsid w:val="00541EC5"/>
    <w:rsid w:val="00544484"/>
    <w:rsid w:val="00544F8D"/>
    <w:rsid w:val="00545BC5"/>
    <w:rsid w:val="00552DB9"/>
    <w:rsid w:val="00553240"/>
    <w:rsid w:val="00562C97"/>
    <w:rsid w:val="00570BC7"/>
    <w:rsid w:val="00572F5E"/>
    <w:rsid w:val="00583F7E"/>
    <w:rsid w:val="005A00DB"/>
    <w:rsid w:val="005A0A7A"/>
    <w:rsid w:val="005A32F0"/>
    <w:rsid w:val="005A6501"/>
    <w:rsid w:val="005B00C9"/>
    <w:rsid w:val="005B1CF5"/>
    <w:rsid w:val="005B2F43"/>
    <w:rsid w:val="005C0959"/>
    <w:rsid w:val="005C4561"/>
    <w:rsid w:val="005D106B"/>
    <w:rsid w:val="005E0CEC"/>
    <w:rsid w:val="005F3D94"/>
    <w:rsid w:val="0060027D"/>
    <w:rsid w:val="00602C55"/>
    <w:rsid w:val="00616F60"/>
    <w:rsid w:val="00623251"/>
    <w:rsid w:val="006252E0"/>
    <w:rsid w:val="0063725A"/>
    <w:rsid w:val="0064207A"/>
    <w:rsid w:val="0065403B"/>
    <w:rsid w:val="0065448F"/>
    <w:rsid w:val="0065705A"/>
    <w:rsid w:val="0066053E"/>
    <w:rsid w:val="00661119"/>
    <w:rsid w:val="00661503"/>
    <w:rsid w:val="00670E31"/>
    <w:rsid w:val="00683BE4"/>
    <w:rsid w:val="0068556C"/>
    <w:rsid w:val="00685993"/>
    <w:rsid w:val="00687AF4"/>
    <w:rsid w:val="00695C90"/>
    <w:rsid w:val="00696905"/>
    <w:rsid w:val="006A2320"/>
    <w:rsid w:val="006A5F8C"/>
    <w:rsid w:val="006B08C0"/>
    <w:rsid w:val="006B3361"/>
    <w:rsid w:val="006C4596"/>
    <w:rsid w:val="006D2B7E"/>
    <w:rsid w:val="006D345A"/>
    <w:rsid w:val="006D3778"/>
    <w:rsid w:val="006D4DEF"/>
    <w:rsid w:val="006D5C31"/>
    <w:rsid w:val="006E4D9A"/>
    <w:rsid w:val="006F1F32"/>
    <w:rsid w:val="006F309D"/>
    <w:rsid w:val="006F3302"/>
    <w:rsid w:val="006F502B"/>
    <w:rsid w:val="0070224F"/>
    <w:rsid w:val="00702736"/>
    <w:rsid w:val="0070596C"/>
    <w:rsid w:val="0070647C"/>
    <w:rsid w:val="0070713C"/>
    <w:rsid w:val="00707858"/>
    <w:rsid w:val="00714AA8"/>
    <w:rsid w:val="0072072D"/>
    <w:rsid w:val="00720C36"/>
    <w:rsid w:val="00720DBB"/>
    <w:rsid w:val="00723C58"/>
    <w:rsid w:val="007313DC"/>
    <w:rsid w:val="007319E8"/>
    <w:rsid w:val="00734B59"/>
    <w:rsid w:val="0074768A"/>
    <w:rsid w:val="00750FF9"/>
    <w:rsid w:val="007531A9"/>
    <w:rsid w:val="007557ED"/>
    <w:rsid w:val="0075631C"/>
    <w:rsid w:val="007604FD"/>
    <w:rsid w:val="0076506A"/>
    <w:rsid w:val="007731E1"/>
    <w:rsid w:val="00777939"/>
    <w:rsid w:val="00787DAB"/>
    <w:rsid w:val="00793C80"/>
    <w:rsid w:val="007A1273"/>
    <w:rsid w:val="007A1833"/>
    <w:rsid w:val="007A78C0"/>
    <w:rsid w:val="007B32D4"/>
    <w:rsid w:val="007B34CA"/>
    <w:rsid w:val="007C0C35"/>
    <w:rsid w:val="007C3D0A"/>
    <w:rsid w:val="007C5C62"/>
    <w:rsid w:val="007D35B1"/>
    <w:rsid w:val="007D39E7"/>
    <w:rsid w:val="007D4B0C"/>
    <w:rsid w:val="007D6587"/>
    <w:rsid w:val="007D6DBD"/>
    <w:rsid w:val="007E1207"/>
    <w:rsid w:val="007E1B4B"/>
    <w:rsid w:val="007E2688"/>
    <w:rsid w:val="007F1142"/>
    <w:rsid w:val="007F61EE"/>
    <w:rsid w:val="008018E5"/>
    <w:rsid w:val="0080494C"/>
    <w:rsid w:val="008101AA"/>
    <w:rsid w:val="00816E3A"/>
    <w:rsid w:val="00823355"/>
    <w:rsid w:val="00823FA7"/>
    <w:rsid w:val="00824552"/>
    <w:rsid w:val="008339DD"/>
    <w:rsid w:val="0083413D"/>
    <w:rsid w:val="00834F96"/>
    <w:rsid w:val="00837A49"/>
    <w:rsid w:val="0085102A"/>
    <w:rsid w:val="00851F1A"/>
    <w:rsid w:val="00852B1A"/>
    <w:rsid w:val="0086526C"/>
    <w:rsid w:val="008656AA"/>
    <w:rsid w:val="008662B5"/>
    <w:rsid w:val="008668C3"/>
    <w:rsid w:val="00866B0B"/>
    <w:rsid w:val="00866DD0"/>
    <w:rsid w:val="00871605"/>
    <w:rsid w:val="00890826"/>
    <w:rsid w:val="00891565"/>
    <w:rsid w:val="00892A62"/>
    <w:rsid w:val="00893DB8"/>
    <w:rsid w:val="00893FCC"/>
    <w:rsid w:val="00896336"/>
    <w:rsid w:val="008A666D"/>
    <w:rsid w:val="008B5106"/>
    <w:rsid w:val="008B5841"/>
    <w:rsid w:val="008C0C8D"/>
    <w:rsid w:val="008C245D"/>
    <w:rsid w:val="008C45F0"/>
    <w:rsid w:val="008C6AA2"/>
    <w:rsid w:val="008C720C"/>
    <w:rsid w:val="008D0ECC"/>
    <w:rsid w:val="008D3579"/>
    <w:rsid w:val="008D3E0F"/>
    <w:rsid w:val="008E6FCA"/>
    <w:rsid w:val="008F31F7"/>
    <w:rsid w:val="008F466D"/>
    <w:rsid w:val="0090060C"/>
    <w:rsid w:val="00901B65"/>
    <w:rsid w:val="00905784"/>
    <w:rsid w:val="00907EA1"/>
    <w:rsid w:val="009121A8"/>
    <w:rsid w:val="00912B9B"/>
    <w:rsid w:val="009147D8"/>
    <w:rsid w:val="00922DAF"/>
    <w:rsid w:val="00923D5B"/>
    <w:rsid w:val="009251BC"/>
    <w:rsid w:val="009374F0"/>
    <w:rsid w:val="00937695"/>
    <w:rsid w:val="0094342D"/>
    <w:rsid w:val="00947161"/>
    <w:rsid w:val="00950241"/>
    <w:rsid w:val="00952338"/>
    <w:rsid w:val="00957965"/>
    <w:rsid w:val="00957E07"/>
    <w:rsid w:val="00961677"/>
    <w:rsid w:val="00962D11"/>
    <w:rsid w:val="00970487"/>
    <w:rsid w:val="009706B5"/>
    <w:rsid w:val="009720A7"/>
    <w:rsid w:val="009725E9"/>
    <w:rsid w:val="00976411"/>
    <w:rsid w:val="009778D8"/>
    <w:rsid w:val="0098085E"/>
    <w:rsid w:val="009938BA"/>
    <w:rsid w:val="0099393A"/>
    <w:rsid w:val="00994C03"/>
    <w:rsid w:val="00995B9F"/>
    <w:rsid w:val="00996931"/>
    <w:rsid w:val="00997246"/>
    <w:rsid w:val="009A226E"/>
    <w:rsid w:val="009A3ECD"/>
    <w:rsid w:val="009B7E6C"/>
    <w:rsid w:val="009C0C88"/>
    <w:rsid w:val="009C1809"/>
    <w:rsid w:val="009C31FC"/>
    <w:rsid w:val="009C323A"/>
    <w:rsid w:val="009D2CFC"/>
    <w:rsid w:val="009D2E0C"/>
    <w:rsid w:val="009D4651"/>
    <w:rsid w:val="009E21B4"/>
    <w:rsid w:val="009E496B"/>
    <w:rsid w:val="009E5219"/>
    <w:rsid w:val="009E7C47"/>
    <w:rsid w:val="009E7E0B"/>
    <w:rsid w:val="009F0B63"/>
    <w:rsid w:val="009F1A76"/>
    <w:rsid w:val="009F3415"/>
    <w:rsid w:val="009F620A"/>
    <w:rsid w:val="00A01E43"/>
    <w:rsid w:val="00A01E9B"/>
    <w:rsid w:val="00A03353"/>
    <w:rsid w:val="00A051F0"/>
    <w:rsid w:val="00A05E74"/>
    <w:rsid w:val="00A078A6"/>
    <w:rsid w:val="00A10C02"/>
    <w:rsid w:val="00A1309D"/>
    <w:rsid w:val="00A14E00"/>
    <w:rsid w:val="00A171F2"/>
    <w:rsid w:val="00A173E5"/>
    <w:rsid w:val="00A21BDC"/>
    <w:rsid w:val="00A31BDF"/>
    <w:rsid w:val="00A33085"/>
    <w:rsid w:val="00A350C1"/>
    <w:rsid w:val="00A357EF"/>
    <w:rsid w:val="00A379FF"/>
    <w:rsid w:val="00A44802"/>
    <w:rsid w:val="00A4567B"/>
    <w:rsid w:val="00A46B92"/>
    <w:rsid w:val="00A50A6A"/>
    <w:rsid w:val="00A554DB"/>
    <w:rsid w:val="00A74C12"/>
    <w:rsid w:val="00A80CDD"/>
    <w:rsid w:val="00A82CDF"/>
    <w:rsid w:val="00A878CF"/>
    <w:rsid w:val="00A908A8"/>
    <w:rsid w:val="00A91CEF"/>
    <w:rsid w:val="00A9407D"/>
    <w:rsid w:val="00A9484E"/>
    <w:rsid w:val="00A95226"/>
    <w:rsid w:val="00A9784E"/>
    <w:rsid w:val="00AA0E00"/>
    <w:rsid w:val="00AA2968"/>
    <w:rsid w:val="00AA5751"/>
    <w:rsid w:val="00AA6B47"/>
    <w:rsid w:val="00AA72D9"/>
    <w:rsid w:val="00AB0844"/>
    <w:rsid w:val="00AB2472"/>
    <w:rsid w:val="00AB60B9"/>
    <w:rsid w:val="00AB68DB"/>
    <w:rsid w:val="00AC51D5"/>
    <w:rsid w:val="00AC5B23"/>
    <w:rsid w:val="00AC6021"/>
    <w:rsid w:val="00AD3177"/>
    <w:rsid w:val="00AD475B"/>
    <w:rsid w:val="00AD4889"/>
    <w:rsid w:val="00AD6D6B"/>
    <w:rsid w:val="00AE1C33"/>
    <w:rsid w:val="00AE3032"/>
    <w:rsid w:val="00AE466D"/>
    <w:rsid w:val="00AE6569"/>
    <w:rsid w:val="00AE6579"/>
    <w:rsid w:val="00AE78AA"/>
    <w:rsid w:val="00AF2DEC"/>
    <w:rsid w:val="00AF4FE4"/>
    <w:rsid w:val="00AF65EF"/>
    <w:rsid w:val="00AF7326"/>
    <w:rsid w:val="00B021CC"/>
    <w:rsid w:val="00B02539"/>
    <w:rsid w:val="00B03176"/>
    <w:rsid w:val="00B04029"/>
    <w:rsid w:val="00B11B46"/>
    <w:rsid w:val="00B13BDB"/>
    <w:rsid w:val="00B1699C"/>
    <w:rsid w:val="00B1784C"/>
    <w:rsid w:val="00B22987"/>
    <w:rsid w:val="00B22C61"/>
    <w:rsid w:val="00B22E63"/>
    <w:rsid w:val="00B25A9F"/>
    <w:rsid w:val="00B4011C"/>
    <w:rsid w:val="00B4615A"/>
    <w:rsid w:val="00B5159E"/>
    <w:rsid w:val="00B54474"/>
    <w:rsid w:val="00B54ACB"/>
    <w:rsid w:val="00B566B0"/>
    <w:rsid w:val="00B6380D"/>
    <w:rsid w:val="00B6455F"/>
    <w:rsid w:val="00B6724F"/>
    <w:rsid w:val="00B72CA9"/>
    <w:rsid w:val="00B765D9"/>
    <w:rsid w:val="00B924A7"/>
    <w:rsid w:val="00B933D4"/>
    <w:rsid w:val="00B96261"/>
    <w:rsid w:val="00BA0489"/>
    <w:rsid w:val="00BA13DF"/>
    <w:rsid w:val="00BA216A"/>
    <w:rsid w:val="00BA3EFF"/>
    <w:rsid w:val="00BB147D"/>
    <w:rsid w:val="00BB1A2B"/>
    <w:rsid w:val="00BB3C12"/>
    <w:rsid w:val="00BB6CDE"/>
    <w:rsid w:val="00BB780D"/>
    <w:rsid w:val="00BD03B3"/>
    <w:rsid w:val="00BD07A6"/>
    <w:rsid w:val="00BD17FB"/>
    <w:rsid w:val="00BD5144"/>
    <w:rsid w:val="00BD6DDB"/>
    <w:rsid w:val="00BD795B"/>
    <w:rsid w:val="00BE4144"/>
    <w:rsid w:val="00BE43F3"/>
    <w:rsid w:val="00BE6CDB"/>
    <w:rsid w:val="00BF2F6E"/>
    <w:rsid w:val="00BF4069"/>
    <w:rsid w:val="00C047F2"/>
    <w:rsid w:val="00C06AD7"/>
    <w:rsid w:val="00C07714"/>
    <w:rsid w:val="00C101B5"/>
    <w:rsid w:val="00C108B4"/>
    <w:rsid w:val="00C12BA7"/>
    <w:rsid w:val="00C247F8"/>
    <w:rsid w:val="00C264AC"/>
    <w:rsid w:val="00C2683A"/>
    <w:rsid w:val="00C31575"/>
    <w:rsid w:val="00C35211"/>
    <w:rsid w:val="00C354EC"/>
    <w:rsid w:val="00C4167D"/>
    <w:rsid w:val="00C44F07"/>
    <w:rsid w:val="00C5324D"/>
    <w:rsid w:val="00C56ABF"/>
    <w:rsid w:val="00C619F5"/>
    <w:rsid w:val="00C65227"/>
    <w:rsid w:val="00C737DE"/>
    <w:rsid w:val="00C73F7D"/>
    <w:rsid w:val="00C760F5"/>
    <w:rsid w:val="00C76C5B"/>
    <w:rsid w:val="00C84E27"/>
    <w:rsid w:val="00C95047"/>
    <w:rsid w:val="00C9755D"/>
    <w:rsid w:val="00C9761A"/>
    <w:rsid w:val="00CA7B27"/>
    <w:rsid w:val="00CB5E00"/>
    <w:rsid w:val="00CB7FE0"/>
    <w:rsid w:val="00CC0334"/>
    <w:rsid w:val="00CC12A4"/>
    <w:rsid w:val="00CC434A"/>
    <w:rsid w:val="00CC503B"/>
    <w:rsid w:val="00CD10AB"/>
    <w:rsid w:val="00CD1294"/>
    <w:rsid w:val="00CD679E"/>
    <w:rsid w:val="00CE51B3"/>
    <w:rsid w:val="00CF666C"/>
    <w:rsid w:val="00D01FA1"/>
    <w:rsid w:val="00D0320D"/>
    <w:rsid w:val="00D07097"/>
    <w:rsid w:val="00D100F6"/>
    <w:rsid w:val="00D11CE8"/>
    <w:rsid w:val="00D128B0"/>
    <w:rsid w:val="00D13B50"/>
    <w:rsid w:val="00D17128"/>
    <w:rsid w:val="00D200CE"/>
    <w:rsid w:val="00D20219"/>
    <w:rsid w:val="00D32A79"/>
    <w:rsid w:val="00D409C3"/>
    <w:rsid w:val="00D41285"/>
    <w:rsid w:val="00D442CD"/>
    <w:rsid w:val="00D463F6"/>
    <w:rsid w:val="00D53439"/>
    <w:rsid w:val="00D542E5"/>
    <w:rsid w:val="00D55867"/>
    <w:rsid w:val="00D635CB"/>
    <w:rsid w:val="00D65095"/>
    <w:rsid w:val="00D6585A"/>
    <w:rsid w:val="00D716D4"/>
    <w:rsid w:val="00D73CCE"/>
    <w:rsid w:val="00D754FE"/>
    <w:rsid w:val="00D80B8D"/>
    <w:rsid w:val="00D80F24"/>
    <w:rsid w:val="00D87FF0"/>
    <w:rsid w:val="00D92B99"/>
    <w:rsid w:val="00DA1748"/>
    <w:rsid w:val="00DA33B2"/>
    <w:rsid w:val="00DA7AD8"/>
    <w:rsid w:val="00DB10D3"/>
    <w:rsid w:val="00DB1147"/>
    <w:rsid w:val="00DB2AC7"/>
    <w:rsid w:val="00DB2CDF"/>
    <w:rsid w:val="00DB3D33"/>
    <w:rsid w:val="00DB4F43"/>
    <w:rsid w:val="00DB53BA"/>
    <w:rsid w:val="00DB7039"/>
    <w:rsid w:val="00DC4E85"/>
    <w:rsid w:val="00DD3C49"/>
    <w:rsid w:val="00DE2FEB"/>
    <w:rsid w:val="00DE64B9"/>
    <w:rsid w:val="00DE683F"/>
    <w:rsid w:val="00DF0CDB"/>
    <w:rsid w:val="00DF2DD9"/>
    <w:rsid w:val="00E02C2D"/>
    <w:rsid w:val="00E0418E"/>
    <w:rsid w:val="00E0692E"/>
    <w:rsid w:val="00E10115"/>
    <w:rsid w:val="00E10A47"/>
    <w:rsid w:val="00E12897"/>
    <w:rsid w:val="00E15F80"/>
    <w:rsid w:val="00E2038A"/>
    <w:rsid w:val="00E257B8"/>
    <w:rsid w:val="00E33515"/>
    <w:rsid w:val="00E502C4"/>
    <w:rsid w:val="00E5112D"/>
    <w:rsid w:val="00E514AA"/>
    <w:rsid w:val="00E514FE"/>
    <w:rsid w:val="00E54756"/>
    <w:rsid w:val="00E57ED3"/>
    <w:rsid w:val="00E60D50"/>
    <w:rsid w:val="00E67C5C"/>
    <w:rsid w:val="00E71CDF"/>
    <w:rsid w:val="00E82F18"/>
    <w:rsid w:val="00E951AA"/>
    <w:rsid w:val="00E969D9"/>
    <w:rsid w:val="00EA0B20"/>
    <w:rsid w:val="00EA4519"/>
    <w:rsid w:val="00EA46E6"/>
    <w:rsid w:val="00EA6410"/>
    <w:rsid w:val="00EA7230"/>
    <w:rsid w:val="00EB0CF4"/>
    <w:rsid w:val="00EB1538"/>
    <w:rsid w:val="00EB54AB"/>
    <w:rsid w:val="00EB5834"/>
    <w:rsid w:val="00EB62BA"/>
    <w:rsid w:val="00EB73A0"/>
    <w:rsid w:val="00EC0834"/>
    <w:rsid w:val="00EC24D0"/>
    <w:rsid w:val="00EC41E6"/>
    <w:rsid w:val="00EC78EE"/>
    <w:rsid w:val="00ED18F8"/>
    <w:rsid w:val="00ED60D5"/>
    <w:rsid w:val="00ED6759"/>
    <w:rsid w:val="00EF14B9"/>
    <w:rsid w:val="00EF26DF"/>
    <w:rsid w:val="00F02431"/>
    <w:rsid w:val="00F0546F"/>
    <w:rsid w:val="00F057D0"/>
    <w:rsid w:val="00F1181B"/>
    <w:rsid w:val="00F154D3"/>
    <w:rsid w:val="00F22A16"/>
    <w:rsid w:val="00F25EAE"/>
    <w:rsid w:val="00F25FD9"/>
    <w:rsid w:val="00F2670A"/>
    <w:rsid w:val="00F2699F"/>
    <w:rsid w:val="00F27662"/>
    <w:rsid w:val="00F35E93"/>
    <w:rsid w:val="00F435FB"/>
    <w:rsid w:val="00F45309"/>
    <w:rsid w:val="00F475F0"/>
    <w:rsid w:val="00F52BD3"/>
    <w:rsid w:val="00F54DF9"/>
    <w:rsid w:val="00F610B1"/>
    <w:rsid w:val="00F61C02"/>
    <w:rsid w:val="00F63FB1"/>
    <w:rsid w:val="00F67547"/>
    <w:rsid w:val="00F70685"/>
    <w:rsid w:val="00F73887"/>
    <w:rsid w:val="00F7393F"/>
    <w:rsid w:val="00F74802"/>
    <w:rsid w:val="00F80613"/>
    <w:rsid w:val="00F82320"/>
    <w:rsid w:val="00F85363"/>
    <w:rsid w:val="00F87A6A"/>
    <w:rsid w:val="00F9038A"/>
    <w:rsid w:val="00FA31F8"/>
    <w:rsid w:val="00FA393F"/>
    <w:rsid w:val="00FA4CA3"/>
    <w:rsid w:val="00FA5D9D"/>
    <w:rsid w:val="00FA6EA2"/>
    <w:rsid w:val="00FA77FD"/>
    <w:rsid w:val="00FB171E"/>
    <w:rsid w:val="00FB7695"/>
    <w:rsid w:val="00FB7A0F"/>
    <w:rsid w:val="00FC1B7F"/>
    <w:rsid w:val="00FC5D82"/>
    <w:rsid w:val="00FD2D12"/>
    <w:rsid w:val="00FD6500"/>
    <w:rsid w:val="00FE2DB3"/>
    <w:rsid w:val="00FE572D"/>
    <w:rsid w:val="00FF10E0"/>
    <w:rsid w:val="00FF3424"/>
    <w:rsid w:val="00FF3DD9"/>
    <w:rsid w:val="00FF5D30"/>
    <w:rsid w:val="00FF7BF5"/>
    <w:rsid w:val="00FF7C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B3B84"/>
  <w15:chartTrackingRefBased/>
  <w15:docId w15:val="{D1DAD193-D8EC-4548-BE16-43A88FAF3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F3415"/>
    <w:pPr>
      <w:spacing w:before="120" w:after="120" w:line="260" w:lineRule="exact"/>
      <w:jc w:val="both"/>
    </w:pPr>
    <w:rPr>
      <w:rFonts w:ascii="Times New Roman" w:hAnsi="Times New Roman"/>
    </w:rPr>
  </w:style>
  <w:style w:type="paragraph" w:styleId="Titolo1">
    <w:name w:val="heading 1"/>
    <w:basedOn w:val="Normale"/>
    <w:next w:val="Normale"/>
    <w:link w:val="Titolo1Carattere"/>
    <w:uiPriority w:val="9"/>
    <w:qFormat/>
    <w:rsid w:val="00401D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autoRedefine/>
    <w:uiPriority w:val="9"/>
    <w:unhideWhenUsed/>
    <w:qFormat/>
    <w:rsid w:val="00C247F8"/>
    <w:pPr>
      <w:keepNext/>
      <w:keepLines/>
      <w:pBdr>
        <w:top w:val="single" w:sz="4" w:space="1" w:color="1F4E79" w:themeColor="accent1" w:themeShade="80"/>
      </w:pBdr>
      <w:tabs>
        <w:tab w:val="left" w:pos="567"/>
      </w:tabs>
      <w:outlineLvl w:val="1"/>
    </w:pPr>
    <w:rPr>
      <w:rFonts w:eastAsiaTheme="majorEastAsia" w:cstheme="majorBidi"/>
      <w:b/>
      <w:color w:val="1F4E79" w:themeColor="accent1" w:themeShade="80"/>
      <w:szCs w:val="26"/>
    </w:rPr>
  </w:style>
  <w:style w:type="paragraph" w:styleId="Titolo3">
    <w:name w:val="heading 3"/>
    <w:basedOn w:val="Normale"/>
    <w:next w:val="Normale"/>
    <w:link w:val="Titolo3Carattere"/>
    <w:uiPriority w:val="99"/>
    <w:unhideWhenUsed/>
    <w:qFormat/>
    <w:rsid w:val="00401D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9"/>
    <w:unhideWhenUsed/>
    <w:qFormat/>
    <w:rsid w:val="00401D8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9"/>
    <w:unhideWhenUsed/>
    <w:qFormat/>
    <w:rsid w:val="00401D82"/>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9"/>
    <w:qFormat/>
    <w:rsid w:val="00696905"/>
    <w:pPr>
      <w:tabs>
        <w:tab w:val="num" w:pos="1152"/>
      </w:tabs>
      <w:spacing w:before="240" w:after="60"/>
      <w:ind w:left="1152" w:hanging="1152"/>
      <w:outlineLvl w:val="5"/>
    </w:pPr>
    <w:rPr>
      <w:rFonts w:ascii="Arial" w:eastAsia="Times New Roman" w:hAnsi="Arial" w:cs="Times New Roman"/>
      <w:i/>
      <w:spacing w:val="-6"/>
      <w:szCs w:val="20"/>
      <w:lang w:eastAsia="it-IT"/>
    </w:rPr>
  </w:style>
  <w:style w:type="paragraph" w:styleId="Titolo7">
    <w:name w:val="heading 7"/>
    <w:basedOn w:val="Normale"/>
    <w:next w:val="Normale"/>
    <w:link w:val="Titolo7Carattere"/>
    <w:uiPriority w:val="99"/>
    <w:qFormat/>
    <w:rsid w:val="00696905"/>
    <w:pPr>
      <w:tabs>
        <w:tab w:val="num" w:pos="1296"/>
      </w:tabs>
      <w:spacing w:before="240" w:after="60"/>
      <w:ind w:left="1296" w:hanging="1296"/>
      <w:outlineLvl w:val="6"/>
    </w:pPr>
    <w:rPr>
      <w:rFonts w:ascii="Arial" w:eastAsia="Times New Roman" w:hAnsi="Arial" w:cs="Times New Roman"/>
      <w:spacing w:val="-6"/>
      <w:sz w:val="20"/>
      <w:szCs w:val="20"/>
      <w:lang w:eastAsia="it-IT"/>
    </w:rPr>
  </w:style>
  <w:style w:type="paragraph" w:styleId="Titolo8">
    <w:name w:val="heading 8"/>
    <w:basedOn w:val="Normale"/>
    <w:next w:val="Normale"/>
    <w:link w:val="Titolo8Carattere"/>
    <w:uiPriority w:val="99"/>
    <w:qFormat/>
    <w:rsid w:val="00696905"/>
    <w:pPr>
      <w:tabs>
        <w:tab w:val="num" w:pos="1440"/>
      </w:tabs>
      <w:spacing w:before="240" w:after="60"/>
      <w:ind w:left="1440" w:hanging="1440"/>
      <w:outlineLvl w:val="7"/>
    </w:pPr>
    <w:rPr>
      <w:rFonts w:ascii="Arial" w:eastAsia="Times New Roman" w:hAnsi="Arial" w:cs="Times New Roman"/>
      <w:i/>
      <w:spacing w:val="-6"/>
      <w:sz w:val="20"/>
      <w:szCs w:val="20"/>
      <w:lang w:eastAsia="it-IT"/>
    </w:rPr>
  </w:style>
  <w:style w:type="paragraph" w:styleId="Titolo9">
    <w:name w:val="heading 9"/>
    <w:basedOn w:val="Normale"/>
    <w:next w:val="Normale"/>
    <w:link w:val="Titolo9Carattere"/>
    <w:uiPriority w:val="99"/>
    <w:qFormat/>
    <w:rsid w:val="00696905"/>
    <w:pPr>
      <w:tabs>
        <w:tab w:val="num" w:pos="1584"/>
      </w:tabs>
      <w:spacing w:before="240" w:after="60"/>
      <w:ind w:left="1584" w:hanging="1584"/>
      <w:outlineLvl w:val="8"/>
    </w:pPr>
    <w:rPr>
      <w:rFonts w:ascii="Arial" w:eastAsia="Times New Roman" w:hAnsi="Arial" w:cs="Times New Roman"/>
      <w:b/>
      <w:i/>
      <w:spacing w:val="-6"/>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01D82"/>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401D82"/>
    <w:rPr>
      <w:rFonts w:ascii="Times New Roman" w:hAnsi="Times New Roman"/>
    </w:rPr>
  </w:style>
  <w:style w:type="paragraph" w:styleId="Pidipagina">
    <w:name w:val="footer"/>
    <w:basedOn w:val="Normale"/>
    <w:link w:val="PidipaginaCarattere"/>
    <w:uiPriority w:val="99"/>
    <w:unhideWhenUsed/>
    <w:rsid w:val="00401D82"/>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401D82"/>
    <w:rPr>
      <w:rFonts w:ascii="Times New Roman" w:hAnsi="Times New Roman"/>
    </w:rPr>
  </w:style>
  <w:style w:type="paragraph" w:styleId="Sommario1">
    <w:name w:val="toc 1"/>
    <w:basedOn w:val="Normale"/>
    <w:next w:val="Normale"/>
    <w:autoRedefine/>
    <w:uiPriority w:val="39"/>
    <w:unhideWhenUsed/>
    <w:rsid w:val="003B44A6"/>
    <w:pPr>
      <w:tabs>
        <w:tab w:val="left" w:pos="567"/>
        <w:tab w:val="left" w:pos="993"/>
        <w:tab w:val="right" w:leader="dot" w:pos="10275"/>
      </w:tabs>
      <w:spacing w:after="240"/>
      <w:ind w:left="567" w:hanging="567"/>
    </w:pPr>
    <w:rPr>
      <w:b/>
      <w:color w:val="1F4E79" w:themeColor="accent1" w:themeShade="80"/>
    </w:rPr>
  </w:style>
  <w:style w:type="paragraph" w:styleId="Sommario3">
    <w:name w:val="toc 3"/>
    <w:basedOn w:val="Normale"/>
    <w:next w:val="Normale"/>
    <w:autoRedefine/>
    <w:uiPriority w:val="39"/>
    <w:unhideWhenUsed/>
    <w:rsid w:val="00401D82"/>
    <w:pPr>
      <w:tabs>
        <w:tab w:val="left" w:pos="1134"/>
        <w:tab w:val="left" w:pos="10065"/>
        <w:tab w:val="right" w:leader="dot" w:pos="10206"/>
      </w:tabs>
      <w:spacing w:after="100"/>
      <w:ind w:left="993" w:right="401" w:hanging="426"/>
    </w:pPr>
    <w:rPr>
      <w:color w:val="1F4E79" w:themeColor="accent1" w:themeShade="80"/>
    </w:rPr>
  </w:style>
  <w:style w:type="paragraph" w:styleId="Sommario4">
    <w:name w:val="toc 4"/>
    <w:basedOn w:val="Normale"/>
    <w:next w:val="Normale"/>
    <w:autoRedefine/>
    <w:uiPriority w:val="39"/>
    <w:unhideWhenUsed/>
    <w:rsid w:val="00695C90"/>
    <w:pPr>
      <w:numPr>
        <w:numId w:val="25"/>
      </w:numPr>
      <w:tabs>
        <w:tab w:val="left" w:pos="993"/>
        <w:tab w:val="left" w:pos="1843"/>
        <w:tab w:val="right" w:leader="dot" w:pos="10206"/>
      </w:tabs>
      <w:spacing w:after="100"/>
    </w:pPr>
    <w:rPr>
      <w:noProof/>
    </w:rPr>
  </w:style>
  <w:style w:type="character" w:styleId="Enfasidelicata">
    <w:name w:val="Subtle Emphasis"/>
    <w:aliases w:val="Capitolo Titolo"/>
    <w:basedOn w:val="Carpredefinitoparagrafo"/>
    <w:uiPriority w:val="19"/>
    <w:rsid w:val="00401D82"/>
    <w:rPr>
      <w:rFonts w:ascii="Times New Roman" w:eastAsiaTheme="majorEastAsia" w:hAnsi="Times New Roman" w:cstheme="majorBidi"/>
      <w:b/>
      <w:i w:val="0"/>
      <w:iCs/>
      <w:caps w:val="0"/>
      <w:color w:val="1F4E79" w:themeColor="accent1" w:themeShade="80"/>
      <w:spacing w:val="-10"/>
      <w:kern w:val="28"/>
      <w:sz w:val="28"/>
      <w:szCs w:val="56"/>
    </w:rPr>
  </w:style>
  <w:style w:type="paragraph" w:customStyle="1" w:styleId="TitoloPrincipale">
    <w:name w:val="Titolo Principale"/>
    <w:basedOn w:val="Titolo"/>
    <w:link w:val="TitoloPrincipaleCarattere"/>
    <w:qFormat/>
    <w:rsid w:val="00401D82"/>
    <w:pPr>
      <w:tabs>
        <w:tab w:val="left" w:pos="1134"/>
      </w:tabs>
      <w:spacing w:before="360" w:after="120"/>
    </w:pPr>
    <w:rPr>
      <w:rFonts w:ascii="Times New Roman" w:hAnsi="Times New Roman"/>
      <w:caps/>
      <w:color w:val="5B9BD5" w:themeColor="accent1"/>
      <w:sz w:val="28"/>
    </w:rPr>
  </w:style>
  <w:style w:type="character" w:customStyle="1" w:styleId="TitoloPrincipaleCarattere">
    <w:name w:val="Titolo Principale Carattere"/>
    <w:basedOn w:val="Carpredefinitoparagrafo"/>
    <w:link w:val="TitoloPrincipale"/>
    <w:rsid w:val="00401D82"/>
    <w:rPr>
      <w:rFonts w:ascii="Times New Roman" w:eastAsiaTheme="majorEastAsia" w:hAnsi="Times New Roman" w:cstheme="majorBidi"/>
      <w:caps/>
      <w:color w:val="5B9BD5" w:themeColor="accent1"/>
      <w:spacing w:val="-10"/>
      <w:kern w:val="28"/>
      <w:sz w:val="28"/>
      <w:szCs w:val="56"/>
    </w:rPr>
  </w:style>
  <w:style w:type="character" w:styleId="Collegamentoipertestuale">
    <w:name w:val="Hyperlink"/>
    <w:basedOn w:val="Carpredefinitoparagrafo"/>
    <w:uiPriority w:val="99"/>
    <w:unhideWhenUsed/>
    <w:rsid w:val="00401D82"/>
    <w:rPr>
      <w:color w:val="0563C1" w:themeColor="hyperlink"/>
      <w:u w:val="single"/>
    </w:rPr>
  </w:style>
  <w:style w:type="character" w:styleId="Rimandonotaapidipagina">
    <w:name w:val="footnote reference"/>
    <w:aliases w:val="Rimando nota a piè di pagina-IMONT,Footnote symbol,Odwołanie przypisu,footnote sign,Rimando nota a piè di pagina Carattere,nota Carattere,nota,Rimando nota a piè di pagina1,Appel note de bas de p,Rimando nota a piË di pagina"/>
    <w:basedOn w:val="Carpredefinitoparagrafo"/>
    <w:link w:val="Nota"/>
    <w:unhideWhenUsed/>
    <w:qFormat/>
    <w:rsid w:val="00CD679E"/>
    <w:rPr>
      <w:sz w:val="18"/>
      <w:vertAlign w:val="baseline"/>
    </w:rPr>
  </w:style>
  <w:style w:type="paragraph" w:customStyle="1" w:styleId="Titolo21">
    <w:name w:val="Titolo 21"/>
    <w:basedOn w:val="Titolo3"/>
    <w:next w:val="Normale"/>
    <w:link w:val="Titolo2Char"/>
    <w:autoRedefine/>
    <w:rsid w:val="00C247F8"/>
    <w:pPr>
      <w:keepLines w:val="0"/>
      <w:pBdr>
        <w:top w:val="single" w:sz="6" w:space="1" w:color="1F4E79" w:themeColor="accent1" w:themeShade="80"/>
      </w:pBdr>
      <w:tabs>
        <w:tab w:val="left" w:pos="709"/>
      </w:tabs>
      <w:spacing w:before="120"/>
    </w:pPr>
    <w:rPr>
      <w:rFonts w:ascii="Times New Roman" w:hAnsi="Times New Roman"/>
      <w:b/>
      <w:color w:val="1F4E79" w:themeColor="accent1" w:themeShade="80"/>
      <w:sz w:val="22"/>
    </w:rPr>
  </w:style>
  <w:style w:type="paragraph" w:customStyle="1" w:styleId="ParagrafoLivello3">
    <w:name w:val="ParagrafoLivello3"/>
    <w:basedOn w:val="Titolo4"/>
    <w:next w:val="Normale"/>
    <w:autoRedefine/>
    <w:qFormat/>
    <w:rsid w:val="00133542"/>
    <w:pPr>
      <w:pBdr>
        <w:top w:val="single" w:sz="6" w:space="1" w:color="auto"/>
      </w:pBdr>
      <w:tabs>
        <w:tab w:val="left" w:pos="709"/>
      </w:tabs>
      <w:spacing w:before="120"/>
      <w:ind w:left="709" w:hanging="709"/>
    </w:pPr>
    <w:rPr>
      <w:rFonts w:ascii="Times New Roman" w:eastAsia="Times New Roman" w:hAnsi="Times New Roman"/>
      <w:b/>
      <w:i w:val="0"/>
      <w:color w:val="1F4E79" w:themeColor="accent1" w:themeShade="80"/>
      <w:szCs w:val="24"/>
      <w:lang w:bidi="en-US"/>
    </w:rPr>
  </w:style>
  <w:style w:type="character" w:customStyle="1" w:styleId="Titolo2Char">
    <w:name w:val="Titolo 2 Char"/>
    <w:basedOn w:val="Carpredefinitoparagrafo"/>
    <w:link w:val="Titolo21"/>
    <w:rsid w:val="00C247F8"/>
    <w:rPr>
      <w:rFonts w:ascii="Times New Roman" w:eastAsiaTheme="majorEastAsia" w:hAnsi="Times New Roman" w:cstheme="majorBidi"/>
      <w:b/>
      <w:color w:val="1F4E79" w:themeColor="accent1" w:themeShade="80"/>
      <w:szCs w:val="24"/>
    </w:rPr>
  </w:style>
  <w:style w:type="paragraph" w:customStyle="1" w:styleId="ParagrafoLivello4">
    <w:name w:val="ParagrafoLivello4"/>
    <w:basedOn w:val="Titolo5"/>
    <w:next w:val="Normale"/>
    <w:qFormat/>
    <w:rsid w:val="00401D82"/>
    <w:pPr>
      <w:numPr>
        <w:ilvl w:val="3"/>
        <w:numId w:val="1"/>
      </w:numPr>
      <w:pBdr>
        <w:top w:val="single" w:sz="6" w:space="1" w:color="44546A" w:themeColor="text2"/>
      </w:pBdr>
      <w:tabs>
        <w:tab w:val="left" w:pos="709"/>
      </w:tabs>
    </w:pPr>
    <w:rPr>
      <w:rFonts w:ascii="Arial" w:hAnsi="Arial"/>
      <w:b/>
      <w:color w:val="44546A" w:themeColor="text2"/>
      <w:szCs w:val="24"/>
    </w:rPr>
  </w:style>
  <w:style w:type="paragraph" w:customStyle="1" w:styleId="CapitoloTitolo">
    <w:name w:val="Capitolo_Titolo"/>
    <w:basedOn w:val="Titolo1"/>
    <w:next w:val="Normale"/>
    <w:link w:val="CapitoloTitoloChar"/>
    <w:autoRedefine/>
    <w:qFormat/>
    <w:rsid w:val="00C247F8"/>
    <w:pPr>
      <w:keepLines w:val="0"/>
      <w:numPr>
        <w:numId w:val="3"/>
      </w:numPr>
      <w:pBdr>
        <w:top w:val="single" w:sz="12" w:space="1" w:color="1F4E79" w:themeColor="accent1" w:themeShade="80"/>
      </w:pBdr>
      <w:spacing w:after="120"/>
      <w:ind w:left="360"/>
    </w:pPr>
    <w:rPr>
      <w:rFonts w:ascii="Times New Roman" w:hAnsi="Times New Roman"/>
      <w:b/>
      <w:color w:val="1F4E79" w:themeColor="accent1" w:themeShade="80"/>
      <w:sz w:val="22"/>
    </w:rPr>
  </w:style>
  <w:style w:type="character" w:customStyle="1" w:styleId="CapitoloTitoloChar">
    <w:name w:val="Capitolo_Titolo Char"/>
    <w:basedOn w:val="Titolo1Carattere"/>
    <w:link w:val="CapitoloTitolo"/>
    <w:rsid w:val="00C247F8"/>
    <w:rPr>
      <w:rFonts w:ascii="Times New Roman" w:eastAsiaTheme="majorEastAsia" w:hAnsi="Times New Roman" w:cstheme="majorBidi"/>
      <w:b/>
      <w:color w:val="1F4E79" w:themeColor="accent1" w:themeShade="80"/>
      <w:sz w:val="32"/>
      <w:szCs w:val="32"/>
    </w:rPr>
  </w:style>
  <w:style w:type="character" w:customStyle="1" w:styleId="Titolo1Carattere">
    <w:name w:val="Titolo 1 Carattere"/>
    <w:basedOn w:val="Carpredefinitoparagrafo"/>
    <w:link w:val="Titolo1"/>
    <w:uiPriority w:val="9"/>
    <w:rsid w:val="00401D82"/>
    <w:rPr>
      <w:rFonts w:asciiTheme="majorHAnsi" w:eastAsiaTheme="majorEastAsia" w:hAnsiTheme="majorHAnsi" w:cstheme="majorBidi"/>
      <w:color w:val="2E74B5" w:themeColor="accent1" w:themeShade="BF"/>
      <w:sz w:val="32"/>
      <w:szCs w:val="32"/>
    </w:rPr>
  </w:style>
  <w:style w:type="paragraph" w:styleId="Titolosommario">
    <w:name w:val="TOC Heading"/>
    <w:basedOn w:val="Titolo1"/>
    <w:next w:val="Normale"/>
    <w:uiPriority w:val="39"/>
    <w:unhideWhenUsed/>
    <w:qFormat/>
    <w:rsid w:val="00401D82"/>
    <w:pPr>
      <w:spacing w:before="0" w:line="259" w:lineRule="auto"/>
      <w:jc w:val="left"/>
      <w:outlineLvl w:val="9"/>
    </w:pPr>
    <w:rPr>
      <w:color w:val="1F4E79" w:themeColor="accent1" w:themeShade="80"/>
      <w:lang w:eastAsia="it-IT"/>
    </w:rPr>
  </w:style>
  <w:style w:type="paragraph" w:styleId="Testonotaapidipagina">
    <w:name w:val="footnote text"/>
    <w:aliases w:val="stile 1 Carattere,Footnote Carattere,Footnote1 Carattere,Footnote2 Carattere,Footnote3 Carattere,Footnote4 Carattere,Footnote5 Carattere,Footnote6 Carattere,Footnote7 Carattere,stile 1,Testo nota a piè di pagina1,Footnote"/>
    <w:basedOn w:val="Normale"/>
    <w:link w:val="TestonotaapidipaginaCarattere"/>
    <w:autoRedefine/>
    <w:uiPriority w:val="99"/>
    <w:unhideWhenUsed/>
    <w:qFormat/>
    <w:rsid w:val="000B3BAD"/>
    <w:pPr>
      <w:spacing w:before="0" w:after="0"/>
    </w:pPr>
    <w:rPr>
      <w:sz w:val="18"/>
      <w:szCs w:val="20"/>
    </w:rPr>
  </w:style>
  <w:style w:type="character" w:customStyle="1" w:styleId="TestonotaapidipaginaCarattere">
    <w:name w:val="Testo nota a piè di pagina Carattere"/>
    <w:aliases w:val="stile 1 Carattere Carattere,Footnote Carattere Carattere,Footnote1 Carattere Carattere,Footnote2 Carattere Carattere,Footnote3 Carattere Carattere,Footnote4 Carattere Carattere,Footnote5 Carattere Carattere"/>
    <w:basedOn w:val="Carpredefinitoparagrafo"/>
    <w:link w:val="Testonotaapidipagina"/>
    <w:uiPriority w:val="99"/>
    <w:qFormat/>
    <w:rsid w:val="000B3BAD"/>
    <w:rPr>
      <w:rFonts w:ascii="Times New Roman" w:hAnsi="Times New Roman"/>
      <w:sz w:val="18"/>
      <w:szCs w:val="20"/>
    </w:rPr>
  </w:style>
  <w:style w:type="character" w:styleId="Enfasigrassetto">
    <w:name w:val="Strong"/>
    <w:basedOn w:val="Carpredefinitoparagrafo"/>
    <w:uiPriority w:val="22"/>
    <w:qFormat/>
    <w:rsid w:val="00401D82"/>
    <w:rPr>
      <w:b/>
      <w:bCs/>
      <w:color w:val="1F4E79" w:themeColor="accent1" w:themeShade="80"/>
    </w:rPr>
  </w:style>
  <w:style w:type="paragraph" w:styleId="Titolo">
    <w:name w:val="Title"/>
    <w:basedOn w:val="Normale"/>
    <w:next w:val="Normale"/>
    <w:link w:val="TitoloCarattere"/>
    <w:uiPriority w:val="10"/>
    <w:qFormat/>
    <w:rsid w:val="00401D82"/>
    <w:pPr>
      <w:spacing w:after="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01D82"/>
    <w:rPr>
      <w:rFonts w:asciiTheme="majorHAnsi" w:eastAsiaTheme="majorEastAsia" w:hAnsiTheme="majorHAnsi" w:cstheme="majorBidi"/>
      <w:spacing w:val="-10"/>
      <w:kern w:val="28"/>
      <w:sz w:val="56"/>
      <w:szCs w:val="56"/>
    </w:rPr>
  </w:style>
  <w:style w:type="character" w:customStyle="1" w:styleId="Titolo3Carattere">
    <w:name w:val="Titolo 3 Carattere"/>
    <w:basedOn w:val="Carpredefinitoparagrafo"/>
    <w:link w:val="Titolo3"/>
    <w:uiPriority w:val="99"/>
    <w:rsid w:val="00401D82"/>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semiHidden/>
    <w:rsid w:val="00401D82"/>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semiHidden/>
    <w:rsid w:val="00401D82"/>
    <w:rPr>
      <w:rFonts w:asciiTheme="majorHAnsi" w:eastAsiaTheme="majorEastAsia" w:hAnsiTheme="majorHAnsi" w:cstheme="majorBidi"/>
      <w:color w:val="2E74B5" w:themeColor="accent1" w:themeShade="BF"/>
    </w:rPr>
  </w:style>
  <w:style w:type="paragraph" w:styleId="Sommario2">
    <w:name w:val="toc 2"/>
    <w:basedOn w:val="Normale"/>
    <w:next w:val="Normale"/>
    <w:autoRedefine/>
    <w:uiPriority w:val="39"/>
    <w:unhideWhenUsed/>
    <w:rsid w:val="00295319"/>
    <w:pPr>
      <w:tabs>
        <w:tab w:val="left" w:pos="993"/>
        <w:tab w:val="right" w:leader="dot" w:pos="10206"/>
      </w:tabs>
      <w:spacing w:before="0" w:after="100" w:line="259" w:lineRule="auto"/>
      <w:ind w:left="220"/>
      <w:jc w:val="left"/>
    </w:pPr>
    <w:rPr>
      <w:rFonts w:asciiTheme="minorHAnsi" w:eastAsiaTheme="minorEastAsia" w:hAnsiTheme="minorHAnsi"/>
      <w:lang w:eastAsia="it-IT"/>
    </w:rPr>
  </w:style>
  <w:style w:type="paragraph" w:styleId="Sommario5">
    <w:name w:val="toc 5"/>
    <w:basedOn w:val="Normale"/>
    <w:next w:val="Normale"/>
    <w:autoRedefine/>
    <w:uiPriority w:val="39"/>
    <w:unhideWhenUsed/>
    <w:rsid w:val="00D716D4"/>
    <w:pPr>
      <w:spacing w:before="0" w:after="100" w:line="259" w:lineRule="auto"/>
      <w:ind w:left="880"/>
      <w:jc w:val="left"/>
    </w:pPr>
    <w:rPr>
      <w:rFonts w:asciiTheme="minorHAnsi" w:eastAsiaTheme="minorEastAsia" w:hAnsiTheme="minorHAnsi"/>
      <w:lang w:eastAsia="it-IT"/>
    </w:rPr>
  </w:style>
  <w:style w:type="paragraph" w:styleId="Sommario6">
    <w:name w:val="toc 6"/>
    <w:basedOn w:val="Normale"/>
    <w:next w:val="Normale"/>
    <w:autoRedefine/>
    <w:uiPriority w:val="39"/>
    <w:unhideWhenUsed/>
    <w:rsid w:val="00D716D4"/>
    <w:pPr>
      <w:spacing w:before="0" w:after="100" w:line="259" w:lineRule="auto"/>
      <w:ind w:left="1100"/>
      <w:jc w:val="left"/>
    </w:pPr>
    <w:rPr>
      <w:rFonts w:asciiTheme="minorHAnsi" w:eastAsiaTheme="minorEastAsia" w:hAnsiTheme="minorHAnsi"/>
      <w:lang w:eastAsia="it-IT"/>
    </w:rPr>
  </w:style>
  <w:style w:type="paragraph" w:styleId="Sommario7">
    <w:name w:val="toc 7"/>
    <w:basedOn w:val="Normale"/>
    <w:next w:val="Normale"/>
    <w:autoRedefine/>
    <w:uiPriority w:val="39"/>
    <w:unhideWhenUsed/>
    <w:rsid w:val="00D716D4"/>
    <w:pPr>
      <w:spacing w:before="0" w:after="100" w:line="259" w:lineRule="auto"/>
      <w:ind w:left="1320"/>
      <w:jc w:val="left"/>
    </w:pPr>
    <w:rPr>
      <w:rFonts w:asciiTheme="minorHAnsi" w:eastAsiaTheme="minorEastAsia" w:hAnsiTheme="minorHAnsi"/>
      <w:lang w:eastAsia="it-IT"/>
    </w:rPr>
  </w:style>
  <w:style w:type="paragraph" w:styleId="Sommario8">
    <w:name w:val="toc 8"/>
    <w:basedOn w:val="Normale"/>
    <w:next w:val="Normale"/>
    <w:autoRedefine/>
    <w:uiPriority w:val="39"/>
    <w:unhideWhenUsed/>
    <w:rsid w:val="00D716D4"/>
    <w:pPr>
      <w:spacing w:before="0" w:after="100" w:line="259" w:lineRule="auto"/>
      <w:ind w:left="1540"/>
      <w:jc w:val="left"/>
    </w:pPr>
    <w:rPr>
      <w:rFonts w:asciiTheme="minorHAnsi" w:eastAsiaTheme="minorEastAsia" w:hAnsiTheme="minorHAnsi"/>
      <w:lang w:eastAsia="it-IT"/>
    </w:rPr>
  </w:style>
  <w:style w:type="paragraph" w:styleId="Sommario9">
    <w:name w:val="toc 9"/>
    <w:basedOn w:val="Normale"/>
    <w:next w:val="Normale"/>
    <w:autoRedefine/>
    <w:uiPriority w:val="39"/>
    <w:unhideWhenUsed/>
    <w:rsid w:val="00D716D4"/>
    <w:pPr>
      <w:spacing w:before="0" w:after="100" w:line="259" w:lineRule="auto"/>
      <w:ind w:left="1760"/>
      <w:jc w:val="left"/>
    </w:pPr>
    <w:rPr>
      <w:rFonts w:asciiTheme="minorHAnsi" w:eastAsiaTheme="minorEastAsia" w:hAnsiTheme="minorHAnsi"/>
      <w:lang w:eastAsia="it-IT"/>
    </w:rPr>
  </w:style>
  <w:style w:type="paragraph" w:styleId="Paragrafoelenco">
    <w:name w:val="List Paragraph"/>
    <w:aliases w:val="List Bullet,List Bullet1,Elenco puntato,Normal bullet 2,Bullet list,Numbered List,List Paragraph1,AB List 1,Bullet Points,Punto elenco1,Punto elenco11,List Bullet11,List Bullet111,punto elenco,Elenco num ARGEA,Titolo linee di attività"/>
    <w:basedOn w:val="Normale"/>
    <w:link w:val="ParagrafoelencoCarattere"/>
    <w:uiPriority w:val="34"/>
    <w:qFormat/>
    <w:rsid w:val="00CE51B3"/>
    <w:pPr>
      <w:ind w:left="720"/>
      <w:contextualSpacing/>
    </w:pPr>
  </w:style>
  <w:style w:type="character" w:customStyle="1" w:styleId="ParagrafoelencoCarattere">
    <w:name w:val="Paragrafo elenco Carattere"/>
    <w:aliases w:val="List Bullet Carattere,List Bullet1 Carattere,Elenco puntato Carattere,Normal bullet 2 Carattere,Bullet list Carattere,Numbered List Carattere,List Paragraph1 Carattere,AB List 1 Carattere,Bullet Points Carattere"/>
    <w:link w:val="Paragrafoelenco"/>
    <w:uiPriority w:val="34"/>
    <w:rsid w:val="00CE51B3"/>
    <w:rPr>
      <w:rFonts w:ascii="Times New Roman" w:hAnsi="Times New Roman"/>
    </w:rPr>
  </w:style>
  <w:style w:type="paragraph" w:customStyle="1" w:styleId="Stile1">
    <w:name w:val="Stile1"/>
    <w:basedOn w:val="Normale"/>
    <w:rsid w:val="00CE51B3"/>
    <w:pPr>
      <w:spacing w:after="0" w:line="360" w:lineRule="atLeast"/>
    </w:pPr>
    <w:rPr>
      <w:rFonts w:ascii="Arial" w:eastAsia="Times New Roman" w:hAnsi="Arial" w:cs="Times New Roman"/>
      <w:spacing w:val="-6"/>
      <w:sz w:val="20"/>
      <w:szCs w:val="24"/>
      <w:lang w:eastAsia="it-IT"/>
    </w:rPr>
  </w:style>
  <w:style w:type="character" w:styleId="Titolodellibro">
    <w:name w:val="Book Title"/>
    <w:basedOn w:val="Carpredefinitoparagrafo"/>
    <w:uiPriority w:val="33"/>
    <w:qFormat/>
    <w:rsid w:val="00111829"/>
    <w:rPr>
      <w:b/>
      <w:bCs/>
      <w:i/>
      <w:iCs/>
      <w:spacing w:val="5"/>
    </w:rPr>
  </w:style>
  <w:style w:type="paragraph" w:customStyle="1" w:styleId="Default">
    <w:name w:val="Default"/>
    <w:qFormat/>
    <w:rsid w:val="00A051F0"/>
    <w:pPr>
      <w:autoSpaceDE w:val="0"/>
      <w:autoSpaceDN w:val="0"/>
      <w:adjustRightInd w:val="0"/>
      <w:spacing w:after="0" w:line="240" w:lineRule="auto"/>
    </w:pPr>
    <w:rPr>
      <w:rFonts w:ascii="Times New Roman" w:hAnsi="Times New Roman" w:cs="Times New Roman"/>
      <w:color w:val="000000"/>
      <w:sz w:val="24"/>
      <w:szCs w:val="24"/>
    </w:rPr>
  </w:style>
  <w:style w:type="character" w:styleId="Rimandocommento">
    <w:name w:val="annotation reference"/>
    <w:basedOn w:val="Carpredefinitoparagrafo"/>
    <w:uiPriority w:val="99"/>
    <w:semiHidden/>
    <w:unhideWhenUsed/>
    <w:rsid w:val="00947161"/>
    <w:rPr>
      <w:sz w:val="16"/>
      <w:szCs w:val="16"/>
    </w:rPr>
  </w:style>
  <w:style w:type="paragraph" w:styleId="Testocommento">
    <w:name w:val="annotation text"/>
    <w:basedOn w:val="Normale"/>
    <w:link w:val="TestocommentoCarattere"/>
    <w:uiPriority w:val="99"/>
    <w:semiHidden/>
    <w:unhideWhenUsed/>
    <w:rsid w:val="00947161"/>
    <w:rPr>
      <w:sz w:val="20"/>
      <w:szCs w:val="20"/>
    </w:rPr>
  </w:style>
  <w:style w:type="character" w:customStyle="1" w:styleId="TestocommentoCarattere">
    <w:name w:val="Testo commento Carattere"/>
    <w:basedOn w:val="Carpredefinitoparagrafo"/>
    <w:link w:val="Testocommento"/>
    <w:uiPriority w:val="99"/>
    <w:semiHidden/>
    <w:rsid w:val="00947161"/>
    <w:rPr>
      <w:rFonts w:ascii="Times New Roman" w:hAnsi="Times New Roman"/>
      <w:sz w:val="20"/>
      <w:szCs w:val="20"/>
    </w:rPr>
  </w:style>
  <w:style w:type="paragraph" w:styleId="Testofumetto">
    <w:name w:val="Balloon Text"/>
    <w:basedOn w:val="Normale"/>
    <w:link w:val="TestofumettoCarattere"/>
    <w:uiPriority w:val="99"/>
    <w:semiHidden/>
    <w:unhideWhenUsed/>
    <w:rsid w:val="00947161"/>
    <w:pPr>
      <w:spacing w:before="0"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47161"/>
    <w:rPr>
      <w:rFonts w:ascii="Segoe UI" w:hAnsi="Segoe UI" w:cs="Segoe UI"/>
      <w:sz w:val="18"/>
      <w:szCs w:val="18"/>
    </w:rPr>
  </w:style>
  <w:style w:type="paragraph" w:customStyle="1" w:styleId="Paragrafolivello2">
    <w:name w:val="Paragrafo livello2"/>
    <w:basedOn w:val="Normale"/>
    <w:link w:val="Paragrafolivello2Carattere"/>
    <w:qFormat/>
    <w:rsid w:val="009F0B63"/>
    <w:pPr>
      <w:spacing w:before="0" w:after="160" w:line="259" w:lineRule="auto"/>
      <w:jc w:val="left"/>
    </w:pPr>
    <w:rPr>
      <w:rFonts w:eastAsiaTheme="minorEastAsia" w:cs="Times New Roman"/>
      <w:noProof/>
      <w:color w:val="5B9BD5" w:themeColor="accent1"/>
    </w:rPr>
  </w:style>
  <w:style w:type="character" w:customStyle="1" w:styleId="Paragrafolivello2Carattere">
    <w:name w:val="Paragrafo livello2 Carattere"/>
    <w:basedOn w:val="Carpredefinitoparagrafo"/>
    <w:link w:val="Paragrafolivello2"/>
    <w:locked/>
    <w:rsid w:val="009F0B63"/>
    <w:rPr>
      <w:rFonts w:ascii="Times New Roman" w:eastAsiaTheme="minorEastAsia" w:hAnsi="Times New Roman" w:cs="Times New Roman"/>
      <w:noProof/>
      <w:color w:val="5B9BD5" w:themeColor="accent1"/>
    </w:rPr>
  </w:style>
  <w:style w:type="paragraph" w:styleId="Soggettocommento">
    <w:name w:val="annotation subject"/>
    <w:basedOn w:val="Testocommento"/>
    <w:next w:val="Testocommento"/>
    <w:link w:val="SoggettocommentoCarattere"/>
    <w:uiPriority w:val="99"/>
    <w:semiHidden/>
    <w:unhideWhenUsed/>
    <w:rsid w:val="008C245D"/>
    <w:rPr>
      <w:b/>
      <w:bCs/>
    </w:rPr>
  </w:style>
  <w:style w:type="character" w:customStyle="1" w:styleId="SoggettocommentoCarattere">
    <w:name w:val="Soggetto commento Carattere"/>
    <w:basedOn w:val="TestocommentoCarattere"/>
    <w:link w:val="Soggettocommento"/>
    <w:uiPriority w:val="99"/>
    <w:semiHidden/>
    <w:rsid w:val="008C245D"/>
    <w:rPr>
      <w:rFonts w:ascii="Times New Roman" w:hAnsi="Times New Roman"/>
      <w:b/>
      <w:bCs/>
      <w:sz w:val="20"/>
      <w:szCs w:val="20"/>
    </w:rPr>
  </w:style>
  <w:style w:type="table" w:styleId="Grigliatabella">
    <w:name w:val="Table Grid"/>
    <w:aliases w:val="valentina1,immagine"/>
    <w:basedOn w:val="Tabellanormale"/>
    <w:uiPriority w:val="39"/>
    <w:rsid w:val="002D4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tabella">
    <w:name w:val="Titolo tabella"/>
    <w:next w:val="Normale"/>
    <w:autoRedefine/>
    <w:qFormat/>
    <w:rsid w:val="00B04029"/>
    <w:pPr>
      <w:keepNext/>
      <w:keepLines/>
      <w:tabs>
        <w:tab w:val="left" w:pos="0"/>
      </w:tabs>
      <w:autoSpaceDE w:val="0"/>
      <w:autoSpaceDN w:val="0"/>
      <w:adjustRightInd w:val="0"/>
      <w:spacing w:before="120" w:after="120" w:line="240" w:lineRule="auto"/>
      <w:ind w:left="1418" w:right="57" w:hanging="1418"/>
    </w:pPr>
    <w:rPr>
      <w:rFonts w:ascii="Times New Roman" w:eastAsia="SimSun" w:hAnsi="Times New Roman" w:cs="Arial"/>
      <w:b/>
      <w:bCs/>
      <w:color w:val="7F7F7F" w:themeColor="text1" w:themeTint="80"/>
      <w:sz w:val="20"/>
      <w:szCs w:val="20"/>
    </w:rPr>
  </w:style>
  <w:style w:type="paragraph" w:customStyle="1" w:styleId="Nota">
    <w:name w:val="Nota"/>
    <w:aliases w:val="Footnote number,Char1,Char,Voetnootmarkering,fr,o,(NECG) Footnote Reference,FR"/>
    <w:basedOn w:val="Normale"/>
    <w:link w:val="Rimandonotaapidipagina"/>
    <w:uiPriority w:val="99"/>
    <w:rsid w:val="007B34CA"/>
    <w:pPr>
      <w:spacing w:before="0" w:after="160" w:line="240" w:lineRule="exact"/>
      <w:jc w:val="left"/>
    </w:pPr>
    <w:rPr>
      <w:rFonts w:asciiTheme="minorHAnsi" w:hAnsiTheme="minorHAnsi"/>
      <w:sz w:val="18"/>
    </w:rPr>
  </w:style>
  <w:style w:type="paragraph" w:styleId="Didascalia">
    <w:name w:val="caption"/>
    <w:basedOn w:val="Normale"/>
    <w:next w:val="Normale"/>
    <w:uiPriority w:val="35"/>
    <w:unhideWhenUsed/>
    <w:qFormat/>
    <w:rsid w:val="00DE2FEB"/>
    <w:pPr>
      <w:spacing w:before="0" w:after="200"/>
      <w:jc w:val="left"/>
    </w:pPr>
    <w:rPr>
      <w:rFonts w:asciiTheme="minorHAnsi" w:eastAsia="Times New Roman" w:hAnsiTheme="minorHAnsi" w:cs="Times New Roman"/>
      <w:i/>
      <w:iCs/>
      <w:color w:val="44546A" w:themeColor="text2"/>
      <w:sz w:val="18"/>
      <w:szCs w:val="18"/>
    </w:rPr>
  </w:style>
  <w:style w:type="character" w:customStyle="1" w:styleId="Titolo6Carattere">
    <w:name w:val="Titolo 6 Carattere"/>
    <w:basedOn w:val="Carpredefinitoparagrafo"/>
    <w:link w:val="Titolo6"/>
    <w:uiPriority w:val="99"/>
    <w:rsid w:val="00696905"/>
    <w:rPr>
      <w:rFonts w:ascii="Arial" w:eastAsia="Times New Roman" w:hAnsi="Arial" w:cs="Times New Roman"/>
      <w:i/>
      <w:spacing w:val="-6"/>
      <w:szCs w:val="20"/>
      <w:lang w:eastAsia="it-IT"/>
    </w:rPr>
  </w:style>
  <w:style w:type="character" w:customStyle="1" w:styleId="Titolo7Carattere">
    <w:name w:val="Titolo 7 Carattere"/>
    <w:basedOn w:val="Carpredefinitoparagrafo"/>
    <w:link w:val="Titolo7"/>
    <w:uiPriority w:val="99"/>
    <w:rsid w:val="00696905"/>
    <w:rPr>
      <w:rFonts w:ascii="Arial" w:eastAsia="Times New Roman" w:hAnsi="Arial" w:cs="Times New Roman"/>
      <w:spacing w:val="-6"/>
      <w:sz w:val="20"/>
      <w:szCs w:val="20"/>
      <w:lang w:eastAsia="it-IT"/>
    </w:rPr>
  </w:style>
  <w:style w:type="character" w:customStyle="1" w:styleId="Titolo8Carattere">
    <w:name w:val="Titolo 8 Carattere"/>
    <w:basedOn w:val="Carpredefinitoparagrafo"/>
    <w:link w:val="Titolo8"/>
    <w:uiPriority w:val="99"/>
    <w:rsid w:val="00696905"/>
    <w:rPr>
      <w:rFonts w:ascii="Arial" w:eastAsia="Times New Roman" w:hAnsi="Arial" w:cs="Times New Roman"/>
      <w:i/>
      <w:spacing w:val="-6"/>
      <w:sz w:val="20"/>
      <w:szCs w:val="20"/>
      <w:lang w:eastAsia="it-IT"/>
    </w:rPr>
  </w:style>
  <w:style w:type="character" w:customStyle="1" w:styleId="Titolo9Carattere">
    <w:name w:val="Titolo 9 Carattere"/>
    <w:basedOn w:val="Carpredefinitoparagrafo"/>
    <w:link w:val="Titolo9"/>
    <w:uiPriority w:val="99"/>
    <w:rsid w:val="00696905"/>
    <w:rPr>
      <w:rFonts w:ascii="Arial" w:eastAsia="Times New Roman" w:hAnsi="Arial" w:cs="Times New Roman"/>
      <w:b/>
      <w:i/>
      <w:spacing w:val="-6"/>
      <w:sz w:val="18"/>
      <w:szCs w:val="20"/>
      <w:lang w:eastAsia="it-IT"/>
    </w:rPr>
  </w:style>
  <w:style w:type="character" w:customStyle="1" w:styleId="Menzionenonrisolta1">
    <w:name w:val="Menzione non risolta1"/>
    <w:basedOn w:val="Carpredefinitoparagrafo"/>
    <w:uiPriority w:val="99"/>
    <w:semiHidden/>
    <w:unhideWhenUsed/>
    <w:rsid w:val="00E2038A"/>
    <w:rPr>
      <w:color w:val="808080"/>
      <w:shd w:val="clear" w:color="auto" w:fill="E6E6E6"/>
    </w:rPr>
  </w:style>
  <w:style w:type="paragraph" w:customStyle="1" w:styleId="CM1">
    <w:name w:val="CM1"/>
    <w:basedOn w:val="Default"/>
    <w:next w:val="Default"/>
    <w:uiPriority w:val="99"/>
    <w:rsid w:val="006D345A"/>
    <w:rPr>
      <w:rFonts w:ascii="EUAlbertina" w:hAnsi="EUAlbertina" w:cstheme="minorBidi"/>
      <w:color w:val="auto"/>
    </w:rPr>
  </w:style>
  <w:style w:type="paragraph" w:customStyle="1" w:styleId="CM3">
    <w:name w:val="CM3"/>
    <w:basedOn w:val="Default"/>
    <w:next w:val="Default"/>
    <w:uiPriority w:val="99"/>
    <w:rsid w:val="006D345A"/>
    <w:rPr>
      <w:rFonts w:ascii="EUAlbertina" w:hAnsi="EUAlbertina" w:cstheme="minorBidi"/>
      <w:color w:val="auto"/>
    </w:rPr>
  </w:style>
  <w:style w:type="paragraph" w:customStyle="1" w:styleId="CM4">
    <w:name w:val="CM4"/>
    <w:basedOn w:val="Default"/>
    <w:next w:val="Default"/>
    <w:uiPriority w:val="99"/>
    <w:rsid w:val="000756B7"/>
    <w:rPr>
      <w:rFonts w:ascii="EUAlbertina" w:hAnsi="EUAlbertina" w:cstheme="minorBidi"/>
      <w:color w:val="auto"/>
    </w:rPr>
  </w:style>
  <w:style w:type="character" w:customStyle="1" w:styleId="Menzionenonrisolta2">
    <w:name w:val="Menzione non risolta2"/>
    <w:basedOn w:val="Carpredefinitoparagrafo"/>
    <w:uiPriority w:val="99"/>
    <w:semiHidden/>
    <w:unhideWhenUsed/>
    <w:rsid w:val="000072FD"/>
    <w:rPr>
      <w:color w:val="808080"/>
      <w:shd w:val="clear" w:color="auto" w:fill="E6E6E6"/>
    </w:rPr>
  </w:style>
  <w:style w:type="character" w:customStyle="1" w:styleId="Menzionenonrisolta3">
    <w:name w:val="Menzione non risolta3"/>
    <w:basedOn w:val="Carpredefinitoparagrafo"/>
    <w:uiPriority w:val="99"/>
    <w:semiHidden/>
    <w:unhideWhenUsed/>
    <w:rsid w:val="00E257B8"/>
    <w:rPr>
      <w:color w:val="605E5C"/>
      <w:shd w:val="clear" w:color="auto" w:fill="E1DFDD"/>
    </w:rPr>
  </w:style>
  <w:style w:type="character" w:customStyle="1" w:styleId="Titolo2Carattere">
    <w:name w:val="Titolo 2 Carattere"/>
    <w:basedOn w:val="Carpredefinitoparagrafo"/>
    <w:link w:val="Titolo2"/>
    <w:uiPriority w:val="9"/>
    <w:rsid w:val="00C247F8"/>
    <w:rPr>
      <w:rFonts w:ascii="Times New Roman" w:eastAsiaTheme="majorEastAsia" w:hAnsi="Times New Roman" w:cstheme="majorBidi"/>
      <w:b/>
      <w:color w:val="1F4E79" w:themeColor="accent1" w:themeShade="80"/>
      <w:szCs w:val="26"/>
    </w:rPr>
  </w:style>
  <w:style w:type="character" w:customStyle="1" w:styleId="CollegamentoInternet">
    <w:name w:val="Collegamento Internet"/>
    <w:rsid w:val="002274B2"/>
    <w:rPr>
      <w:color w:val="000080"/>
      <w:u w:val="single"/>
    </w:rPr>
  </w:style>
  <w:style w:type="character" w:customStyle="1" w:styleId="Richiamoallanotaapidipagina">
    <w:name w:val="Richiamo alla nota a piè di pagina"/>
    <w:rsid w:val="002274B2"/>
    <w:rPr>
      <w:vertAlign w:val="superscript"/>
    </w:rPr>
  </w:style>
  <w:style w:type="paragraph" w:customStyle="1" w:styleId="Notaapidipagina">
    <w:name w:val="Nota a piè di pagina"/>
    <w:basedOn w:val="Normale"/>
    <w:rsid w:val="002274B2"/>
    <w:pPr>
      <w:widowControl w:val="0"/>
      <w:spacing w:before="0" w:after="0"/>
      <w:jc w:val="left"/>
    </w:pPr>
    <w:rPr>
      <w:rFonts w:eastAsia="Andale Sans UI" w:cs="Tahoma"/>
      <w:sz w:val="24"/>
      <w:szCs w:val="24"/>
      <w:lang w:val="en-US" w:bidi="en-US"/>
    </w:rPr>
  </w:style>
  <w:style w:type="character" w:customStyle="1" w:styleId="Enfasiforte">
    <w:name w:val="Enfasi forte"/>
    <w:rsid w:val="00032D3D"/>
    <w:rPr>
      <w:b/>
      <w:bCs/>
    </w:rPr>
  </w:style>
  <w:style w:type="character" w:customStyle="1" w:styleId="Enfasi">
    <w:name w:val="Enfasi"/>
    <w:rsid w:val="00032D3D"/>
    <w:rPr>
      <w:i/>
      <w:iCs/>
    </w:rPr>
  </w:style>
  <w:style w:type="paragraph" w:customStyle="1" w:styleId="Corpodeltesto">
    <w:name w:val="Corpo del testo"/>
    <w:basedOn w:val="Normale"/>
    <w:rsid w:val="00032D3D"/>
    <w:pPr>
      <w:widowControl w:val="0"/>
      <w:spacing w:before="0"/>
      <w:jc w:val="left"/>
    </w:pPr>
    <w:rPr>
      <w:rFonts w:eastAsia="Andale Sans UI" w:cs="Tahoma"/>
      <w:sz w:val="24"/>
      <w:szCs w:val="24"/>
      <w:lang w:val="en-US" w:bidi="en-US"/>
    </w:rPr>
  </w:style>
  <w:style w:type="paragraph" w:customStyle="1" w:styleId="Contenutotabella">
    <w:name w:val="Contenuto tabella"/>
    <w:basedOn w:val="Normale"/>
    <w:qFormat/>
    <w:rsid w:val="00032D3D"/>
    <w:pPr>
      <w:widowControl w:val="0"/>
      <w:spacing w:before="0" w:after="0"/>
      <w:jc w:val="left"/>
    </w:pPr>
    <w:rPr>
      <w:rFonts w:eastAsia="Andale Sans UI" w:cs="Tahoma"/>
      <w:sz w:val="24"/>
      <w:szCs w:val="24"/>
      <w:lang w:val="en-US" w:bidi="en-US"/>
    </w:rPr>
  </w:style>
  <w:style w:type="paragraph" w:styleId="Testonotadichiusura">
    <w:name w:val="endnote text"/>
    <w:basedOn w:val="Normale"/>
    <w:link w:val="TestonotadichiusuraCarattere"/>
    <w:uiPriority w:val="99"/>
    <w:semiHidden/>
    <w:unhideWhenUsed/>
    <w:rsid w:val="000C333C"/>
    <w:pPr>
      <w:spacing w:before="0"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0C333C"/>
    <w:rPr>
      <w:rFonts w:ascii="Times New Roman" w:hAnsi="Times New Roman"/>
      <w:sz w:val="20"/>
      <w:szCs w:val="20"/>
    </w:rPr>
  </w:style>
  <w:style w:type="character" w:styleId="Rimandonotadichiusura">
    <w:name w:val="endnote reference"/>
    <w:basedOn w:val="Carpredefinitoparagrafo"/>
    <w:uiPriority w:val="99"/>
    <w:semiHidden/>
    <w:unhideWhenUsed/>
    <w:rsid w:val="000C333C"/>
    <w:rPr>
      <w:vertAlign w:val="superscript"/>
    </w:rPr>
  </w:style>
  <w:style w:type="paragraph" w:customStyle="1" w:styleId="Standard">
    <w:name w:val="Standard"/>
    <w:rsid w:val="00170773"/>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extbody">
    <w:name w:val="Text body"/>
    <w:basedOn w:val="Standard"/>
    <w:rsid w:val="00170773"/>
    <w:pPr>
      <w:spacing w:after="12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62745">
      <w:bodyDiv w:val="1"/>
      <w:marLeft w:val="0"/>
      <w:marRight w:val="0"/>
      <w:marTop w:val="0"/>
      <w:marBottom w:val="0"/>
      <w:divBdr>
        <w:top w:val="none" w:sz="0" w:space="0" w:color="auto"/>
        <w:left w:val="none" w:sz="0" w:space="0" w:color="auto"/>
        <w:bottom w:val="none" w:sz="0" w:space="0" w:color="auto"/>
        <w:right w:val="none" w:sz="0" w:space="0" w:color="auto"/>
      </w:divBdr>
    </w:div>
    <w:div w:id="235945905">
      <w:bodyDiv w:val="1"/>
      <w:marLeft w:val="0"/>
      <w:marRight w:val="0"/>
      <w:marTop w:val="0"/>
      <w:marBottom w:val="0"/>
      <w:divBdr>
        <w:top w:val="none" w:sz="0" w:space="0" w:color="auto"/>
        <w:left w:val="none" w:sz="0" w:space="0" w:color="auto"/>
        <w:bottom w:val="none" w:sz="0" w:space="0" w:color="auto"/>
        <w:right w:val="none" w:sz="0" w:space="0" w:color="auto"/>
      </w:divBdr>
    </w:div>
    <w:div w:id="336999851">
      <w:bodyDiv w:val="1"/>
      <w:marLeft w:val="0"/>
      <w:marRight w:val="0"/>
      <w:marTop w:val="0"/>
      <w:marBottom w:val="0"/>
      <w:divBdr>
        <w:top w:val="none" w:sz="0" w:space="0" w:color="auto"/>
        <w:left w:val="none" w:sz="0" w:space="0" w:color="auto"/>
        <w:bottom w:val="none" w:sz="0" w:space="0" w:color="auto"/>
        <w:right w:val="none" w:sz="0" w:space="0" w:color="auto"/>
      </w:divBdr>
    </w:div>
    <w:div w:id="600844376">
      <w:bodyDiv w:val="1"/>
      <w:marLeft w:val="0"/>
      <w:marRight w:val="0"/>
      <w:marTop w:val="0"/>
      <w:marBottom w:val="0"/>
      <w:divBdr>
        <w:top w:val="none" w:sz="0" w:space="0" w:color="auto"/>
        <w:left w:val="none" w:sz="0" w:space="0" w:color="auto"/>
        <w:bottom w:val="none" w:sz="0" w:space="0" w:color="auto"/>
        <w:right w:val="none" w:sz="0" w:space="0" w:color="auto"/>
      </w:divBdr>
    </w:div>
    <w:div w:id="634067207">
      <w:bodyDiv w:val="1"/>
      <w:marLeft w:val="0"/>
      <w:marRight w:val="0"/>
      <w:marTop w:val="0"/>
      <w:marBottom w:val="0"/>
      <w:divBdr>
        <w:top w:val="none" w:sz="0" w:space="0" w:color="auto"/>
        <w:left w:val="none" w:sz="0" w:space="0" w:color="auto"/>
        <w:bottom w:val="none" w:sz="0" w:space="0" w:color="auto"/>
        <w:right w:val="none" w:sz="0" w:space="0" w:color="auto"/>
      </w:divBdr>
    </w:div>
    <w:div w:id="705446127">
      <w:bodyDiv w:val="1"/>
      <w:marLeft w:val="0"/>
      <w:marRight w:val="0"/>
      <w:marTop w:val="0"/>
      <w:marBottom w:val="0"/>
      <w:divBdr>
        <w:top w:val="none" w:sz="0" w:space="0" w:color="auto"/>
        <w:left w:val="none" w:sz="0" w:space="0" w:color="auto"/>
        <w:bottom w:val="none" w:sz="0" w:space="0" w:color="auto"/>
        <w:right w:val="none" w:sz="0" w:space="0" w:color="auto"/>
      </w:divBdr>
    </w:div>
    <w:div w:id="788276006">
      <w:bodyDiv w:val="1"/>
      <w:marLeft w:val="0"/>
      <w:marRight w:val="0"/>
      <w:marTop w:val="0"/>
      <w:marBottom w:val="0"/>
      <w:divBdr>
        <w:top w:val="none" w:sz="0" w:space="0" w:color="auto"/>
        <w:left w:val="none" w:sz="0" w:space="0" w:color="auto"/>
        <w:bottom w:val="none" w:sz="0" w:space="0" w:color="auto"/>
        <w:right w:val="none" w:sz="0" w:space="0" w:color="auto"/>
      </w:divBdr>
    </w:div>
    <w:div w:id="903376396">
      <w:bodyDiv w:val="1"/>
      <w:marLeft w:val="0"/>
      <w:marRight w:val="0"/>
      <w:marTop w:val="0"/>
      <w:marBottom w:val="0"/>
      <w:divBdr>
        <w:top w:val="none" w:sz="0" w:space="0" w:color="auto"/>
        <w:left w:val="none" w:sz="0" w:space="0" w:color="auto"/>
        <w:bottom w:val="none" w:sz="0" w:space="0" w:color="auto"/>
        <w:right w:val="none" w:sz="0" w:space="0" w:color="auto"/>
      </w:divBdr>
    </w:div>
    <w:div w:id="933632765">
      <w:bodyDiv w:val="1"/>
      <w:marLeft w:val="0"/>
      <w:marRight w:val="0"/>
      <w:marTop w:val="0"/>
      <w:marBottom w:val="0"/>
      <w:divBdr>
        <w:top w:val="none" w:sz="0" w:space="0" w:color="auto"/>
        <w:left w:val="none" w:sz="0" w:space="0" w:color="auto"/>
        <w:bottom w:val="none" w:sz="0" w:space="0" w:color="auto"/>
        <w:right w:val="none" w:sz="0" w:space="0" w:color="auto"/>
      </w:divBdr>
    </w:div>
    <w:div w:id="1049499143">
      <w:bodyDiv w:val="1"/>
      <w:marLeft w:val="0"/>
      <w:marRight w:val="0"/>
      <w:marTop w:val="0"/>
      <w:marBottom w:val="0"/>
      <w:divBdr>
        <w:top w:val="none" w:sz="0" w:space="0" w:color="auto"/>
        <w:left w:val="none" w:sz="0" w:space="0" w:color="auto"/>
        <w:bottom w:val="none" w:sz="0" w:space="0" w:color="auto"/>
        <w:right w:val="none" w:sz="0" w:space="0" w:color="auto"/>
      </w:divBdr>
    </w:div>
    <w:div w:id="1130168480">
      <w:bodyDiv w:val="1"/>
      <w:marLeft w:val="0"/>
      <w:marRight w:val="0"/>
      <w:marTop w:val="0"/>
      <w:marBottom w:val="0"/>
      <w:divBdr>
        <w:top w:val="none" w:sz="0" w:space="0" w:color="auto"/>
        <w:left w:val="none" w:sz="0" w:space="0" w:color="auto"/>
        <w:bottom w:val="none" w:sz="0" w:space="0" w:color="auto"/>
        <w:right w:val="none" w:sz="0" w:space="0" w:color="auto"/>
      </w:divBdr>
    </w:div>
    <w:div w:id="1340308490">
      <w:bodyDiv w:val="1"/>
      <w:marLeft w:val="0"/>
      <w:marRight w:val="0"/>
      <w:marTop w:val="0"/>
      <w:marBottom w:val="0"/>
      <w:divBdr>
        <w:top w:val="none" w:sz="0" w:space="0" w:color="auto"/>
        <w:left w:val="none" w:sz="0" w:space="0" w:color="auto"/>
        <w:bottom w:val="none" w:sz="0" w:space="0" w:color="auto"/>
        <w:right w:val="none" w:sz="0" w:space="0" w:color="auto"/>
      </w:divBdr>
    </w:div>
    <w:div w:id="1443917307">
      <w:bodyDiv w:val="1"/>
      <w:marLeft w:val="0"/>
      <w:marRight w:val="0"/>
      <w:marTop w:val="0"/>
      <w:marBottom w:val="0"/>
      <w:divBdr>
        <w:top w:val="none" w:sz="0" w:space="0" w:color="auto"/>
        <w:left w:val="none" w:sz="0" w:space="0" w:color="auto"/>
        <w:bottom w:val="none" w:sz="0" w:space="0" w:color="auto"/>
        <w:right w:val="none" w:sz="0" w:space="0" w:color="auto"/>
      </w:divBdr>
    </w:div>
    <w:div w:id="1793792020">
      <w:bodyDiv w:val="1"/>
      <w:marLeft w:val="0"/>
      <w:marRight w:val="0"/>
      <w:marTop w:val="0"/>
      <w:marBottom w:val="0"/>
      <w:divBdr>
        <w:top w:val="none" w:sz="0" w:space="0" w:color="auto"/>
        <w:left w:val="none" w:sz="0" w:space="0" w:color="auto"/>
        <w:bottom w:val="none" w:sz="0" w:space="0" w:color="auto"/>
        <w:right w:val="none" w:sz="0" w:space="0" w:color="auto"/>
      </w:divBdr>
    </w:div>
    <w:div w:id="1917325233">
      <w:bodyDiv w:val="1"/>
      <w:marLeft w:val="0"/>
      <w:marRight w:val="0"/>
      <w:marTop w:val="0"/>
      <w:marBottom w:val="0"/>
      <w:divBdr>
        <w:top w:val="none" w:sz="0" w:space="0" w:color="auto"/>
        <w:left w:val="none" w:sz="0" w:space="0" w:color="auto"/>
        <w:bottom w:val="none" w:sz="0" w:space="0" w:color="auto"/>
        <w:right w:val="none" w:sz="0" w:space="0" w:color="auto"/>
      </w:divBdr>
    </w:div>
    <w:div w:id="213255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agriregionieuropa.univpm.it/it/glossario-pac/liaison-entre-actions-de-developpement-de-leconomie-rurale-leader" TargetMode="External"/><Relationship Id="rId5" Type="http://schemas.openxmlformats.org/officeDocument/2006/relationships/webSettings" Target="webSettings.xml"/><Relationship Id="rId15" Type="http://schemas.openxmlformats.org/officeDocument/2006/relationships/hyperlink" Target="http://www.europarl.europa.eu/" TargetMode="External"/><Relationship Id="rId23" Type="http://schemas.openxmlformats.org/officeDocument/2006/relationships/hyperlink" Target="https://agriregionieuropa.univpm.it/it/glossario-pac/liaison-entre-actions-de-developpement-de-leconomie-rurale-leader"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agriregionieuropa.univpm.it/it/glossario-pac/sviluppo-rurale" TargetMode="Externa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95C03-556F-4A75-877B-84B47465D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17446</Words>
  <Characters>99447</Characters>
  <Application>Microsoft Office Word</Application>
  <DocSecurity>0</DocSecurity>
  <Lines>828</Lines>
  <Paragraphs>233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Lattanzio Group</Company>
  <LinksUpToDate>false</LinksUpToDate>
  <CharactersWithSpaces>116660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Paris - LATTANZIO Group</dc:creator>
  <cp:keywords/>
  <dc:description/>
  <cp:lastModifiedBy>Barbara Zoppi</cp:lastModifiedBy>
  <cp:revision>3</cp:revision>
  <cp:lastPrinted>2018-12-31T12:51:00Z</cp:lastPrinted>
  <dcterms:created xsi:type="dcterms:W3CDTF">2019-02-19T13:02:00Z</dcterms:created>
  <dcterms:modified xsi:type="dcterms:W3CDTF">2019-02-19T13:02:00Z</dcterms:modified>
</cp:coreProperties>
</file>