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8C306" w14:textId="77777777" w:rsidR="004D5AFD" w:rsidRDefault="004D5AFD" w:rsidP="002A314E">
      <w:bookmarkStart w:id="0" w:name="_GoBack"/>
      <w:bookmarkEnd w:id="0"/>
    </w:p>
    <w:p w14:paraId="1B7E8B42" w14:textId="77777777" w:rsidR="004D5AFD" w:rsidRPr="00C2100E" w:rsidRDefault="004D5AFD" w:rsidP="004D5AFD">
      <w:pPr>
        <w:jc w:val="center"/>
        <w:rPr>
          <w:b/>
          <w:sz w:val="28"/>
          <w:szCs w:val="28"/>
        </w:rPr>
      </w:pPr>
      <w:r w:rsidRPr="00C2100E">
        <w:rPr>
          <w:b/>
          <w:sz w:val="28"/>
          <w:szCs w:val="28"/>
        </w:rPr>
        <w:t>CORSO DI FORMAZIONE SUL FUNDRAISING E SULL’USO DELL’ART BONUS</w:t>
      </w:r>
    </w:p>
    <w:p w14:paraId="60B120CA" w14:textId="581CAE1B" w:rsidR="004D5AFD" w:rsidRDefault="00C02937" w:rsidP="00687D7B">
      <w:pPr>
        <w:jc w:val="center"/>
        <w:rPr>
          <w:sz w:val="28"/>
          <w:szCs w:val="28"/>
        </w:rPr>
      </w:pPr>
      <w:r>
        <w:rPr>
          <w:sz w:val="28"/>
          <w:szCs w:val="28"/>
        </w:rPr>
        <w:t>Terni 29 e 30 settembre</w:t>
      </w:r>
      <w:r w:rsidR="000C0411">
        <w:rPr>
          <w:sz w:val="28"/>
          <w:szCs w:val="28"/>
        </w:rPr>
        <w:t xml:space="preserve"> 2015</w:t>
      </w:r>
    </w:p>
    <w:p w14:paraId="0643DFF8" w14:textId="77777777" w:rsidR="004D5AFD" w:rsidRDefault="004D5AFD" w:rsidP="002A314E"/>
    <w:p w14:paraId="49E3BE5A" w14:textId="77777777" w:rsidR="00C2100E" w:rsidRDefault="00C2100E" w:rsidP="00EB463B">
      <w:pPr>
        <w:pBdr>
          <w:top w:val="single" w:sz="4" w:space="1" w:color="auto"/>
        </w:pBdr>
      </w:pPr>
    </w:p>
    <w:p w14:paraId="410A6CB8" w14:textId="77777777" w:rsidR="00C2100E" w:rsidRDefault="00C2100E" w:rsidP="00EB463B">
      <w:pPr>
        <w:pBdr>
          <w:top w:val="single" w:sz="4" w:space="1" w:color="auto"/>
        </w:pBdr>
      </w:pPr>
    </w:p>
    <w:p w14:paraId="4BEC87D9" w14:textId="28772928" w:rsidR="004D5AFD" w:rsidRDefault="00EB463B" w:rsidP="00EB463B">
      <w:pPr>
        <w:pBdr>
          <w:top w:val="single" w:sz="4" w:space="1" w:color="auto"/>
        </w:pBdr>
        <w:rPr>
          <w:b/>
          <w:sz w:val="32"/>
          <w:szCs w:val="32"/>
        </w:rPr>
      </w:pPr>
      <w:r w:rsidRPr="00C2100E">
        <w:rPr>
          <w:b/>
          <w:sz w:val="32"/>
          <w:szCs w:val="32"/>
        </w:rPr>
        <w:t>INTRODUZIONE</w:t>
      </w:r>
    </w:p>
    <w:p w14:paraId="47F9A982" w14:textId="77777777" w:rsidR="00C2100E" w:rsidRPr="00C2100E" w:rsidRDefault="00C2100E" w:rsidP="00EB463B">
      <w:pPr>
        <w:pBdr>
          <w:top w:val="single" w:sz="4" w:space="1" w:color="auto"/>
        </w:pBdr>
        <w:rPr>
          <w:b/>
          <w:sz w:val="32"/>
          <w:szCs w:val="32"/>
        </w:rPr>
      </w:pPr>
    </w:p>
    <w:p w14:paraId="4C246879" w14:textId="4FE8B1D3" w:rsidR="005B1955" w:rsidRPr="00C2100E" w:rsidRDefault="004D5AFD" w:rsidP="00C2100E">
      <w:pPr>
        <w:jc w:val="both"/>
        <w:rPr>
          <w:sz w:val="28"/>
          <w:szCs w:val="28"/>
        </w:rPr>
      </w:pPr>
      <w:r w:rsidRPr="00C2100E">
        <w:rPr>
          <w:sz w:val="28"/>
          <w:szCs w:val="28"/>
        </w:rPr>
        <w:t>Il</w:t>
      </w:r>
      <w:r w:rsidR="005B1955" w:rsidRPr="00C2100E">
        <w:rPr>
          <w:sz w:val="28"/>
          <w:szCs w:val="28"/>
        </w:rPr>
        <w:t xml:space="preserve"> recente provvedimento dell’Art bonus e le dichiarazioni</w:t>
      </w:r>
      <w:r w:rsidR="00C2100E">
        <w:rPr>
          <w:sz w:val="28"/>
          <w:szCs w:val="28"/>
        </w:rPr>
        <w:t>,</w:t>
      </w:r>
      <w:r w:rsidR="005B1955" w:rsidRPr="00C2100E">
        <w:rPr>
          <w:sz w:val="28"/>
          <w:szCs w:val="28"/>
        </w:rPr>
        <w:t xml:space="preserve"> più volte reiterate dal Ministro dei Beni Culturali circa l’importanza di sostenere le biblioteche e gli archivi italiani hanno posto alla ribalta il tema del fundraising per queste importanti istituzioni culturali.</w:t>
      </w:r>
    </w:p>
    <w:p w14:paraId="2BC8BF3A" w14:textId="77777777" w:rsidR="005B1955" w:rsidRPr="00C2100E" w:rsidRDefault="005B1955" w:rsidP="00C2100E">
      <w:pPr>
        <w:jc w:val="both"/>
        <w:rPr>
          <w:sz w:val="28"/>
          <w:szCs w:val="28"/>
        </w:rPr>
      </w:pPr>
    </w:p>
    <w:p w14:paraId="4F5CE2AB" w14:textId="18698F14" w:rsidR="005B1955" w:rsidRPr="00C2100E" w:rsidRDefault="005B1955" w:rsidP="00C2100E">
      <w:pPr>
        <w:jc w:val="both"/>
        <w:rPr>
          <w:sz w:val="28"/>
          <w:szCs w:val="28"/>
        </w:rPr>
      </w:pPr>
      <w:r w:rsidRPr="00C2100E">
        <w:rPr>
          <w:sz w:val="28"/>
          <w:szCs w:val="28"/>
        </w:rPr>
        <w:t>La sostenibilità economica delle biblioteche appare oggi una vera e propria sfida</w:t>
      </w:r>
      <w:r w:rsidR="001B36F7">
        <w:rPr>
          <w:sz w:val="28"/>
          <w:szCs w:val="28"/>
        </w:rPr>
        <w:t>,</w:t>
      </w:r>
      <w:r w:rsidRPr="00C2100E">
        <w:rPr>
          <w:sz w:val="28"/>
          <w:szCs w:val="28"/>
        </w:rPr>
        <w:t xml:space="preserve"> non solo alla luce della crisi economica e in </w:t>
      </w:r>
      <w:r w:rsidR="004D5AFD" w:rsidRPr="00C2100E">
        <w:rPr>
          <w:sz w:val="28"/>
          <w:szCs w:val="28"/>
        </w:rPr>
        <w:t>particolare</w:t>
      </w:r>
      <w:r w:rsidRPr="00C2100E">
        <w:rPr>
          <w:sz w:val="28"/>
          <w:szCs w:val="28"/>
        </w:rPr>
        <w:t xml:space="preserve"> della finanza pubblica</w:t>
      </w:r>
      <w:r w:rsidR="001B36F7">
        <w:rPr>
          <w:sz w:val="28"/>
          <w:szCs w:val="28"/>
        </w:rPr>
        <w:t>,</w:t>
      </w:r>
      <w:r w:rsidRPr="00C2100E">
        <w:rPr>
          <w:sz w:val="28"/>
          <w:szCs w:val="28"/>
        </w:rPr>
        <w:t xml:space="preserve"> ma anche in relazione alla crescita di importanza </w:t>
      </w:r>
      <w:r w:rsidR="004D5AFD" w:rsidRPr="00C2100E">
        <w:rPr>
          <w:sz w:val="28"/>
          <w:szCs w:val="28"/>
        </w:rPr>
        <w:t>della</w:t>
      </w:r>
      <w:r w:rsidRPr="00C2100E">
        <w:rPr>
          <w:sz w:val="28"/>
          <w:szCs w:val="28"/>
        </w:rPr>
        <w:t xml:space="preserve"> missione sociale delle biblioteche stesse, </w:t>
      </w:r>
      <w:r w:rsidR="004D5AFD" w:rsidRPr="00C2100E">
        <w:rPr>
          <w:sz w:val="28"/>
          <w:szCs w:val="28"/>
        </w:rPr>
        <w:t>impegnate</w:t>
      </w:r>
      <w:r w:rsidRPr="00C2100E">
        <w:rPr>
          <w:sz w:val="28"/>
          <w:szCs w:val="28"/>
        </w:rPr>
        <w:t xml:space="preserve"> in particolare nel promuovere con maggiore forza la lettura e più in generale nel rispondere alla domanda culturale e di aggregazione sociale e civica proveniente dalle proprie comunità.</w:t>
      </w:r>
    </w:p>
    <w:p w14:paraId="3970A8B7" w14:textId="77777777" w:rsidR="005B1955" w:rsidRPr="00C2100E" w:rsidRDefault="005B1955" w:rsidP="00C2100E">
      <w:pPr>
        <w:jc w:val="both"/>
        <w:rPr>
          <w:sz w:val="28"/>
          <w:szCs w:val="28"/>
        </w:rPr>
      </w:pPr>
    </w:p>
    <w:p w14:paraId="32055238" w14:textId="77777777" w:rsidR="005B1955" w:rsidRPr="00C2100E" w:rsidRDefault="005B1955" w:rsidP="00C2100E">
      <w:pPr>
        <w:jc w:val="both"/>
        <w:rPr>
          <w:sz w:val="28"/>
          <w:szCs w:val="28"/>
        </w:rPr>
      </w:pPr>
      <w:r w:rsidRPr="00C2100E">
        <w:rPr>
          <w:sz w:val="28"/>
          <w:szCs w:val="28"/>
        </w:rPr>
        <w:t xml:space="preserve">L’art bonus non è certo l’unico strumento disponibile per attirare finanziamenti privati e sociali, tuttavia rappresenta uno strumento che </w:t>
      </w:r>
      <w:r w:rsidR="004D5AFD" w:rsidRPr="00C2100E">
        <w:rPr>
          <w:sz w:val="28"/>
          <w:szCs w:val="28"/>
        </w:rPr>
        <w:t>può</w:t>
      </w:r>
      <w:r w:rsidRPr="00C2100E">
        <w:rPr>
          <w:sz w:val="28"/>
          <w:szCs w:val="28"/>
        </w:rPr>
        <w:t xml:space="preserve"> agevolare e facilitare l’adesione ad una richiesta di fondi permettendo ai donatori di risparmiare fino a 65% delle tasse dovute per le cifre donate ad una istituzione culturale pubblica. </w:t>
      </w:r>
    </w:p>
    <w:p w14:paraId="7C61784E" w14:textId="77777777" w:rsidR="000F7650" w:rsidRPr="00C2100E" w:rsidRDefault="000F7650" w:rsidP="00C2100E">
      <w:pPr>
        <w:jc w:val="both"/>
        <w:rPr>
          <w:sz w:val="28"/>
          <w:szCs w:val="28"/>
        </w:rPr>
      </w:pPr>
    </w:p>
    <w:p w14:paraId="4251397A" w14:textId="188DECE7" w:rsidR="000F7650" w:rsidRPr="00C2100E" w:rsidRDefault="000F7650" w:rsidP="00C2100E">
      <w:pPr>
        <w:jc w:val="both"/>
        <w:rPr>
          <w:sz w:val="28"/>
          <w:szCs w:val="28"/>
        </w:rPr>
      </w:pPr>
      <w:r w:rsidRPr="00C2100E">
        <w:rPr>
          <w:sz w:val="28"/>
          <w:szCs w:val="28"/>
        </w:rPr>
        <w:t xml:space="preserve">L’itinerario intende favorire l’adozione del </w:t>
      </w:r>
      <w:r w:rsidR="001B36F7">
        <w:rPr>
          <w:sz w:val="28"/>
          <w:szCs w:val="28"/>
        </w:rPr>
        <w:t>fundraising da parte</w:t>
      </w:r>
      <w:r w:rsidRPr="00C2100E">
        <w:rPr>
          <w:sz w:val="28"/>
          <w:szCs w:val="28"/>
        </w:rPr>
        <w:t xml:space="preserve"> delle biblioteche, anche – ma non esclusivamente </w:t>
      </w:r>
      <w:r w:rsidR="001B36F7">
        <w:rPr>
          <w:sz w:val="28"/>
          <w:szCs w:val="28"/>
        </w:rPr>
        <w:t xml:space="preserve">– partendo </w:t>
      </w:r>
      <w:r w:rsidRPr="00C2100E">
        <w:rPr>
          <w:sz w:val="28"/>
          <w:szCs w:val="28"/>
        </w:rPr>
        <w:t>dall’uso dell’art bonus, attraverso una azione formativa e informativa e la individuazione di alcuni progetti pilota da sperimentare durante le iniziative pubbliche delle biblioteche.</w:t>
      </w:r>
    </w:p>
    <w:p w14:paraId="3F2EAAF6" w14:textId="77777777" w:rsidR="000F7650" w:rsidRDefault="000F7650" w:rsidP="002A314E"/>
    <w:p w14:paraId="654E383D" w14:textId="77777777" w:rsidR="00150E36" w:rsidRDefault="00150E36" w:rsidP="002A314E"/>
    <w:p w14:paraId="17C61E41" w14:textId="77777777" w:rsidR="001B36F7" w:rsidRDefault="001B36F7" w:rsidP="002A314E">
      <w:pPr>
        <w:rPr>
          <w:b/>
        </w:rPr>
      </w:pPr>
    </w:p>
    <w:p w14:paraId="26837044" w14:textId="77777777" w:rsidR="001B36F7" w:rsidRDefault="001B36F7" w:rsidP="002A314E">
      <w:pPr>
        <w:rPr>
          <w:b/>
        </w:rPr>
      </w:pPr>
    </w:p>
    <w:p w14:paraId="1B76B394" w14:textId="77777777" w:rsidR="001B36F7" w:rsidRDefault="001B36F7" w:rsidP="002A314E">
      <w:pPr>
        <w:rPr>
          <w:b/>
        </w:rPr>
      </w:pPr>
    </w:p>
    <w:p w14:paraId="33D3E432" w14:textId="77777777" w:rsidR="001B36F7" w:rsidRDefault="001B36F7" w:rsidP="002A314E">
      <w:pPr>
        <w:rPr>
          <w:b/>
        </w:rPr>
      </w:pPr>
    </w:p>
    <w:p w14:paraId="62E62B2D" w14:textId="77777777" w:rsidR="001B36F7" w:rsidRDefault="001B36F7" w:rsidP="002A314E">
      <w:pPr>
        <w:rPr>
          <w:b/>
        </w:rPr>
      </w:pPr>
    </w:p>
    <w:p w14:paraId="49A96174" w14:textId="77777777" w:rsidR="001B36F7" w:rsidRDefault="001B36F7" w:rsidP="002A314E">
      <w:pPr>
        <w:rPr>
          <w:b/>
        </w:rPr>
      </w:pPr>
    </w:p>
    <w:p w14:paraId="543B0AAD" w14:textId="6C8869A1" w:rsidR="00780D94" w:rsidRPr="00E76FB1" w:rsidRDefault="00780D94" w:rsidP="00780D94">
      <w:pPr>
        <w:pBdr>
          <w:top w:val="single" w:sz="4" w:space="1" w:color="auto"/>
        </w:pBdr>
        <w:rPr>
          <w:b/>
          <w:sz w:val="30"/>
          <w:szCs w:val="30"/>
        </w:rPr>
      </w:pPr>
      <w:r w:rsidRPr="00E76FB1">
        <w:rPr>
          <w:b/>
          <w:sz w:val="30"/>
          <w:szCs w:val="30"/>
        </w:rPr>
        <w:lastRenderedPageBreak/>
        <w:t>PROGRAMMA</w:t>
      </w:r>
    </w:p>
    <w:p w14:paraId="020C8DF7" w14:textId="77777777" w:rsidR="001B36F7" w:rsidRDefault="001B36F7" w:rsidP="002A314E">
      <w:pPr>
        <w:rPr>
          <w:b/>
        </w:rPr>
      </w:pPr>
    </w:p>
    <w:p w14:paraId="15BC9479" w14:textId="436950F4" w:rsidR="002A314E" w:rsidRDefault="00C02937" w:rsidP="002A314E">
      <w:pPr>
        <w:rPr>
          <w:b/>
          <w:sz w:val="26"/>
          <w:szCs w:val="26"/>
        </w:rPr>
      </w:pPr>
      <w:r>
        <w:rPr>
          <w:b/>
          <w:sz w:val="26"/>
          <w:szCs w:val="26"/>
        </w:rPr>
        <w:t>Terni</w:t>
      </w:r>
      <w:r w:rsidR="000C0411">
        <w:rPr>
          <w:b/>
          <w:sz w:val="26"/>
          <w:szCs w:val="26"/>
        </w:rPr>
        <w:t xml:space="preserve">, </w:t>
      </w:r>
      <w:r>
        <w:rPr>
          <w:b/>
          <w:sz w:val="26"/>
          <w:szCs w:val="26"/>
        </w:rPr>
        <w:t>29 settembre</w:t>
      </w:r>
      <w:r w:rsidR="000C0411">
        <w:rPr>
          <w:b/>
          <w:sz w:val="26"/>
          <w:szCs w:val="26"/>
        </w:rPr>
        <w:t xml:space="preserve"> 2015</w:t>
      </w:r>
      <w:r>
        <w:rPr>
          <w:b/>
          <w:sz w:val="26"/>
          <w:szCs w:val="26"/>
        </w:rPr>
        <w:t xml:space="preserve"> – 10.00-</w:t>
      </w:r>
      <w:proofErr w:type="gramStart"/>
      <w:r>
        <w:rPr>
          <w:b/>
          <w:sz w:val="26"/>
          <w:szCs w:val="26"/>
        </w:rPr>
        <w:t>13.00  /</w:t>
      </w:r>
      <w:proofErr w:type="gramEnd"/>
      <w:r>
        <w:rPr>
          <w:b/>
          <w:sz w:val="26"/>
          <w:szCs w:val="26"/>
        </w:rPr>
        <w:t>/ 14.00- 18.00</w:t>
      </w:r>
    </w:p>
    <w:p w14:paraId="64185628" w14:textId="77777777" w:rsidR="00A543B6" w:rsidRDefault="00A543B6" w:rsidP="002A314E">
      <w:pPr>
        <w:rPr>
          <w:sz w:val="26"/>
          <w:szCs w:val="26"/>
        </w:rPr>
      </w:pPr>
    </w:p>
    <w:p w14:paraId="78F62EB2" w14:textId="176A4CFD" w:rsidR="00A543B6" w:rsidRPr="00A543B6" w:rsidRDefault="00A543B6" w:rsidP="002A314E">
      <w:pPr>
        <w:rPr>
          <w:sz w:val="26"/>
          <w:szCs w:val="26"/>
          <w:u w:val="single"/>
        </w:rPr>
      </w:pPr>
      <w:r w:rsidRPr="00A543B6">
        <w:rPr>
          <w:sz w:val="26"/>
          <w:szCs w:val="26"/>
          <w:u w:val="single"/>
        </w:rPr>
        <w:t>Mattina</w:t>
      </w:r>
    </w:p>
    <w:p w14:paraId="7E98AF75" w14:textId="77777777" w:rsidR="005B1955" w:rsidRPr="00D203BF" w:rsidRDefault="005B1955" w:rsidP="00D165B9">
      <w:pPr>
        <w:rPr>
          <w:sz w:val="16"/>
          <w:szCs w:val="16"/>
          <w:u w:val="single"/>
        </w:rPr>
      </w:pPr>
    </w:p>
    <w:p w14:paraId="7496B628" w14:textId="14AE2AFB" w:rsidR="00686DBD" w:rsidRPr="00E76FB1" w:rsidRDefault="00686DBD" w:rsidP="00686DBD">
      <w:pPr>
        <w:pStyle w:val="Paragrafoelenco"/>
        <w:numPr>
          <w:ilvl w:val="0"/>
          <w:numId w:val="1"/>
        </w:numPr>
        <w:ind w:left="714" w:hanging="357"/>
        <w:contextualSpacing w:val="0"/>
        <w:rPr>
          <w:sz w:val="26"/>
          <w:szCs w:val="26"/>
        </w:rPr>
      </w:pPr>
      <w:r w:rsidRPr="00E76FB1">
        <w:rPr>
          <w:sz w:val="26"/>
          <w:szCs w:val="26"/>
        </w:rPr>
        <w:t>I</w:t>
      </w:r>
      <w:r w:rsidR="002A314E" w:rsidRPr="00E76FB1">
        <w:rPr>
          <w:sz w:val="26"/>
          <w:szCs w:val="26"/>
        </w:rPr>
        <w:t>ntroduzione al fundraising per le biblioteche</w:t>
      </w:r>
      <w:r w:rsidR="00A543B6">
        <w:rPr>
          <w:sz w:val="26"/>
          <w:szCs w:val="26"/>
        </w:rPr>
        <w:t xml:space="preserve"> e le istituzioni culturali </w:t>
      </w:r>
    </w:p>
    <w:p w14:paraId="59DCA34C" w14:textId="6B49773F" w:rsidR="00686DBD" w:rsidRPr="00E76FB1" w:rsidRDefault="00686DBD" w:rsidP="00686DBD">
      <w:pPr>
        <w:pStyle w:val="Paragrafoelenco"/>
        <w:numPr>
          <w:ilvl w:val="0"/>
          <w:numId w:val="1"/>
        </w:numPr>
        <w:ind w:left="714" w:hanging="357"/>
        <w:contextualSpacing w:val="0"/>
        <w:rPr>
          <w:sz w:val="26"/>
          <w:szCs w:val="26"/>
        </w:rPr>
      </w:pPr>
      <w:r w:rsidRPr="00E76FB1">
        <w:rPr>
          <w:sz w:val="26"/>
          <w:szCs w:val="26"/>
        </w:rPr>
        <w:t>L</w:t>
      </w:r>
      <w:r w:rsidR="002A314E" w:rsidRPr="00E76FB1">
        <w:rPr>
          <w:sz w:val="26"/>
          <w:szCs w:val="26"/>
        </w:rPr>
        <w:t xml:space="preserve">e </w:t>
      </w:r>
      <w:r w:rsidR="005B1955" w:rsidRPr="00E76FB1">
        <w:rPr>
          <w:sz w:val="26"/>
          <w:szCs w:val="26"/>
        </w:rPr>
        <w:t xml:space="preserve">4 </w:t>
      </w:r>
      <w:r w:rsidR="002A314E" w:rsidRPr="00E76FB1">
        <w:rPr>
          <w:sz w:val="26"/>
          <w:szCs w:val="26"/>
        </w:rPr>
        <w:t xml:space="preserve">condizioni per praticare bene il fundraising </w:t>
      </w:r>
      <w:r w:rsidR="00A543B6">
        <w:rPr>
          <w:sz w:val="26"/>
          <w:szCs w:val="26"/>
        </w:rPr>
        <w:t>per i beni comuni: missione e identità sociale; valore sociale aggiunto; radicamento comunitario; governance allargata</w:t>
      </w:r>
    </w:p>
    <w:p w14:paraId="0F9C25BC" w14:textId="7C709023" w:rsidR="00A543B6" w:rsidRDefault="00A543B6" w:rsidP="00A543B6">
      <w:pPr>
        <w:pStyle w:val="Paragrafoelenco"/>
        <w:numPr>
          <w:ilvl w:val="0"/>
          <w:numId w:val="1"/>
        </w:numPr>
        <w:ind w:left="714" w:hanging="357"/>
        <w:contextualSpacing w:val="0"/>
        <w:rPr>
          <w:sz w:val="26"/>
          <w:szCs w:val="26"/>
        </w:rPr>
      </w:pPr>
      <w:r w:rsidRPr="00A543B6">
        <w:rPr>
          <w:sz w:val="26"/>
          <w:szCs w:val="26"/>
        </w:rPr>
        <w:t>L’Art bonus: cosa è e come si può utilizzare</w:t>
      </w:r>
      <w:r>
        <w:rPr>
          <w:sz w:val="26"/>
          <w:szCs w:val="26"/>
        </w:rPr>
        <w:t>. Una occasione per fare il primo passo nella raccolta fondi per le biblioteche</w:t>
      </w:r>
    </w:p>
    <w:p w14:paraId="09E78EB1" w14:textId="77777777" w:rsidR="00A543B6" w:rsidRPr="00A543B6" w:rsidRDefault="00A543B6" w:rsidP="00A543B6">
      <w:pPr>
        <w:rPr>
          <w:sz w:val="26"/>
          <w:szCs w:val="26"/>
        </w:rPr>
      </w:pPr>
    </w:p>
    <w:p w14:paraId="5AD22E5C" w14:textId="121066CE" w:rsidR="00A543B6" w:rsidRPr="00A543B6" w:rsidRDefault="00A543B6" w:rsidP="00A543B6">
      <w:pPr>
        <w:rPr>
          <w:sz w:val="26"/>
          <w:szCs w:val="26"/>
          <w:u w:val="single"/>
        </w:rPr>
      </w:pPr>
      <w:r w:rsidRPr="00A543B6">
        <w:rPr>
          <w:sz w:val="26"/>
          <w:szCs w:val="26"/>
          <w:u w:val="single"/>
        </w:rPr>
        <w:t>Pomeriggio</w:t>
      </w:r>
    </w:p>
    <w:p w14:paraId="09647708" w14:textId="77777777" w:rsidR="00A543B6" w:rsidRDefault="00A543B6" w:rsidP="00A543B6">
      <w:pPr>
        <w:pStyle w:val="Paragrafoelenco"/>
        <w:numPr>
          <w:ilvl w:val="0"/>
          <w:numId w:val="1"/>
        </w:numPr>
        <w:ind w:left="714" w:hanging="357"/>
        <w:contextualSpacing w:val="0"/>
        <w:rPr>
          <w:sz w:val="26"/>
          <w:szCs w:val="26"/>
        </w:rPr>
      </w:pPr>
      <w:r>
        <w:rPr>
          <w:sz w:val="26"/>
          <w:szCs w:val="26"/>
        </w:rPr>
        <w:t>Il ciclo del fundraising: ideare, progettare e realizzare un programma di raccolta fondi</w:t>
      </w:r>
    </w:p>
    <w:p w14:paraId="140C2400" w14:textId="6E37122B" w:rsidR="002A314E" w:rsidRPr="00A543B6" w:rsidRDefault="002A314E" w:rsidP="00A543B6">
      <w:pPr>
        <w:pStyle w:val="Paragrafoelenco"/>
        <w:numPr>
          <w:ilvl w:val="0"/>
          <w:numId w:val="1"/>
        </w:numPr>
        <w:ind w:left="714" w:hanging="357"/>
        <w:contextualSpacing w:val="0"/>
        <w:rPr>
          <w:sz w:val="26"/>
          <w:szCs w:val="26"/>
        </w:rPr>
      </w:pPr>
      <w:r w:rsidRPr="00E76FB1">
        <w:rPr>
          <w:sz w:val="26"/>
          <w:szCs w:val="26"/>
        </w:rPr>
        <w:t xml:space="preserve">Le </w:t>
      </w:r>
      <w:r w:rsidR="005B1955" w:rsidRPr="00E76FB1">
        <w:rPr>
          <w:sz w:val="26"/>
          <w:szCs w:val="26"/>
        </w:rPr>
        <w:t>principali modalità</w:t>
      </w:r>
      <w:r w:rsidRPr="00E76FB1">
        <w:rPr>
          <w:sz w:val="26"/>
          <w:szCs w:val="26"/>
        </w:rPr>
        <w:t xml:space="preserve"> di raccolta fondi da individui e aziende</w:t>
      </w:r>
      <w:r w:rsidR="00A543B6">
        <w:rPr>
          <w:sz w:val="26"/>
          <w:szCs w:val="26"/>
        </w:rPr>
        <w:t xml:space="preserve"> (</w:t>
      </w:r>
      <w:proofErr w:type="spellStart"/>
      <w:r w:rsidR="00A543B6" w:rsidRPr="00A543B6">
        <w:rPr>
          <w:sz w:val="26"/>
          <w:szCs w:val="26"/>
        </w:rPr>
        <w:t>Bibliocard</w:t>
      </w:r>
      <w:proofErr w:type="spellEnd"/>
      <w:r w:rsidR="00A543B6" w:rsidRPr="00A543B6">
        <w:rPr>
          <w:sz w:val="26"/>
          <w:szCs w:val="26"/>
        </w:rPr>
        <w:t xml:space="preserve"> come “carta sostenitori”</w:t>
      </w:r>
      <w:r w:rsidR="00A543B6">
        <w:rPr>
          <w:sz w:val="26"/>
          <w:szCs w:val="26"/>
        </w:rPr>
        <w:t xml:space="preserve">; </w:t>
      </w:r>
      <w:r w:rsidR="00A543B6" w:rsidRPr="00A543B6">
        <w:rPr>
          <w:sz w:val="26"/>
          <w:szCs w:val="26"/>
        </w:rPr>
        <w:t>Eventi in biblioteca e delle biblioteche</w:t>
      </w:r>
      <w:r w:rsidR="00A543B6">
        <w:rPr>
          <w:sz w:val="26"/>
          <w:szCs w:val="26"/>
        </w:rPr>
        <w:t xml:space="preserve">; </w:t>
      </w:r>
      <w:r w:rsidR="00A543B6" w:rsidRPr="00A543B6">
        <w:rPr>
          <w:sz w:val="26"/>
          <w:szCs w:val="26"/>
        </w:rPr>
        <w:t>Sponsorizzazioni in danaro e beni</w:t>
      </w:r>
      <w:r w:rsidR="00A543B6">
        <w:rPr>
          <w:sz w:val="26"/>
          <w:szCs w:val="26"/>
        </w:rPr>
        <w:t>; Partnership con aziende, Piccola e grande</w:t>
      </w:r>
      <w:r w:rsidR="00A543B6" w:rsidRPr="00A543B6">
        <w:rPr>
          <w:sz w:val="26"/>
          <w:szCs w:val="26"/>
        </w:rPr>
        <w:t xml:space="preserve"> filantropi</w:t>
      </w:r>
      <w:r w:rsidR="00A543B6">
        <w:rPr>
          <w:sz w:val="26"/>
          <w:szCs w:val="26"/>
        </w:rPr>
        <w:t xml:space="preserve">a; 5 per 1000, merchandising, </w:t>
      </w:r>
      <w:proofErr w:type="gramStart"/>
      <w:r w:rsidR="00A543B6">
        <w:rPr>
          <w:sz w:val="26"/>
          <w:szCs w:val="26"/>
        </w:rPr>
        <w:t>ecc...</w:t>
      </w:r>
      <w:proofErr w:type="gramEnd"/>
      <w:r w:rsidR="00A543B6">
        <w:rPr>
          <w:sz w:val="26"/>
          <w:szCs w:val="26"/>
        </w:rPr>
        <w:t>)</w:t>
      </w:r>
    </w:p>
    <w:p w14:paraId="27B2BE5C" w14:textId="77777777" w:rsidR="00D203BF" w:rsidRDefault="00D203BF" w:rsidP="00EB463B">
      <w:pPr>
        <w:ind w:left="360"/>
        <w:rPr>
          <w:sz w:val="26"/>
          <w:szCs w:val="26"/>
        </w:rPr>
      </w:pPr>
    </w:p>
    <w:p w14:paraId="37473256" w14:textId="592F89A6" w:rsidR="00686DBD" w:rsidRPr="00E76FB1" w:rsidRDefault="00C02937" w:rsidP="00686DBD">
      <w:pPr>
        <w:rPr>
          <w:b/>
          <w:sz w:val="26"/>
          <w:szCs w:val="26"/>
        </w:rPr>
      </w:pPr>
      <w:r>
        <w:rPr>
          <w:b/>
          <w:sz w:val="26"/>
          <w:szCs w:val="26"/>
        </w:rPr>
        <w:t>Terni</w:t>
      </w:r>
      <w:r w:rsidR="00686DBD" w:rsidRPr="00E76FB1">
        <w:rPr>
          <w:b/>
          <w:sz w:val="26"/>
          <w:szCs w:val="26"/>
        </w:rPr>
        <w:t xml:space="preserve">, </w:t>
      </w:r>
      <w:r>
        <w:rPr>
          <w:b/>
          <w:sz w:val="26"/>
          <w:szCs w:val="26"/>
        </w:rPr>
        <w:t>30 settembre</w:t>
      </w:r>
      <w:r w:rsidR="000C0411">
        <w:rPr>
          <w:b/>
          <w:sz w:val="26"/>
          <w:szCs w:val="26"/>
        </w:rPr>
        <w:t xml:space="preserve"> 2015</w:t>
      </w:r>
      <w:r>
        <w:rPr>
          <w:b/>
          <w:sz w:val="26"/>
          <w:szCs w:val="26"/>
        </w:rPr>
        <w:t xml:space="preserve"> – 9,30-13.30 //14,30-17,30</w:t>
      </w:r>
    </w:p>
    <w:p w14:paraId="09F4860E" w14:textId="77777777" w:rsidR="00686DBD" w:rsidRPr="00D203BF" w:rsidRDefault="00686DBD" w:rsidP="00686DBD">
      <w:pPr>
        <w:rPr>
          <w:b/>
          <w:sz w:val="16"/>
          <w:szCs w:val="16"/>
        </w:rPr>
      </w:pPr>
    </w:p>
    <w:p w14:paraId="72DC2E65" w14:textId="77777777" w:rsidR="00CF0664" w:rsidRPr="00E76FB1" w:rsidRDefault="002A314E" w:rsidP="00CF0664">
      <w:pPr>
        <w:pStyle w:val="Paragrafoelenco"/>
        <w:numPr>
          <w:ilvl w:val="0"/>
          <w:numId w:val="1"/>
        </w:numPr>
        <w:ind w:left="714" w:hanging="357"/>
        <w:contextualSpacing w:val="0"/>
        <w:rPr>
          <w:sz w:val="26"/>
          <w:szCs w:val="26"/>
        </w:rPr>
      </w:pPr>
      <w:r w:rsidRPr="00E76FB1">
        <w:rPr>
          <w:sz w:val="26"/>
          <w:szCs w:val="26"/>
        </w:rPr>
        <w:t>Laboratorio di progettazione</w:t>
      </w:r>
      <w:r w:rsidR="00CF0664" w:rsidRPr="00E76FB1">
        <w:rPr>
          <w:sz w:val="26"/>
          <w:szCs w:val="26"/>
        </w:rPr>
        <w:t xml:space="preserve"> di un’</w:t>
      </w:r>
      <w:r w:rsidR="005B1955" w:rsidRPr="00E76FB1">
        <w:rPr>
          <w:sz w:val="26"/>
          <w:szCs w:val="26"/>
        </w:rPr>
        <w:t>attività di fundraising</w:t>
      </w:r>
    </w:p>
    <w:p w14:paraId="136D1782" w14:textId="2F4290A9" w:rsidR="00686DBD" w:rsidRPr="00E76FB1" w:rsidRDefault="002A314E" w:rsidP="00CF0664">
      <w:pPr>
        <w:ind w:left="708"/>
        <w:rPr>
          <w:i/>
          <w:sz w:val="26"/>
          <w:szCs w:val="26"/>
        </w:rPr>
      </w:pPr>
      <w:r w:rsidRPr="00E76FB1">
        <w:rPr>
          <w:i/>
          <w:sz w:val="26"/>
          <w:szCs w:val="26"/>
        </w:rPr>
        <w:t>I partecipanti coinvolti nelle attività previste da campagn</w:t>
      </w:r>
      <w:r w:rsidR="00367919" w:rsidRPr="00E76FB1">
        <w:rPr>
          <w:i/>
          <w:sz w:val="26"/>
          <w:szCs w:val="26"/>
        </w:rPr>
        <w:t>e nazionali promoss</w:t>
      </w:r>
      <w:r w:rsidR="00686DBD" w:rsidRPr="00E76FB1">
        <w:rPr>
          <w:i/>
          <w:sz w:val="26"/>
          <w:szCs w:val="26"/>
        </w:rPr>
        <w:t xml:space="preserve">e dal </w:t>
      </w:r>
      <w:proofErr w:type="spellStart"/>
      <w:r w:rsidR="00686DBD" w:rsidRPr="00E76FB1">
        <w:rPr>
          <w:i/>
          <w:sz w:val="26"/>
          <w:szCs w:val="26"/>
        </w:rPr>
        <w:t>Cepell</w:t>
      </w:r>
      <w:proofErr w:type="spellEnd"/>
      <w:r w:rsidR="00686DBD" w:rsidRPr="00E76FB1">
        <w:rPr>
          <w:i/>
          <w:sz w:val="26"/>
          <w:szCs w:val="26"/>
        </w:rPr>
        <w:t xml:space="preserve"> (quale Libriamoci </w:t>
      </w:r>
      <w:r w:rsidR="00367919" w:rsidRPr="00E76FB1">
        <w:rPr>
          <w:i/>
          <w:sz w:val="26"/>
          <w:szCs w:val="26"/>
        </w:rPr>
        <w:t xml:space="preserve">o in altre attività pubbliche anche di carattere locale) </w:t>
      </w:r>
      <w:r w:rsidRPr="00E76FB1">
        <w:rPr>
          <w:i/>
          <w:sz w:val="26"/>
          <w:szCs w:val="26"/>
        </w:rPr>
        <w:t>definiranno</w:t>
      </w:r>
      <w:r w:rsidR="00CF0664" w:rsidRPr="00E76FB1">
        <w:rPr>
          <w:i/>
          <w:sz w:val="26"/>
          <w:szCs w:val="26"/>
        </w:rPr>
        <w:t>, insieme al</w:t>
      </w:r>
      <w:r w:rsidRPr="00E76FB1">
        <w:rPr>
          <w:i/>
          <w:sz w:val="26"/>
          <w:szCs w:val="26"/>
        </w:rPr>
        <w:t xml:space="preserve"> d</w:t>
      </w:r>
      <w:r w:rsidR="00CF0664" w:rsidRPr="00E76FB1">
        <w:rPr>
          <w:i/>
          <w:sz w:val="26"/>
          <w:szCs w:val="26"/>
        </w:rPr>
        <w:t>ocente</w:t>
      </w:r>
      <w:r w:rsidRPr="00E76FB1">
        <w:rPr>
          <w:i/>
          <w:sz w:val="26"/>
          <w:szCs w:val="26"/>
        </w:rPr>
        <w:t xml:space="preserve"> della Scuola</w:t>
      </w:r>
      <w:r w:rsidR="00686DBD" w:rsidRPr="00E76FB1">
        <w:rPr>
          <w:i/>
          <w:sz w:val="26"/>
          <w:szCs w:val="26"/>
        </w:rPr>
        <w:t xml:space="preserve"> di Roma </w:t>
      </w:r>
      <w:proofErr w:type="gramStart"/>
      <w:r w:rsidR="00686DBD" w:rsidRPr="00E76FB1">
        <w:rPr>
          <w:i/>
          <w:sz w:val="26"/>
          <w:szCs w:val="26"/>
        </w:rPr>
        <w:t>Fund-raising.it</w:t>
      </w:r>
      <w:r w:rsidRPr="00E76FB1">
        <w:rPr>
          <w:i/>
          <w:sz w:val="26"/>
          <w:szCs w:val="26"/>
        </w:rPr>
        <w:t xml:space="preserve">  le</w:t>
      </w:r>
      <w:proofErr w:type="gramEnd"/>
      <w:r w:rsidRPr="00E76FB1">
        <w:rPr>
          <w:i/>
          <w:sz w:val="26"/>
          <w:szCs w:val="26"/>
        </w:rPr>
        <w:t xml:space="preserve"> possibili azioni di </w:t>
      </w:r>
      <w:r w:rsidR="00367919" w:rsidRPr="00E76FB1">
        <w:rPr>
          <w:i/>
          <w:sz w:val="26"/>
          <w:szCs w:val="26"/>
        </w:rPr>
        <w:t xml:space="preserve">raccolta fondi a </w:t>
      </w:r>
      <w:r w:rsidRPr="00E76FB1">
        <w:rPr>
          <w:i/>
          <w:sz w:val="26"/>
          <w:szCs w:val="26"/>
        </w:rPr>
        <w:t>sostegno delle biblioteche</w:t>
      </w:r>
      <w:r w:rsidR="00367919" w:rsidRPr="00E76FB1">
        <w:rPr>
          <w:i/>
          <w:sz w:val="26"/>
          <w:szCs w:val="26"/>
        </w:rPr>
        <w:t xml:space="preserve"> (anche utilizzando lo strumento dell’</w:t>
      </w:r>
      <w:r w:rsidR="00150E36" w:rsidRPr="00E76FB1">
        <w:rPr>
          <w:i/>
          <w:sz w:val="26"/>
          <w:szCs w:val="26"/>
        </w:rPr>
        <w:t>Art</w:t>
      </w:r>
      <w:r w:rsidR="00367919" w:rsidRPr="00E76FB1">
        <w:rPr>
          <w:i/>
          <w:sz w:val="26"/>
          <w:szCs w:val="26"/>
        </w:rPr>
        <w:t xml:space="preserve"> Bonus)</w:t>
      </w:r>
      <w:r w:rsidRPr="00E76FB1">
        <w:rPr>
          <w:i/>
          <w:sz w:val="26"/>
          <w:szCs w:val="26"/>
        </w:rPr>
        <w:t>. Verranno quindi definiti obiettivi, natura e modalità di realizzazione delle attività promozionali da svolgere durante le manifestazioni pubbliche.</w:t>
      </w:r>
    </w:p>
    <w:p w14:paraId="19001E25" w14:textId="77777777" w:rsidR="00CF0664" w:rsidRPr="00E76FB1" w:rsidRDefault="00CF0664" w:rsidP="00CF0664">
      <w:pPr>
        <w:ind w:left="357"/>
        <w:rPr>
          <w:sz w:val="26"/>
          <w:szCs w:val="26"/>
        </w:rPr>
      </w:pPr>
    </w:p>
    <w:p w14:paraId="69D97CDC" w14:textId="5B2B7FBC" w:rsidR="005B1955" w:rsidRDefault="005B1955" w:rsidP="00CF0664">
      <w:pPr>
        <w:pStyle w:val="Paragrafoelenco"/>
        <w:numPr>
          <w:ilvl w:val="0"/>
          <w:numId w:val="1"/>
        </w:numPr>
        <w:ind w:left="714" w:hanging="357"/>
        <w:contextualSpacing w:val="0"/>
        <w:rPr>
          <w:sz w:val="26"/>
          <w:szCs w:val="26"/>
        </w:rPr>
      </w:pPr>
      <w:r w:rsidRPr="00E76FB1">
        <w:rPr>
          <w:sz w:val="26"/>
          <w:szCs w:val="26"/>
        </w:rPr>
        <w:t xml:space="preserve">Indicazioni per il management delle attività di </w:t>
      </w:r>
      <w:r w:rsidR="004D5AFD" w:rsidRPr="00E76FB1">
        <w:rPr>
          <w:sz w:val="26"/>
          <w:szCs w:val="26"/>
        </w:rPr>
        <w:t>fundraising</w:t>
      </w:r>
      <w:r w:rsidRPr="00E76FB1">
        <w:rPr>
          <w:sz w:val="26"/>
          <w:szCs w:val="26"/>
        </w:rPr>
        <w:t xml:space="preserve"> in biblioteca</w:t>
      </w:r>
    </w:p>
    <w:p w14:paraId="30701A77" w14:textId="77777777" w:rsidR="00EB463B" w:rsidRDefault="00EB463B" w:rsidP="005B1955"/>
    <w:p w14:paraId="098E121F" w14:textId="77777777" w:rsidR="00E76FB1" w:rsidRDefault="00E76FB1" w:rsidP="00E76FB1">
      <w:pPr>
        <w:rPr>
          <w:b/>
        </w:rPr>
      </w:pPr>
    </w:p>
    <w:p w14:paraId="2E200BAF" w14:textId="77777777" w:rsidR="00C02937" w:rsidRPr="00E76FB1" w:rsidRDefault="00C02937" w:rsidP="00C02937">
      <w:pPr>
        <w:pBdr>
          <w:top w:val="single" w:sz="4" w:space="1" w:color="auto"/>
        </w:pBdr>
        <w:rPr>
          <w:b/>
          <w:sz w:val="30"/>
          <w:szCs w:val="30"/>
        </w:rPr>
      </w:pPr>
      <w:r>
        <w:rPr>
          <w:b/>
          <w:sz w:val="30"/>
          <w:szCs w:val="30"/>
        </w:rPr>
        <w:t>Docente</w:t>
      </w:r>
    </w:p>
    <w:p w14:paraId="1E6D078D" w14:textId="77777777" w:rsidR="00C02937" w:rsidRDefault="00C02937" w:rsidP="00C02937"/>
    <w:p w14:paraId="57C770EE" w14:textId="77777777" w:rsidR="00C02937" w:rsidRDefault="00C02937" w:rsidP="00C02937">
      <w:pPr>
        <w:jc w:val="both"/>
        <w:rPr>
          <w:b/>
          <w:sz w:val="26"/>
          <w:szCs w:val="26"/>
        </w:rPr>
      </w:pPr>
      <w:r>
        <w:rPr>
          <w:b/>
          <w:sz w:val="26"/>
          <w:szCs w:val="26"/>
        </w:rPr>
        <w:t>Andrea Caracciolo di Feroleto</w:t>
      </w:r>
    </w:p>
    <w:p w14:paraId="194449F5" w14:textId="77777777" w:rsidR="00C02937" w:rsidRDefault="00C02937" w:rsidP="00C02937">
      <w:pPr>
        <w:jc w:val="both"/>
      </w:pPr>
      <w:r>
        <w:t>Responsabile del settore Consulenza della Scuola di Roma Fund-</w:t>
      </w:r>
      <w:proofErr w:type="spellStart"/>
      <w:r>
        <w:t>raising</w:t>
      </w:r>
      <w:proofErr w:type="spellEnd"/>
      <w:r>
        <w:t xml:space="preserve"> </w:t>
      </w:r>
      <w:proofErr w:type="spellStart"/>
      <w:r>
        <w:t>it</w:t>
      </w:r>
      <w:proofErr w:type="spellEnd"/>
      <w:r>
        <w:t>, consulente e formatore senior, esperto di corporate fundraising</w:t>
      </w:r>
    </w:p>
    <w:p w14:paraId="6BD5FA44" w14:textId="77777777" w:rsidR="00C02937" w:rsidRDefault="00C02937" w:rsidP="00C02937">
      <w:pPr>
        <w:jc w:val="both"/>
      </w:pPr>
      <w:r>
        <w:t xml:space="preserve">Laureato in giurisprudenza inizia un’attività da volontario all’interno di una ONG Italiana che opera in Asia venendo a contatto con il fundraising. Successivamente partecipa ad un corso intensivo di 4 mesi sul </w:t>
      </w:r>
      <w:proofErr w:type="gramStart"/>
      <w:r>
        <w:t>fundraising  ed</w:t>
      </w:r>
      <w:proofErr w:type="gramEnd"/>
      <w:r>
        <w:t xml:space="preserve"> entra come stagista nel 2006 nella Scuola di Roma Fund-</w:t>
      </w:r>
      <w:proofErr w:type="spellStart"/>
      <w:r>
        <w:t>raising</w:t>
      </w:r>
      <w:proofErr w:type="spellEnd"/>
      <w:r>
        <w:t xml:space="preserve"> </w:t>
      </w:r>
      <w:proofErr w:type="spellStart"/>
      <w:r>
        <w:t>it</w:t>
      </w:r>
      <w:proofErr w:type="spellEnd"/>
      <w:r>
        <w:t>, diventando consulente prima e formatore poi.</w:t>
      </w:r>
    </w:p>
    <w:p w14:paraId="460DA1A8" w14:textId="0367EFE9" w:rsidR="000C0411" w:rsidRDefault="00C02937" w:rsidP="00E85BBB">
      <w:pPr>
        <w:jc w:val="both"/>
      </w:pPr>
      <w:r>
        <w:t xml:space="preserve">E’ membro del Consiglio Direttivo di ASSIF, l’Associazione Italiana Fundraiser, carica che ricopre per il secondo mandato. Dal 2012 è membro del Consiglio Direttivo di EFA, la </w:t>
      </w:r>
      <w:proofErr w:type="spellStart"/>
      <w:r>
        <w:t>European</w:t>
      </w:r>
      <w:proofErr w:type="spellEnd"/>
      <w:r>
        <w:t xml:space="preserve"> </w:t>
      </w:r>
      <w:proofErr w:type="spellStart"/>
      <w:r>
        <w:t>Fundraising</w:t>
      </w:r>
      <w:proofErr w:type="spellEnd"/>
      <w:r>
        <w:t xml:space="preserve"> </w:t>
      </w:r>
      <w:proofErr w:type="spellStart"/>
      <w:r>
        <w:t>Association</w:t>
      </w:r>
      <w:proofErr w:type="spellEnd"/>
      <w:r>
        <w:t>, Associazione che raccoglie le Associ</w:t>
      </w:r>
      <w:r w:rsidR="00E85BBB">
        <w:t>azioni di Fundraising nazionali.</w:t>
      </w:r>
    </w:p>
    <w:p w14:paraId="4D4878B3" w14:textId="1167584A" w:rsidR="0001176C" w:rsidRPr="0001176C" w:rsidRDefault="0001176C" w:rsidP="00551504">
      <w:pPr>
        <w:jc w:val="both"/>
        <w:rPr>
          <w:b/>
          <w:lang w:val="en-US"/>
        </w:rPr>
      </w:pPr>
      <w:proofErr w:type="spellStart"/>
      <w:r w:rsidRPr="0001176C">
        <w:rPr>
          <w:b/>
          <w:lang w:val="en-US"/>
        </w:rPr>
        <w:lastRenderedPageBreak/>
        <w:t>Lavoro</w:t>
      </w:r>
      <w:proofErr w:type="spellEnd"/>
      <w:r w:rsidRPr="0001176C">
        <w:rPr>
          <w:b/>
          <w:lang w:val="en-US"/>
        </w:rPr>
        <w:t xml:space="preserve"> di </w:t>
      </w:r>
      <w:proofErr w:type="spellStart"/>
      <w:r w:rsidRPr="0001176C">
        <w:rPr>
          <w:b/>
          <w:lang w:val="en-US"/>
        </w:rPr>
        <w:t>sperimentazione</w:t>
      </w:r>
      <w:proofErr w:type="spellEnd"/>
      <w:r w:rsidRPr="0001176C">
        <w:rPr>
          <w:b/>
          <w:lang w:val="en-US"/>
        </w:rPr>
        <w:t xml:space="preserve"> di </w:t>
      </w:r>
      <w:proofErr w:type="spellStart"/>
      <w:r w:rsidRPr="0001176C">
        <w:rPr>
          <w:b/>
          <w:lang w:val="en-US"/>
        </w:rPr>
        <w:t>attività</w:t>
      </w:r>
      <w:proofErr w:type="spellEnd"/>
      <w:r w:rsidRPr="0001176C">
        <w:rPr>
          <w:b/>
          <w:lang w:val="en-US"/>
        </w:rPr>
        <w:t xml:space="preserve"> di </w:t>
      </w:r>
      <w:proofErr w:type="spellStart"/>
      <w:r w:rsidRPr="0001176C">
        <w:rPr>
          <w:b/>
          <w:lang w:val="en-US"/>
        </w:rPr>
        <w:t>fundrasisng</w:t>
      </w:r>
      <w:proofErr w:type="spellEnd"/>
    </w:p>
    <w:p w14:paraId="704B3CC6" w14:textId="77777777" w:rsidR="0001176C" w:rsidRDefault="0001176C" w:rsidP="00551504">
      <w:pPr>
        <w:jc w:val="both"/>
        <w:rPr>
          <w:lang w:val="en-US"/>
        </w:rPr>
      </w:pPr>
    </w:p>
    <w:p w14:paraId="2F19CF10" w14:textId="342E5B0D" w:rsidR="00551504" w:rsidRPr="007C4048" w:rsidRDefault="00551504" w:rsidP="00551504">
      <w:pPr>
        <w:jc w:val="both"/>
      </w:pPr>
      <w:r w:rsidRPr="007C4048">
        <w:t>A seguito delle due giornate di formazione, su massimo 2 progetti scelti durante la seconda giornata del corso, si formeranno gruppi di lavoro che verranno assistiti a distanza (tramite una help line con i consulenti) per la preparazione e la realizzazione di attività di fundraising.</w:t>
      </w:r>
    </w:p>
    <w:p w14:paraId="34204911" w14:textId="77777777" w:rsidR="00551504" w:rsidRPr="007C4048" w:rsidRDefault="00551504" w:rsidP="00551504">
      <w:pPr>
        <w:jc w:val="both"/>
      </w:pPr>
    </w:p>
    <w:p w14:paraId="31FB618C" w14:textId="4E8AA0EA" w:rsidR="00551504" w:rsidRPr="007C4048" w:rsidRDefault="00551504" w:rsidP="00551504">
      <w:pPr>
        <w:jc w:val="both"/>
      </w:pPr>
      <w:r w:rsidRPr="007C4048">
        <w:t>Per tale fase si prevede un impegno di lavoro di massimo 5 mesi articolato in lavoro desk e incontri con I consulenti a distanza.</w:t>
      </w:r>
    </w:p>
    <w:p w14:paraId="7DED5166" w14:textId="77777777" w:rsidR="00551504" w:rsidRPr="007C4048" w:rsidRDefault="00551504" w:rsidP="00551504">
      <w:pPr>
        <w:jc w:val="both"/>
      </w:pPr>
    </w:p>
    <w:p w14:paraId="1598F310" w14:textId="2A9DAC72" w:rsidR="00551504" w:rsidRPr="007C4048" w:rsidRDefault="00551504" w:rsidP="00551504">
      <w:pPr>
        <w:jc w:val="both"/>
      </w:pPr>
      <w:r w:rsidRPr="007C4048">
        <w:t>Tali attività saranno oggetto anche di un monitoraggio curato dalla Scuola che stilerà un breve rapporto valutativo anche per meglio testare gli strumenti di comunicazione che verranno poi disseminati all’intero ambiente delle biblioteche.</w:t>
      </w:r>
    </w:p>
    <w:p w14:paraId="50C18BED" w14:textId="77777777" w:rsidR="00551504" w:rsidRPr="00E85BBB" w:rsidRDefault="00551504" w:rsidP="00551504">
      <w:pPr>
        <w:jc w:val="both"/>
      </w:pPr>
    </w:p>
    <w:sectPr w:rsidR="00551504" w:rsidRPr="00E85BBB" w:rsidSect="004D5AFD">
      <w:footerReference w:type="default" r:id="rId8"/>
      <w:headerReference w:type="first" r:id="rId9"/>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C0512" w14:textId="77777777" w:rsidR="008A6514" w:rsidRDefault="008A6514" w:rsidP="002A314E">
      <w:r>
        <w:separator/>
      </w:r>
    </w:p>
  </w:endnote>
  <w:endnote w:type="continuationSeparator" w:id="0">
    <w:p w14:paraId="6B616D97" w14:textId="77777777" w:rsidR="008A6514" w:rsidRDefault="008A6514" w:rsidP="002A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6EB7" w14:textId="2A0783BB" w:rsidR="000C0411" w:rsidRDefault="000C0411" w:rsidP="00687D7B">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ED6EAB">
      <w:rPr>
        <w:rStyle w:val="Numeropagina"/>
        <w:noProof/>
      </w:rPr>
      <w:t>3</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D62A0" w14:textId="77777777" w:rsidR="008A6514" w:rsidRDefault="008A6514" w:rsidP="002A314E">
      <w:r>
        <w:separator/>
      </w:r>
    </w:p>
  </w:footnote>
  <w:footnote w:type="continuationSeparator" w:id="0">
    <w:p w14:paraId="35B4A434" w14:textId="77777777" w:rsidR="008A6514" w:rsidRDefault="008A6514" w:rsidP="002A3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B3FD" w14:textId="5BB80FA3" w:rsidR="000C0411" w:rsidRDefault="000C0411" w:rsidP="00D203BF">
    <w:pPr>
      <w:ind w:firstLine="708"/>
      <w:jc w:val="both"/>
      <w:rPr>
        <w:rFonts w:ascii="Verdana" w:hAnsi="Verdana"/>
      </w:rPr>
    </w:pPr>
    <w:r>
      <w:rPr>
        <w:noProof/>
      </w:rPr>
      <w:drawing>
        <wp:anchor distT="0" distB="0" distL="114300" distR="114300" simplePos="0" relativeHeight="251663360" behindDoc="1" locked="0" layoutInCell="1" allowOverlap="1" wp14:anchorId="378A2A92" wp14:editId="200322C0">
          <wp:simplePos x="0" y="0"/>
          <wp:positionH relativeFrom="column">
            <wp:posOffset>4686300</wp:posOffset>
          </wp:positionH>
          <wp:positionV relativeFrom="paragraph">
            <wp:posOffset>221615</wp:posOffset>
          </wp:positionV>
          <wp:extent cx="1590040" cy="457200"/>
          <wp:effectExtent l="0" t="0" r="10160" b="0"/>
          <wp:wrapThrough wrapText="bothSides">
            <wp:wrapPolygon edited="0">
              <wp:start x="0" y="0"/>
              <wp:lineTo x="0" y="20400"/>
              <wp:lineTo x="21393" y="20400"/>
              <wp:lineTo x="21393" y="0"/>
              <wp:lineTo x="0" y="0"/>
            </wp:wrapPolygon>
          </wp:wrapThrough>
          <wp:docPr id="5" name="Immagine 5" descr="Logo_Scuola_FR_i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cuola_FR_i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rPr>
      <w:drawing>
        <wp:inline distT="0" distB="0" distL="0" distR="0" wp14:anchorId="44D32FFE" wp14:editId="39C2C963">
          <wp:extent cx="1252855" cy="541655"/>
          <wp:effectExtent l="0" t="0" r="0" b="0"/>
          <wp:docPr id="1" name="Picture 1" descr="LogoMiBAC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BACT20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855" cy="541655"/>
                  </a:xfrm>
                  <a:prstGeom prst="rect">
                    <a:avLst/>
                  </a:prstGeom>
                  <a:noFill/>
                  <a:ln>
                    <a:noFill/>
                  </a:ln>
                </pic:spPr>
              </pic:pic>
            </a:graphicData>
          </a:graphic>
        </wp:inline>
      </w:drawing>
    </w:r>
    <w:r>
      <w:rPr>
        <w:rFonts w:ascii="Verdana" w:hAnsi="Verdana"/>
      </w:rPr>
      <w:t xml:space="preserve">               </w:t>
    </w:r>
    <w:r>
      <w:rPr>
        <w:rFonts w:ascii="Verdana" w:hAnsi="Verdana"/>
        <w:noProof/>
      </w:rPr>
      <w:drawing>
        <wp:inline distT="0" distB="0" distL="0" distR="0" wp14:anchorId="74E4F8C4" wp14:editId="1581D325">
          <wp:extent cx="838200" cy="626745"/>
          <wp:effectExtent l="0" t="0" r="0" b="8255"/>
          <wp:docPr id="2" name="Picture 2" descr="logo_cepell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pell_20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626745"/>
                  </a:xfrm>
                  <a:prstGeom prst="rect">
                    <a:avLst/>
                  </a:prstGeom>
                  <a:noFill/>
                  <a:ln>
                    <a:noFill/>
                  </a:ln>
                </pic:spPr>
              </pic:pic>
            </a:graphicData>
          </a:graphic>
        </wp:inline>
      </w:drawing>
    </w:r>
    <w:r>
      <w:rPr>
        <w:rFonts w:ascii="Verdana" w:hAnsi="Verdana"/>
      </w:rPr>
      <w:t xml:space="preserve">         </w:t>
    </w:r>
    <w:r>
      <w:rPr>
        <w:rFonts w:ascii="Verdana" w:hAnsi="Verdana"/>
        <w:noProof/>
      </w:rPr>
      <w:drawing>
        <wp:inline distT="0" distB="0" distL="0" distR="0" wp14:anchorId="0F285AB6" wp14:editId="5D34C71E">
          <wp:extent cx="431800" cy="635000"/>
          <wp:effectExtent l="0" t="0" r="0" b="0"/>
          <wp:docPr id="3" name="Picture 3" descr="logo anci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nci col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800" cy="635000"/>
                  </a:xfrm>
                  <a:prstGeom prst="rect">
                    <a:avLst/>
                  </a:prstGeom>
                  <a:noFill/>
                  <a:ln>
                    <a:noFill/>
                  </a:ln>
                </pic:spPr>
              </pic:pic>
            </a:graphicData>
          </a:graphic>
        </wp:inline>
      </w:drawing>
    </w:r>
    <w:r>
      <w:rPr>
        <w:rFonts w:ascii="Verdana" w:hAnsi="Verdana"/>
      </w:rPr>
      <w:t xml:space="preserve">                      </w:t>
    </w:r>
  </w:p>
  <w:p w14:paraId="75ECF04A" w14:textId="6EA82CFF" w:rsidR="000C0411" w:rsidRDefault="000C0411" w:rsidP="00D203BF">
    <w:pPr>
      <w:tabs>
        <w:tab w:val="left" w:pos="1840"/>
      </w:tabs>
      <w:rPr>
        <w:rFonts w:eastAsia="Times New Roman" w:cs="Times New Roman"/>
        <w:noProof/>
        <w:lang w:val="en-US" w:eastAsia="en-US"/>
      </w:rPr>
    </w:pPr>
  </w:p>
  <w:p w14:paraId="6059C795" w14:textId="77777777" w:rsidR="000C0411" w:rsidRDefault="000C0411" w:rsidP="004D5AFD">
    <w:pPr>
      <w:rPr>
        <w:rFonts w:eastAsia="Times New Roman" w:cs="Times New Roman"/>
        <w:noProof/>
        <w:lang w:val="en-US" w:eastAsia="en-US"/>
      </w:rPr>
    </w:pPr>
  </w:p>
  <w:p w14:paraId="26077253" w14:textId="77777777" w:rsidR="000C0411" w:rsidRDefault="000C0411" w:rsidP="004D5AFD">
    <w:pPr>
      <w:pStyle w:val="Intestazione"/>
      <w:pBdr>
        <w:top w:val="single" w:sz="4" w:space="1" w:color="auto"/>
      </w:pBdr>
      <w:jc w:val="center"/>
      <w:rPr>
        <w:sz w:val="20"/>
        <w:szCs w:val="20"/>
      </w:rPr>
    </w:pPr>
  </w:p>
  <w:p w14:paraId="521450E9" w14:textId="48C32AB5" w:rsidR="000C0411" w:rsidRPr="004D5AFD" w:rsidRDefault="000C0411" w:rsidP="004D5AFD">
    <w:pPr>
      <w:pStyle w:val="Intestazione"/>
      <w:pBdr>
        <w:top w:val="single" w:sz="4" w:space="1" w:color="auto"/>
      </w:pBdr>
      <w:jc w:val="center"/>
      <w:rPr>
        <w:sz w:val="20"/>
        <w:szCs w:val="20"/>
      </w:rPr>
    </w:pPr>
    <w:r w:rsidRPr="004D5AFD">
      <w:rPr>
        <w:sz w:val="20"/>
        <w:szCs w:val="20"/>
      </w:rPr>
      <w:t>ITINERARIO FORMATIVO E INFORMATIVO PER LA PROMOZIONE DELL’USO DELL’ART BONUS A FAVORE DELLE BIB</w:t>
    </w:r>
    <w:r>
      <w:rPr>
        <w:sz w:val="20"/>
        <w:szCs w:val="20"/>
      </w:rPr>
      <w:t>LIOTECHE DI PUBBLICA LETTUR</w:t>
    </w:r>
    <w:r w:rsidRPr="004D5AFD">
      <w:rPr>
        <w:sz w:val="20"/>
        <w:szCs w:val="20"/>
      </w:rPr>
      <w:t>A</w:t>
    </w:r>
    <w:r>
      <w:rPr>
        <w:sz w:val="20"/>
        <w:szCs w:val="20"/>
      </w:rPr>
      <w:t xml:space="preserve"> – Maggio/Ottobre 2015 </w:t>
    </w:r>
  </w:p>
  <w:p w14:paraId="45663B5F" w14:textId="4E4F2416" w:rsidR="000C0411" w:rsidRDefault="000C041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027916"/>
    <w:multiLevelType w:val="hybridMultilevel"/>
    <w:tmpl w:val="340AC1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E873731"/>
    <w:multiLevelType w:val="hybridMultilevel"/>
    <w:tmpl w:val="23745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4060D4"/>
    <w:multiLevelType w:val="hybridMultilevel"/>
    <w:tmpl w:val="3D0A30C6"/>
    <w:lvl w:ilvl="0" w:tplc="8E16873C">
      <w:start w:val="4"/>
      <w:numFmt w:val="bullet"/>
      <w:lvlText w:val="-"/>
      <w:lvlJc w:val="left"/>
      <w:pPr>
        <w:ind w:left="6" w:hanging="360"/>
      </w:pPr>
      <w:rPr>
        <w:rFonts w:ascii="Calibri" w:eastAsiaTheme="minorEastAsia" w:hAnsi="Calibri" w:cstheme="minorBidi" w:hint="default"/>
      </w:rPr>
    </w:lvl>
    <w:lvl w:ilvl="1" w:tplc="04100003" w:tentative="1">
      <w:start w:val="1"/>
      <w:numFmt w:val="bullet"/>
      <w:lvlText w:val="o"/>
      <w:lvlJc w:val="left"/>
      <w:pPr>
        <w:ind w:left="726" w:hanging="360"/>
      </w:pPr>
      <w:rPr>
        <w:rFonts w:ascii="Courier New" w:hAnsi="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4">
    <w:nsid w:val="5A006CFE"/>
    <w:multiLevelType w:val="hybridMultilevel"/>
    <w:tmpl w:val="52F4B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4E"/>
    <w:rsid w:val="0001176C"/>
    <w:rsid w:val="000302F2"/>
    <w:rsid w:val="0004527A"/>
    <w:rsid w:val="00061706"/>
    <w:rsid w:val="00080D87"/>
    <w:rsid w:val="000C0411"/>
    <w:rsid w:val="000F7650"/>
    <w:rsid w:val="00150E36"/>
    <w:rsid w:val="001B36F7"/>
    <w:rsid w:val="002A314E"/>
    <w:rsid w:val="00367919"/>
    <w:rsid w:val="004522C1"/>
    <w:rsid w:val="00461750"/>
    <w:rsid w:val="004D5AFD"/>
    <w:rsid w:val="00551504"/>
    <w:rsid w:val="005B1955"/>
    <w:rsid w:val="006512BB"/>
    <w:rsid w:val="00676B0C"/>
    <w:rsid w:val="00686DBD"/>
    <w:rsid w:val="00687D7B"/>
    <w:rsid w:val="00780D94"/>
    <w:rsid w:val="007C4048"/>
    <w:rsid w:val="0089021A"/>
    <w:rsid w:val="008A6514"/>
    <w:rsid w:val="00937F7B"/>
    <w:rsid w:val="00A51862"/>
    <w:rsid w:val="00A543B6"/>
    <w:rsid w:val="00B514E7"/>
    <w:rsid w:val="00C02937"/>
    <w:rsid w:val="00C2100E"/>
    <w:rsid w:val="00C84F7D"/>
    <w:rsid w:val="00CF0664"/>
    <w:rsid w:val="00D165B9"/>
    <w:rsid w:val="00D203BF"/>
    <w:rsid w:val="00E76FB1"/>
    <w:rsid w:val="00E85BBB"/>
    <w:rsid w:val="00EB463B"/>
    <w:rsid w:val="00ED6EAB"/>
    <w:rsid w:val="00FF043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46A4A"/>
  <w14:defaultImageDpi w14:val="300"/>
  <w15:docId w15:val="{ACD7320D-B183-4ED2-8FB3-B7113778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314E"/>
  </w:style>
  <w:style w:type="paragraph" w:styleId="Titolo1">
    <w:name w:val="heading 1"/>
    <w:basedOn w:val="Normale"/>
    <w:next w:val="Normale"/>
    <w:link w:val="Titolo1Carattere"/>
    <w:uiPriority w:val="9"/>
    <w:qFormat/>
    <w:rsid w:val="00686DBD"/>
    <w:pPr>
      <w:keepNext/>
      <w:keepLines/>
      <w:spacing w:before="480"/>
      <w:outlineLvl w:val="0"/>
    </w:pPr>
    <w:rPr>
      <w:rFonts w:eastAsiaTheme="majorEastAsia"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314E"/>
    <w:pPr>
      <w:ind w:left="720"/>
      <w:contextualSpacing/>
    </w:pPr>
  </w:style>
  <w:style w:type="paragraph" w:styleId="Intestazione">
    <w:name w:val="header"/>
    <w:basedOn w:val="Normale"/>
    <w:link w:val="IntestazioneCarattere"/>
    <w:uiPriority w:val="99"/>
    <w:unhideWhenUsed/>
    <w:rsid w:val="002A314E"/>
    <w:pPr>
      <w:tabs>
        <w:tab w:val="center" w:pos="4819"/>
        <w:tab w:val="right" w:pos="9638"/>
      </w:tabs>
    </w:pPr>
  </w:style>
  <w:style w:type="character" w:customStyle="1" w:styleId="IntestazioneCarattere">
    <w:name w:val="Intestazione Carattere"/>
    <w:basedOn w:val="Carpredefinitoparagrafo"/>
    <w:link w:val="Intestazione"/>
    <w:uiPriority w:val="99"/>
    <w:rsid w:val="002A314E"/>
  </w:style>
  <w:style w:type="paragraph" w:styleId="Pidipagina">
    <w:name w:val="footer"/>
    <w:basedOn w:val="Normale"/>
    <w:link w:val="PidipaginaCarattere"/>
    <w:uiPriority w:val="99"/>
    <w:unhideWhenUsed/>
    <w:rsid w:val="002A314E"/>
    <w:pPr>
      <w:tabs>
        <w:tab w:val="center" w:pos="4819"/>
        <w:tab w:val="right" w:pos="9638"/>
      </w:tabs>
    </w:pPr>
  </w:style>
  <w:style w:type="character" w:customStyle="1" w:styleId="PidipaginaCarattere">
    <w:name w:val="Piè di pagina Carattere"/>
    <w:basedOn w:val="Carpredefinitoparagrafo"/>
    <w:link w:val="Pidipagina"/>
    <w:uiPriority w:val="99"/>
    <w:rsid w:val="002A314E"/>
  </w:style>
  <w:style w:type="character" w:styleId="Collegamentoipertestuale">
    <w:name w:val="Hyperlink"/>
    <w:basedOn w:val="Carpredefinitoparagrafo"/>
    <w:uiPriority w:val="99"/>
    <w:unhideWhenUsed/>
    <w:rsid w:val="002A314E"/>
    <w:rPr>
      <w:color w:val="0000FF"/>
      <w:u w:val="single"/>
    </w:rPr>
  </w:style>
  <w:style w:type="paragraph" w:styleId="Testofumetto">
    <w:name w:val="Balloon Text"/>
    <w:basedOn w:val="Normale"/>
    <w:link w:val="TestofumettoCarattere"/>
    <w:uiPriority w:val="99"/>
    <w:semiHidden/>
    <w:unhideWhenUsed/>
    <w:rsid w:val="002A314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A314E"/>
    <w:rPr>
      <w:rFonts w:ascii="Lucida Grande" w:hAnsi="Lucida Grande" w:cs="Lucida Grande"/>
      <w:sz w:val="18"/>
      <w:szCs w:val="18"/>
    </w:rPr>
  </w:style>
  <w:style w:type="character" w:styleId="Numeropagina">
    <w:name w:val="page number"/>
    <w:basedOn w:val="Carpredefinitoparagrafo"/>
    <w:uiPriority w:val="99"/>
    <w:semiHidden/>
    <w:unhideWhenUsed/>
    <w:rsid w:val="00687D7B"/>
  </w:style>
  <w:style w:type="character" w:customStyle="1" w:styleId="Titolo1Carattere">
    <w:name w:val="Titolo 1 Carattere"/>
    <w:basedOn w:val="Carpredefinitoparagrafo"/>
    <w:link w:val="Titolo1"/>
    <w:uiPriority w:val="9"/>
    <w:rsid w:val="00686DBD"/>
    <w:rPr>
      <w:rFonts w:eastAsiaTheme="majorEastAsia" w:cstheme="majorBidi"/>
      <w:b/>
      <w:bCs/>
      <w:color w:val="345A8A" w:themeColor="accent1" w:themeShade="B5"/>
      <w:sz w:val="32"/>
      <w:szCs w:val="32"/>
    </w:rPr>
  </w:style>
  <w:style w:type="paragraph" w:styleId="Titolosommario">
    <w:name w:val="TOC Heading"/>
    <w:basedOn w:val="Titolo1"/>
    <w:next w:val="Normale"/>
    <w:uiPriority w:val="39"/>
    <w:unhideWhenUsed/>
    <w:qFormat/>
    <w:rsid w:val="00686DBD"/>
    <w:pPr>
      <w:spacing w:line="276" w:lineRule="auto"/>
      <w:outlineLvl w:val="9"/>
    </w:pPr>
    <w:rPr>
      <w:color w:val="365F91" w:themeColor="accent1" w:themeShade="BF"/>
      <w:sz w:val="28"/>
      <w:szCs w:val="28"/>
      <w:lang w:val="en-US" w:eastAsia="en-US"/>
    </w:rPr>
  </w:style>
  <w:style w:type="paragraph" w:styleId="Sommario1">
    <w:name w:val="toc 1"/>
    <w:basedOn w:val="Normale"/>
    <w:next w:val="Normale"/>
    <w:autoRedefine/>
    <w:uiPriority w:val="39"/>
    <w:semiHidden/>
    <w:unhideWhenUsed/>
    <w:rsid w:val="00686DBD"/>
    <w:pPr>
      <w:spacing w:before="120"/>
    </w:pPr>
    <w:rPr>
      <w:rFonts w:asciiTheme="minorHAnsi" w:hAnsiTheme="minorHAnsi"/>
      <w:b/>
    </w:rPr>
  </w:style>
  <w:style w:type="paragraph" w:styleId="Sommario2">
    <w:name w:val="toc 2"/>
    <w:basedOn w:val="Normale"/>
    <w:next w:val="Normale"/>
    <w:autoRedefine/>
    <w:uiPriority w:val="39"/>
    <w:semiHidden/>
    <w:unhideWhenUsed/>
    <w:rsid w:val="00686DBD"/>
    <w:pPr>
      <w:ind w:left="240"/>
    </w:pPr>
    <w:rPr>
      <w:rFonts w:asciiTheme="minorHAnsi" w:hAnsiTheme="minorHAnsi"/>
      <w:b/>
      <w:sz w:val="22"/>
      <w:szCs w:val="22"/>
    </w:rPr>
  </w:style>
  <w:style w:type="paragraph" w:styleId="Sommario3">
    <w:name w:val="toc 3"/>
    <w:basedOn w:val="Normale"/>
    <w:next w:val="Normale"/>
    <w:autoRedefine/>
    <w:uiPriority w:val="39"/>
    <w:semiHidden/>
    <w:unhideWhenUsed/>
    <w:rsid w:val="00686DBD"/>
    <w:pPr>
      <w:ind w:left="480"/>
    </w:pPr>
    <w:rPr>
      <w:rFonts w:asciiTheme="minorHAnsi" w:hAnsiTheme="minorHAnsi"/>
      <w:sz w:val="22"/>
      <w:szCs w:val="22"/>
    </w:rPr>
  </w:style>
  <w:style w:type="paragraph" w:styleId="Sommario4">
    <w:name w:val="toc 4"/>
    <w:basedOn w:val="Normale"/>
    <w:next w:val="Normale"/>
    <w:autoRedefine/>
    <w:uiPriority w:val="39"/>
    <w:semiHidden/>
    <w:unhideWhenUsed/>
    <w:rsid w:val="00686DBD"/>
    <w:pPr>
      <w:ind w:left="720"/>
    </w:pPr>
    <w:rPr>
      <w:rFonts w:asciiTheme="minorHAnsi" w:hAnsiTheme="minorHAnsi"/>
      <w:sz w:val="20"/>
      <w:szCs w:val="20"/>
    </w:rPr>
  </w:style>
  <w:style w:type="paragraph" w:styleId="Sommario5">
    <w:name w:val="toc 5"/>
    <w:basedOn w:val="Normale"/>
    <w:next w:val="Normale"/>
    <w:autoRedefine/>
    <w:uiPriority w:val="39"/>
    <w:semiHidden/>
    <w:unhideWhenUsed/>
    <w:rsid w:val="00686DBD"/>
    <w:pPr>
      <w:ind w:left="960"/>
    </w:pPr>
    <w:rPr>
      <w:rFonts w:asciiTheme="minorHAnsi" w:hAnsiTheme="minorHAnsi"/>
      <w:sz w:val="20"/>
      <w:szCs w:val="20"/>
    </w:rPr>
  </w:style>
  <w:style w:type="paragraph" w:styleId="Sommario6">
    <w:name w:val="toc 6"/>
    <w:basedOn w:val="Normale"/>
    <w:next w:val="Normale"/>
    <w:autoRedefine/>
    <w:uiPriority w:val="39"/>
    <w:semiHidden/>
    <w:unhideWhenUsed/>
    <w:rsid w:val="00686DBD"/>
    <w:pPr>
      <w:ind w:left="1200"/>
    </w:pPr>
    <w:rPr>
      <w:rFonts w:asciiTheme="minorHAnsi" w:hAnsiTheme="minorHAnsi"/>
      <w:sz w:val="20"/>
      <w:szCs w:val="20"/>
    </w:rPr>
  </w:style>
  <w:style w:type="paragraph" w:styleId="Sommario7">
    <w:name w:val="toc 7"/>
    <w:basedOn w:val="Normale"/>
    <w:next w:val="Normale"/>
    <w:autoRedefine/>
    <w:uiPriority w:val="39"/>
    <w:semiHidden/>
    <w:unhideWhenUsed/>
    <w:rsid w:val="00686DBD"/>
    <w:pPr>
      <w:ind w:left="1440"/>
    </w:pPr>
    <w:rPr>
      <w:rFonts w:asciiTheme="minorHAnsi" w:hAnsiTheme="minorHAnsi"/>
      <w:sz w:val="20"/>
      <w:szCs w:val="20"/>
    </w:rPr>
  </w:style>
  <w:style w:type="paragraph" w:styleId="Sommario8">
    <w:name w:val="toc 8"/>
    <w:basedOn w:val="Normale"/>
    <w:next w:val="Normale"/>
    <w:autoRedefine/>
    <w:uiPriority w:val="39"/>
    <w:semiHidden/>
    <w:unhideWhenUsed/>
    <w:rsid w:val="00686DBD"/>
    <w:pPr>
      <w:ind w:left="1680"/>
    </w:pPr>
    <w:rPr>
      <w:rFonts w:asciiTheme="minorHAnsi" w:hAnsiTheme="minorHAnsi"/>
      <w:sz w:val="20"/>
      <w:szCs w:val="20"/>
    </w:rPr>
  </w:style>
  <w:style w:type="paragraph" w:styleId="Sommario9">
    <w:name w:val="toc 9"/>
    <w:basedOn w:val="Normale"/>
    <w:next w:val="Normale"/>
    <w:autoRedefine/>
    <w:uiPriority w:val="39"/>
    <w:semiHidden/>
    <w:unhideWhenUsed/>
    <w:rsid w:val="00686DBD"/>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1928">
      <w:bodyDiv w:val="1"/>
      <w:marLeft w:val="0"/>
      <w:marRight w:val="0"/>
      <w:marTop w:val="0"/>
      <w:marBottom w:val="0"/>
      <w:divBdr>
        <w:top w:val="none" w:sz="0" w:space="0" w:color="auto"/>
        <w:left w:val="none" w:sz="0" w:space="0" w:color="auto"/>
        <w:bottom w:val="none" w:sz="0" w:space="0" w:color="auto"/>
        <w:right w:val="none" w:sz="0" w:space="0" w:color="auto"/>
      </w:divBdr>
      <w:divsChild>
        <w:div w:id="1979065460">
          <w:marLeft w:val="0"/>
          <w:marRight w:val="0"/>
          <w:marTop w:val="0"/>
          <w:marBottom w:val="0"/>
          <w:divBdr>
            <w:top w:val="none" w:sz="0" w:space="0" w:color="auto"/>
            <w:left w:val="none" w:sz="0" w:space="0" w:color="auto"/>
            <w:bottom w:val="none" w:sz="0" w:space="0" w:color="auto"/>
            <w:right w:val="none" w:sz="0" w:space="0" w:color="auto"/>
          </w:divBdr>
          <w:divsChild>
            <w:div w:id="1515925857">
              <w:marLeft w:val="0"/>
              <w:marRight w:val="0"/>
              <w:marTop w:val="0"/>
              <w:marBottom w:val="0"/>
              <w:divBdr>
                <w:top w:val="none" w:sz="0" w:space="0" w:color="auto"/>
                <w:left w:val="none" w:sz="0" w:space="0" w:color="auto"/>
                <w:bottom w:val="none" w:sz="0" w:space="0" w:color="auto"/>
                <w:right w:val="none" w:sz="0" w:space="0" w:color="auto"/>
              </w:divBdr>
              <w:divsChild>
                <w:div w:id="1679771882">
                  <w:marLeft w:val="0"/>
                  <w:marRight w:val="0"/>
                  <w:marTop w:val="0"/>
                  <w:marBottom w:val="0"/>
                  <w:divBdr>
                    <w:top w:val="none" w:sz="0" w:space="0" w:color="auto"/>
                    <w:left w:val="none" w:sz="0" w:space="0" w:color="auto"/>
                    <w:bottom w:val="none" w:sz="0" w:space="0" w:color="auto"/>
                    <w:right w:val="none" w:sz="0" w:space="0" w:color="auto"/>
                  </w:divBdr>
                  <w:divsChild>
                    <w:div w:id="18965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4E9C-E7BF-4E9A-84CB-98CD885B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3838</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coen cagli</dc:creator>
  <cp:keywords/>
  <dc:description/>
  <cp:lastModifiedBy>Giovanna Fravolini</cp:lastModifiedBy>
  <cp:revision>2</cp:revision>
  <cp:lastPrinted>2015-05-26T09:38:00Z</cp:lastPrinted>
  <dcterms:created xsi:type="dcterms:W3CDTF">2015-09-14T15:12:00Z</dcterms:created>
  <dcterms:modified xsi:type="dcterms:W3CDTF">2015-09-14T15:12:00Z</dcterms:modified>
</cp:coreProperties>
</file>