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B18DA" w14:textId="4A73AF36" w:rsidR="006049D1" w:rsidRDefault="006049D1" w:rsidP="006049D1">
      <w:pPr>
        <w:ind w:left="6372" w:hanging="6798"/>
        <w:jc w:val="center"/>
        <w:rPr>
          <w:rFonts w:ascii="Arial" w:eastAsia="Times New Roman" w:hAnsi="Arial" w:cs="Arial"/>
          <w:b/>
          <w:sz w:val="24"/>
          <w:szCs w:val="24"/>
        </w:rPr>
      </w:pPr>
      <w:r w:rsidRPr="00D82264">
        <w:rPr>
          <w:rFonts w:ascii="Arial" w:hAnsi="Arial" w:cs="Arial"/>
          <w:noProof/>
          <w:color w:val="0000FF"/>
        </w:rPr>
        <w:drawing>
          <wp:inline distT="0" distB="0" distL="0" distR="0" wp14:anchorId="57C66761" wp14:editId="4DB2A67D">
            <wp:extent cx="4094645" cy="1153090"/>
            <wp:effectExtent l="0" t="0" r="1270" b="9525"/>
            <wp:docPr id="1" name="Immagine 1" descr="C:\Users\pcappelletti\AppData\Local\Microsoft\Windows\INetCache\Content.Outlook\LCOKKV4M\stringa_loghi1_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elletti\AppData\Local\Microsoft\Windows\INetCache\Content.Outlook\LCOKKV4M\stringa_loghi1_01.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0161" cy="1171540"/>
                    </a:xfrm>
                    <a:prstGeom prst="rect">
                      <a:avLst/>
                    </a:prstGeom>
                    <a:noFill/>
                    <a:ln>
                      <a:noFill/>
                    </a:ln>
                  </pic:spPr>
                </pic:pic>
              </a:graphicData>
            </a:graphic>
          </wp:inline>
        </w:drawing>
      </w:r>
    </w:p>
    <w:p w14:paraId="30DBAD05" w14:textId="3C455251" w:rsidR="001B4885" w:rsidRDefault="001B4885" w:rsidP="009C6055">
      <w:pPr>
        <w:ind w:left="6372" w:firstLine="708"/>
        <w:jc w:val="center"/>
        <w:rPr>
          <w:rFonts w:ascii="Arial" w:eastAsia="Times New Roman" w:hAnsi="Arial" w:cs="Arial"/>
          <w:b/>
          <w:sz w:val="24"/>
          <w:szCs w:val="24"/>
        </w:rPr>
      </w:pPr>
      <w:r w:rsidRPr="004226FC">
        <w:rPr>
          <w:rFonts w:ascii="Arial" w:eastAsia="Times New Roman" w:hAnsi="Arial" w:cs="Arial"/>
          <w:b/>
          <w:sz w:val="24"/>
          <w:szCs w:val="24"/>
        </w:rPr>
        <w:t>Allegato C)</w:t>
      </w:r>
    </w:p>
    <w:p w14:paraId="2DFB4972" w14:textId="1CEFE907" w:rsidR="00B26346" w:rsidRDefault="003374E2" w:rsidP="000D4306">
      <w:pPr>
        <w:jc w:val="center"/>
        <w:rPr>
          <w:rFonts w:ascii="Arial" w:eastAsia="Times New Roman" w:hAnsi="Arial" w:cs="Arial"/>
          <w:b/>
          <w:sz w:val="24"/>
          <w:szCs w:val="24"/>
        </w:rPr>
      </w:pPr>
      <w:r>
        <w:rPr>
          <w:rFonts w:ascii="Arial" w:eastAsia="Times New Roman" w:hAnsi="Arial" w:cs="Arial"/>
          <w:b/>
          <w:sz w:val="24"/>
          <w:szCs w:val="24"/>
        </w:rPr>
        <w:t xml:space="preserve">Relazione tecnico illustrativa </w:t>
      </w:r>
    </w:p>
    <w:p w14:paraId="15E8BEE4" w14:textId="77777777" w:rsidR="003374E2" w:rsidRPr="004226FC" w:rsidRDefault="003374E2" w:rsidP="000D4306">
      <w:pPr>
        <w:jc w:val="center"/>
        <w:rPr>
          <w:rFonts w:ascii="Arial" w:eastAsia="Times New Roman" w:hAnsi="Arial" w:cs="Arial"/>
          <w:b/>
          <w:sz w:val="24"/>
          <w:szCs w:val="24"/>
        </w:rPr>
      </w:pPr>
    </w:p>
    <w:p w14:paraId="09E60BF5" w14:textId="768973DA" w:rsidR="000D4306" w:rsidRPr="000D4306" w:rsidRDefault="000D4306" w:rsidP="000D4306">
      <w:pPr>
        <w:jc w:val="center"/>
        <w:rPr>
          <w:rFonts w:ascii="Arial" w:eastAsia="Times New Roman" w:hAnsi="Arial" w:cs="Arial"/>
          <w:b/>
          <w:color w:val="4F81BD" w:themeColor="accent1"/>
          <w:sz w:val="28"/>
          <w:szCs w:val="28"/>
        </w:rPr>
      </w:pPr>
      <w:r w:rsidRPr="00305B29">
        <w:rPr>
          <w:rFonts w:ascii="Arial" w:eastAsia="Times New Roman" w:hAnsi="Arial" w:cs="Arial"/>
          <w:b/>
          <w:color w:val="4F81BD" w:themeColor="accent1"/>
        </w:rPr>
        <w:t>SERVIZIO DI VALUTAZIONE DEL</w:t>
      </w:r>
    </w:p>
    <w:p w14:paraId="59657A43" w14:textId="77777777" w:rsidR="000D4306" w:rsidRPr="00305B29" w:rsidRDefault="000D4306" w:rsidP="000D4306">
      <w:pPr>
        <w:jc w:val="center"/>
        <w:rPr>
          <w:rFonts w:ascii="Arial" w:eastAsia="Times New Roman" w:hAnsi="Arial" w:cs="Arial"/>
          <w:b/>
          <w:color w:val="4F81BD" w:themeColor="accent1"/>
        </w:rPr>
      </w:pPr>
      <w:r w:rsidRPr="00305B29">
        <w:rPr>
          <w:rFonts w:ascii="Arial" w:eastAsia="Times New Roman" w:hAnsi="Arial" w:cs="Arial"/>
          <w:b/>
          <w:color w:val="4F81BD" w:themeColor="accent1"/>
        </w:rPr>
        <w:t xml:space="preserve">PROGRAMMA DI SVILUPPO RURALE DELLA REGIONE UMBRIA </w:t>
      </w:r>
    </w:p>
    <w:p w14:paraId="25104863" w14:textId="77777777" w:rsidR="000D4306" w:rsidRPr="00305B29" w:rsidRDefault="000D4306" w:rsidP="000D4306">
      <w:pPr>
        <w:jc w:val="center"/>
        <w:rPr>
          <w:rFonts w:ascii="Arial" w:eastAsia="Times New Roman" w:hAnsi="Arial" w:cs="Arial"/>
          <w:b/>
          <w:color w:val="4F81BD" w:themeColor="accent1"/>
        </w:rPr>
      </w:pPr>
      <w:r w:rsidRPr="00305B29">
        <w:rPr>
          <w:rFonts w:ascii="Arial" w:eastAsia="Times New Roman" w:hAnsi="Arial" w:cs="Arial"/>
          <w:b/>
          <w:color w:val="4F81BD" w:themeColor="accent1"/>
        </w:rPr>
        <w:t>PER IL PERIODO 2014-2020</w:t>
      </w:r>
    </w:p>
    <w:p w14:paraId="7CB5D4F4" w14:textId="77777777" w:rsidR="000D4306" w:rsidRPr="00305B29" w:rsidRDefault="000D4306" w:rsidP="000D4306">
      <w:pPr>
        <w:jc w:val="center"/>
        <w:rPr>
          <w:rFonts w:ascii="Arial" w:eastAsia="Times New Roman" w:hAnsi="Arial" w:cs="Arial"/>
          <w:b/>
          <w:color w:val="4F81BD" w:themeColor="accent1"/>
        </w:rPr>
      </w:pPr>
      <w:r w:rsidRPr="00305B29">
        <w:rPr>
          <w:rFonts w:ascii="Arial" w:eastAsia="Times New Roman" w:hAnsi="Arial" w:cs="Arial"/>
          <w:b/>
          <w:color w:val="4F81BD" w:themeColor="accent1"/>
        </w:rPr>
        <w:t>Progettazione per l’appalto</w:t>
      </w:r>
    </w:p>
    <w:p w14:paraId="66B7906C" w14:textId="77777777" w:rsidR="000D4306" w:rsidRPr="00940FBF" w:rsidRDefault="000D4306" w:rsidP="000D4306">
      <w:pPr>
        <w:rPr>
          <w:rFonts w:ascii="Arial" w:hAnsi="Arial" w:cs="Arial"/>
          <w:sz w:val="22"/>
          <w:szCs w:val="22"/>
        </w:rPr>
      </w:pPr>
    </w:p>
    <w:p w14:paraId="2B2C5BC6" w14:textId="77777777" w:rsidR="000D4306" w:rsidRPr="00940FBF" w:rsidRDefault="000D4306" w:rsidP="000D4306">
      <w:pPr>
        <w:pStyle w:val="Titolo1"/>
        <w:rPr>
          <w:rFonts w:ascii="Arial" w:hAnsi="Arial" w:cs="Arial"/>
          <w:sz w:val="28"/>
          <w:szCs w:val="28"/>
        </w:rPr>
      </w:pPr>
      <w:r w:rsidRPr="00940FBF">
        <w:rPr>
          <w:rFonts w:ascii="Arial" w:hAnsi="Arial" w:cs="Arial"/>
          <w:sz w:val="28"/>
          <w:szCs w:val="28"/>
        </w:rPr>
        <w:t>Premessa</w:t>
      </w:r>
    </w:p>
    <w:p w14:paraId="5FC97AEB" w14:textId="77777777" w:rsidR="000D4306" w:rsidRPr="0044335C" w:rsidRDefault="000D4306" w:rsidP="000D4306">
      <w:pPr>
        <w:jc w:val="both"/>
        <w:rPr>
          <w:rFonts w:ascii="Arial" w:eastAsia="Times New Roman" w:hAnsi="Arial" w:cs="Arial"/>
          <w:strike/>
          <w:color w:val="000000"/>
          <w:sz w:val="22"/>
          <w:szCs w:val="22"/>
        </w:rPr>
      </w:pPr>
      <w:r w:rsidRPr="00940FBF">
        <w:rPr>
          <w:rFonts w:ascii="Arial" w:eastAsia="Times New Roman" w:hAnsi="Arial" w:cs="Arial"/>
          <w:color w:val="000000"/>
          <w:sz w:val="22"/>
          <w:szCs w:val="22"/>
        </w:rPr>
        <w:t xml:space="preserve">Il presente allegato, ai sensi dei commi 14 e 15 dell’art. 23 del </w:t>
      </w:r>
      <w:proofErr w:type="spellStart"/>
      <w:r w:rsidRPr="00940FBF">
        <w:rPr>
          <w:rFonts w:ascii="Arial" w:eastAsia="Times New Roman" w:hAnsi="Arial" w:cs="Arial"/>
          <w:color w:val="000000"/>
          <w:sz w:val="22"/>
          <w:szCs w:val="22"/>
        </w:rPr>
        <w:t>D.Lgs.</w:t>
      </w:r>
      <w:proofErr w:type="spellEnd"/>
      <w:r w:rsidRPr="00940FBF">
        <w:rPr>
          <w:rFonts w:ascii="Arial" w:eastAsia="Times New Roman" w:hAnsi="Arial" w:cs="Arial"/>
          <w:color w:val="000000"/>
          <w:sz w:val="22"/>
          <w:szCs w:val="22"/>
        </w:rPr>
        <w:t xml:space="preserve"> 18 aprile 2016, n. 50, contiene la descrizione delle caratteristiche del servizio di valutazione del Programma di Sviluppo Rurale </w:t>
      </w:r>
      <w:r w:rsidRPr="00305B29">
        <w:rPr>
          <w:rFonts w:ascii="Arial" w:eastAsia="Times New Roman" w:hAnsi="Arial" w:cs="Arial"/>
          <w:color w:val="000000"/>
          <w:sz w:val="22"/>
          <w:szCs w:val="22"/>
        </w:rPr>
        <w:t xml:space="preserve">della Regione Umbria per il periodo 2014-2020. In particolare, nel presente documento sono contenute indicazioni circa: </w:t>
      </w:r>
      <w:r w:rsidRPr="00305B29">
        <w:rPr>
          <w:rFonts w:ascii="Arial" w:hAnsi="Arial" w:cs="Arial"/>
          <w:sz w:val="22"/>
          <w:szCs w:val="22"/>
        </w:rPr>
        <w:t xml:space="preserve">il contesto in cui è inserito il servizio; le indicazioni e disposizioni per la stesura </w:t>
      </w:r>
      <w:r w:rsidRPr="00B92B0B">
        <w:rPr>
          <w:rFonts w:ascii="Arial" w:hAnsi="Arial" w:cs="Arial"/>
          <w:sz w:val="22"/>
          <w:szCs w:val="22"/>
        </w:rPr>
        <w:t>dei documenti inerenti alla sicurezza di cui all'articolo 26, comma 3, del decreto legislativo n. 81 del 2008; il calcolo degli importi per l'acquisizione dei servizi</w:t>
      </w:r>
      <w:r w:rsidRPr="00940FBF">
        <w:rPr>
          <w:rFonts w:ascii="Arial" w:hAnsi="Arial" w:cs="Arial"/>
          <w:sz w:val="22"/>
          <w:szCs w:val="22"/>
        </w:rPr>
        <w:t>; il capitolato speciale descrittivo e prestazionale, comprendente le specifiche tecniche, l'indicazione dei requisiti minimi che le offerte devono comunque garantire e degli aspetti che possono essere oggetto di variante migliorativa</w:t>
      </w:r>
      <w:r>
        <w:rPr>
          <w:rFonts w:ascii="Arial" w:hAnsi="Arial" w:cs="Arial"/>
          <w:sz w:val="22"/>
          <w:szCs w:val="22"/>
        </w:rPr>
        <w:t xml:space="preserve">. </w:t>
      </w:r>
    </w:p>
    <w:p w14:paraId="4F7D67DB" w14:textId="77777777" w:rsidR="000D4306" w:rsidRPr="00940FBF" w:rsidRDefault="000D4306" w:rsidP="000D4306">
      <w:pPr>
        <w:pStyle w:val="Titolo1"/>
        <w:rPr>
          <w:rFonts w:ascii="Arial" w:hAnsi="Arial" w:cs="Arial"/>
          <w:sz w:val="28"/>
          <w:szCs w:val="28"/>
        </w:rPr>
      </w:pPr>
      <w:r w:rsidRPr="00940FBF">
        <w:rPr>
          <w:rFonts w:ascii="Arial" w:hAnsi="Arial" w:cs="Arial"/>
          <w:sz w:val="28"/>
          <w:szCs w:val="28"/>
        </w:rPr>
        <w:t>Il contesto della valutazione del Programma di Sviluppo Rurale della Regione Umbria per il periodo 2014-2020</w:t>
      </w:r>
    </w:p>
    <w:p w14:paraId="19061846" w14:textId="77777777" w:rsidR="000D4306" w:rsidRPr="00940FBF" w:rsidRDefault="000D4306" w:rsidP="000D4306">
      <w:pPr>
        <w:rPr>
          <w:rFonts w:ascii="Arial" w:hAnsi="Arial" w:cs="Arial"/>
          <w:b/>
          <w:sz w:val="22"/>
          <w:szCs w:val="22"/>
        </w:rPr>
      </w:pPr>
    </w:p>
    <w:p w14:paraId="19DDF57F" w14:textId="77777777" w:rsidR="000D4306" w:rsidRPr="00940FBF" w:rsidRDefault="000D4306" w:rsidP="000D4306">
      <w:pPr>
        <w:jc w:val="both"/>
        <w:rPr>
          <w:rFonts w:ascii="Arial" w:hAnsi="Arial" w:cs="Arial"/>
          <w:b/>
          <w:color w:val="4F81BD" w:themeColor="accent1"/>
          <w:sz w:val="22"/>
          <w:szCs w:val="22"/>
        </w:rPr>
      </w:pPr>
      <w:r w:rsidRPr="00940FBF">
        <w:rPr>
          <w:rFonts w:ascii="Arial" w:hAnsi="Arial" w:cs="Arial"/>
          <w:b/>
          <w:color w:val="4F81BD" w:themeColor="accent1"/>
          <w:sz w:val="22"/>
          <w:szCs w:val="22"/>
        </w:rPr>
        <w:t>Il Programma di Sviluppo Rurale della Regione Umbria</w:t>
      </w:r>
    </w:p>
    <w:p w14:paraId="731FC839" w14:textId="77777777" w:rsidR="000D4306" w:rsidRPr="00940FBF" w:rsidRDefault="000D4306" w:rsidP="000D4306">
      <w:pPr>
        <w:jc w:val="both"/>
        <w:rPr>
          <w:rFonts w:ascii="Arial" w:hAnsi="Arial" w:cs="Arial"/>
          <w:sz w:val="22"/>
          <w:szCs w:val="22"/>
        </w:rPr>
      </w:pPr>
      <w:r w:rsidRPr="00940FBF">
        <w:rPr>
          <w:rFonts w:ascii="Arial" w:hAnsi="Arial" w:cs="Arial"/>
          <w:sz w:val="22"/>
          <w:szCs w:val="22"/>
        </w:rPr>
        <w:t xml:space="preserve">Il Programma di Sviluppo Rurale (PSR) è lo strumento, finanziato con fondi dell'Unione europea (FEASR - Fondo Europeo per lo Sviluppo Rurale), dello Stato Italiano e della Regione Umbria, che definisce le principali strategie, gli obiettivi e gli interventi per i settori agricolo, agroalimentare e forestale, finalizzati a sostenere lo sviluppo delle aree rurali dell'Umbria. Il Programma di sviluppo rurale (PSR) per l'Umbria per il periodo 2014-2020 delinea le priorità per l'utilizzo di circa 877 milioni di euro disponibili nell'arco di 7 anni (378 milioni </w:t>
      </w:r>
      <w:proofErr w:type="gramStart"/>
      <w:r w:rsidRPr="00940FBF">
        <w:rPr>
          <w:rFonts w:ascii="Arial" w:hAnsi="Arial" w:cs="Arial"/>
          <w:sz w:val="22"/>
          <w:szCs w:val="22"/>
        </w:rPr>
        <w:t>dal  bilancio</w:t>
      </w:r>
      <w:proofErr w:type="gramEnd"/>
      <w:r w:rsidRPr="00940FBF">
        <w:rPr>
          <w:rFonts w:ascii="Arial" w:hAnsi="Arial" w:cs="Arial"/>
          <w:sz w:val="22"/>
          <w:szCs w:val="22"/>
        </w:rPr>
        <w:t xml:space="preserve"> dell'UE ed euro 499 milioni di cofinanziamento Stato-Regione).  </w:t>
      </w:r>
    </w:p>
    <w:p w14:paraId="27907DF8" w14:textId="40D8C259" w:rsidR="00286164" w:rsidRPr="00600934" w:rsidRDefault="000D4306" w:rsidP="00600934">
      <w:pPr>
        <w:jc w:val="both"/>
        <w:rPr>
          <w:rFonts w:ascii="Arial" w:hAnsi="Arial" w:cs="Arial"/>
          <w:sz w:val="22"/>
          <w:szCs w:val="22"/>
        </w:rPr>
      </w:pPr>
      <w:r w:rsidRPr="00940FBF">
        <w:rPr>
          <w:rFonts w:ascii="Arial" w:hAnsi="Arial" w:cs="Arial"/>
          <w:sz w:val="22"/>
          <w:szCs w:val="22"/>
        </w:rPr>
        <w:t xml:space="preserve">Il PSR per l'Umbria per il periodo 2014-2020 è stato formalmente adottato dalla </w:t>
      </w:r>
      <w:proofErr w:type="gramStart"/>
      <w:r w:rsidRPr="00940FBF">
        <w:rPr>
          <w:rFonts w:ascii="Arial" w:hAnsi="Arial" w:cs="Arial"/>
          <w:sz w:val="22"/>
          <w:szCs w:val="22"/>
        </w:rPr>
        <w:t>Commissione  europea</w:t>
      </w:r>
      <w:proofErr w:type="gramEnd"/>
      <w:r w:rsidRPr="00940FBF">
        <w:rPr>
          <w:rFonts w:ascii="Arial" w:hAnsi="Arial" w:cs="Arial"/>
          <w:sz w:val="22"/>
          <w:szCs w:val="22"/>
        </w:rPr>
        <w:t xml:space="preserve"> il 12 giugno 2015 (Decisione C(2015)4156) e ratificato dalla Regione Umbria con la DGR n. 777 del 29 </w:t>
      </w:r>
      <w:r w:rsidRPr="00600934">
        <w:rPr>
          <w:rFonts w:ascii="Arial" w:hAnsi="Arial" w:cs="Arial"/>
          <w:sz w:val="22"/>
          <w:szCs w:val="22"/>
        </w:rPr>
        <w:t>giugno 2015. Si tratta del quinto PSR italiano ad essere approvato dei 21 programmi regionali. Per il perseguimento delle priorità, il PSR per l'Umbria si concentrerà sugli investimenti nei settori agricolo e forestale, sulle azioni legate a preservare, ripristinare e valorizzare gli ecosistemi e sulla promozione dell'inclusione sociale e sviluppo economico nelle zone rurali.</w:t>
      </w:r>
      <w:r w:rsidR="00286164" w:rsidRPr="00600934">
        <w:rPr>
          <w:rFonts w:ascii="Arial" w:hAnsi="Arial" w:cs="Arial"/>
          <w:sz w:val="22"/>
          <w:szCs w:val="22"/>
        </w:rPr>
        <w:t xml:space="preserve"> Successivamente con Decisione C(2016)9011 del 22/12/2016 è stata approvata la modifica al Programma di Sviluppo rurale 2014-2020 (versione 2.2</w:t>
      </w:r>
      <w:r w:rsidR="00630C62" w:rsidRPr="00600934">
        <w:rPr>
          <w:rFonts w:ascii="Arial" w:hAnsi="Arial" w:cs="Arial"/>
          <w:sz w:val="22"/>
          <w:szCs w:val="22"/>
        </w:rPr>
        <w:t>)</w:t>
      </w:r>
      <w:r w:rsidR="00630C62">
        <w:rPr>
          <w:rFonts w:ascii="Arial" w:hAnsi="Arial" w:cs="Arial"/>
          <w:sz w:val="22"/>
          <w:szCs w:val="22"/>
        </w:rPr>
        <w:t>.</w:t>
      </w:r>
      <w:r w:rsidR="00630C62" w:rsidRPr="00600934">
        <w:rPr>
          <w:rFonts w:ascii="Arial" w:hAnsi="Arial" w:cs="Arial"/>
          <w:sz w:val="22"/>
          <w:szCs w:val="22"/>
        </w:rPr>
        <w:t xml:space="preserve"> </w:t>
      </w:r>
    </w:p>
    <w:p w14:paraId="255130AA" w14:textId="4A46C3EE" w:rsidR="000D4306" w:rsidRPr="00600934" w:rsidRDefault="000D4306">
      <w:pPr>
        <w:jc w:val="both"/>
        <w:rPr>
          <w:rFonts w:ascii="Arial" w:hAnsi="Arial" w:cs="Arial"/>
          <w:sz w:val="22"/>
          <w:szCs w:val="22"/>
        </w:rPr>
      </w:pPr>
    </w:p>
    <w:p w14:paraId="36C4AA46" w14:textId="77777777" w:rsidR="000D4306" w:rsidRPr="00940FBF" w:rsidRDefault="000D4306" w:rsidP="000D4306">
      <w:pPr>
        <w:jc w:val="both"/>
        <w:rPr>
          <w:rFonts w:ascii="Arial" w:hAnsi="Arial" w:cs="Arial"/>
          <w:sz w:val="22"/>
          <w:szCs w:val="22"/>
        </w:rPr>
      </w:pPr>
    </w:p>
    <w:p w14:paraId="31C501F8" w14:textId="77777777" w:rsidR="000D4306" w:rsidRPr="00940FBF" w:rsidRDefault="000D4306" w:rsidP="000D4306">
      <w:pPr>
        <w:jc w:val="both"/>
        <w:rPr>
          <w:rFonts w:ascii="Arial" w:hAnsi="Arial" w:cs="Arial"/>
          <w:b/>
          <w:color w:val="4F81BD" w:themeColor="accent1"/>
          <w:sz w:val="22"/>
          <w:szCs w:val="22"/>
        </w:rPr>
      </w:pPr>
      <w:r w:rsidRPr="00940FBF">
        <w:rPr>
          <w:rFonts w:ascii="Arial" w:hAnsi="Arial" w:cs="Arial"/>
          <w:b/>
          <w:color w:val="4F81BD" w:themeColor="accent1"/>
          <w:sz w:val="22"/>
          <w:szCs w:val="22"/>
        </w:rPr>
        <w:t>Obiettivi delle attività di valutazione</w:t>
      </w:r>
    </w:p>
    <w:p w14:paraId="6DE945F5" w14:textId="77777777" w:rsidR="000D4306" w:rsidRPr="00940FBF" w:rsidRDefault="000D4306" w:rsidP="000D4306">
      <w:pPr>
        <w:widowControl w:val="0"/>
        <w:autoSpaceDE w:val="0"/>
        <w:autoSpaceDN w:val="0"/>
        <w:adjustRightInd w:val="0"/>
        <w:jc w:val="both"/>
        <w:rPr>
          <w:rFonts w:ascii="Arial" w:hAnsi="Arial" w:cs="Arial"/>
          <w:sz w:val="22"/>
          <w:szCs w:val="22"/>
        </w:rPr>
      </w:pPr>
      <w:r w:rsidRPr="00940FBF">
        <w:rPr>
          <w:rFonts w:ascii="Arial" w:hAnsi="Arial" w:cs="Arial"/>
          <w:sz w:val="22"/>
          <w:szCs w:val="22"/>
        </w:rPr>
        <w:t>L’Articolo 68 del Regolamento (UE) 1305/2013 stabilisce quali sono gli obiettivi del sistema di monitoraggio e valutazione:</w:t>
      </w:r>
    </w:p>
    <w:p w14:paraId="292DB10E" w14:textId="77777777" w:rsidR="000D4306" w:rsidRPr="00940FBF" w:rsidRDefault="000D4306" w:rsidP="000D4306">
      <w:pPr>
        <w:pStyle w:val="Paragrafoelenco"/>
        <w:widowControl w:val="0"/>
        <w:numPr>
          <w:ilvl w:val="0"/>
          <w:numId w:val="1"/>
        </w:numPr>
        <w:autoSpaceDE w:val="0"/>
        <w:autoSpaceDN w:val="0"/>
        <w:adjustRightInd w:val="0"/>
        <w:rPr>
          <w:rFonts w:ascii="Arial" w:hAnsi="Arial" w:cs="Arial"/>
          <w:sz w:val="22"/>
          <w:szCs w:val="22"/>
        </w:rPr>
      </w:pPr>
      <w:proofErr w:type="gramStart"/>
      <w:r w:rsidRPr="00940FBF">
        <w:rPr>
          <w:rFonts w:ascii="Arial" w:hAnsi="Arial" w:cs="Arial"/>
          <w:sz w:val="22"/>
          <w:szCs w:val="22"/>
        </w:rPr>
        <w:t>dimostrare</w:t>
      </w:r>
      <w:proofErr w:type="gramEnd"/>
      <w:r w:rsidRPr="00940FBF">
        <w:rPr>
          <w:rFonts w:ascii="Arial" w:hAnsi="Arial" w:cs="Arial"/>
          <w:sz w:val="22"/>
          <w:szCs w:val="22"/>
        </w:rPr>
        <w:t xml:space="preserve"> i progressi e le realizzazioni della politica di sviluppo rurale e valutare l'impatto, l'efficacia, l'efficienza e la pertinenza dei relativi interventi;</w:t>
      </w:r>
    </w:p>
    <w:p w14:paraId="58EE3309" w14:textId="77777777" w:rsidR="000D4306" w:rsidRPr="00940FBF" w:rsidRDefault="000D4306" w:rsidP="000D4306">
      <w:pPr>
        <w:pStyle w:val="Paragrafoelenco"/>
        <w:widowControl w:val="0"/>
        <w:numPr>
          <w:ilvl w:val="0"/>
          <w:numId w:val="1"/>
        </w:numPr>
        <w:autoSpaceDE w:val="0"/>
        <w:autoSpaceDN w:val="0"/>
        <w:adjustRightInd w:val="0"/>
        <w:rPr>
          <w:rFonts w:ascii="Arial" w:hAnsi="Arial" w:cs="Arial"/>
          <w:sz w:val="22"/>
          <w:szCs w:val="22"/>
        </w:rPr>
      </w:pPr>
      <w:proofErr w:type="gramStart"/>
      <w:r w:rsidRPr="00940FBF">
        <w:rPr>
          <w:rFonts w:ascii="Arial" w:hAnsi="Arial" w:cs="Arial"/>
          <w:sz w:val="22"/>
          <w:szCs w:val="22"/>
        </w:rPr>
        <w:lastRenderedPageBreak/>
        <w:t>contribuire</w:t>
      </w:r>
      <w:proofErr w:type="gramEnd"/>
      <w:r w:rsidRPr="00940FBF">
        <w:rPr>
          <w:rFonts w:ascii="Arial" w:hAnsi="Arial" w:cs="Arial"/>
          <w:sz w:val="22"/>
          <w:szCs w:val="22"/>
        </w:rPr>
        <w:t xml:space="preserve"> ad un sostegno più mirato dello sviluppo rurale;</w:t>
      </w:r>
    </w:p>
    <w:p w14:paraId="4528CF03" w14:textId="77777777" w:rsidR="000D4306" w:rsidRPr="00940FBF" w:rsidRDefault="000D4306" w:rsidP="000D4306">
      <w:pPr>
        <w:pStyle w:val="Paragrafoelenco"/>
        <w:widowControl w:val="0"/>
        <w:numPr>
          <w:ilvl w:val="0"/>
          <w:numId w:val="1"/>
        </w:numPr>
        <w:autoSpaceDE w:val="0"/>
        <w:autoSpaceDN w:val="0"/>
        <w:adjustRightInd w:val="0"/>
        <w:rPr>
          <w:rFonts w:ascii="Arial" w:hAnsi="Arial" w:cs="Arial"/>
          <w:sz w:val="22"/>
          <w:szCs w:val="22"/>
        </w:rPr>
      </w:pPr>
      <w:r w:rsidRPr="00940FBF">
        <w:rPr>
          <w:rFonts w:ascii="Arial" w:hAnsi="Arial" w:cs="Arial"/>
          <w:sz w:val="22"/>
          <w:szCs w:val="22"/>
        </w:rPr>
        <w:t xml:space="preserve"> </w:t>
      </w:r>
      <w:proofErr w:type="gramStart"/>
      <w:r w:rsidRPr="00940FBF">
        <w:rPr>
          <w:rFonts w:ascii="Arial" w:hAnsi="Arial" w:cs="Arial"/>
          <w:sz w:val="22"/>
          <w:szCs w:val="22"/>
        </w:rPr>
        <w:t>favorire</w:t>
      </w:r>
      <w:proofErr w:type="gramEnd"/>
      <w:r w:rsidRPr="00940FBF">
        <w:rPr>
          <w:rFonts w:ascii="Arial" w:hAnsi="Arial" w:cs="Arial"/>
          <w:sz w:val="22"/>
          <w:szCs w:val="22"/>
        </w:rPr>
        <w:t xml:space="preserve"> un processo di apprendimento comune basato sull'attività di monitoraggio e di valutazione.</w:t>
      </w:r>
    </w:p>
    <w:p w14:paraId="499A91C3" w14:textId="77777777" w:rsidR="000D4306" w:rsidRDefault="000D4306" w:rsidP="000D4306">
      <w:pPr>
        <w:widowControl w:val="0"/>
        <w:autoSpaceDE w:val="0"/>
        <w:autoSpaceDN w:val="0"/>
        <w:adjustRightInd w:val="0"/>
        <w:jc w:val="both"/>
        <w:rPr>
          <w:rFonts w:ascii="Arial" w:hAnsi="Arial" w:cs="Arial"/>
          <w:sz w:val="22"/>
          <w:szCs w:val="22"/>
        </w:rPr>
      </w:pPr>
    </w:p>
    <w:p w14:paraId="49D6C05A" w14:textId="77777777" w:rsidR="000D4306" w:rsidRPr="00547368" w:rsidRDefault="000D4306" w:rsidP="000D4306">
      <w:pPr>
        <w:widowControl w:val="0"/>
        <w:autoSpaceDE w:val="0"/>
        <w:autoSpaceDN w:val="0"/>
        <w:adjustRightInd w:val="0"/>
        <w:jc w:val="both"/>
        <w:rPr>
          <w:rFonts w:ascii="Arial" w:hAnsi="Arial" w:cs="Arial"/>
          <w:sz w:val="22"/>
          <w:szCs w:val="22"/>
        </w:rPr>
      </w:pPr>
      <w:r w:rsidRPr="00940FBF">
        <w:rPr>
          <w:rFonts w:ascii="Arial" w:hAnsi="Arial" w:cs="Arial"/>
          <w:sz w:val="22"/>
          <w:szCs w:val="22"/>
        </w:rPr>
        <w:t>L’obiettivo generale delle attività di valutazione durante il periodo di programmazione e della</w:t>
      </w:r>
      <w:r>
        <w:rPr>
          <w:rFonts w:ascii="Arial" w:hAnsi="Arial" w:cs="Arial"/>
          <w:sz w:val="22"/>
          <w:szCs w:val="22"/>
        </w:rPr>
        <w:t xml:space="preserve"> </w:t>
      </w:r>
      <w:r w:rsidRPr="00940FBF">
        <w:rPr>
          <w:rFonts w:ascii="Arial" w:hAnsi="Arial" w:cs="Arial"/>
          <w:sz w:val="22"/>
          <w:szCs w:val="22"/>
        </w:rPr>
        <w:t xml:space="preserve">valutazione ex-post del PSR è di supportare i processi di apprendimento comune sulla politica </w:t>
      </w:r>
      <w:r w:rsidRPr="00547368">
        <w:rPr>
          <w:rFonts w:ascii="Arial" w:hAnsi="Arial" w:cs="Arial"/>
          <w:sz w:val="22"/>
          <w:szCs w:val="22"/>
        </w:rPr>
        <w:t>regionale di sviluppo rurale, fornendo conoscenza valutativa in merito al PSR e al suo contesto.</w:t>
      </w:r>
    </w:p>
    <w:p w14:paraId="4E9E26B8" w14:textId="77777777" w:rsidR="000D4306" w:rsidRPr="00940FBF" w:rsidRDefault="000D4306" w:rsidP="000D4306">
      <w:pPr>
        <w:widowControl w:val="0"/>
        <w:autoSpaceDE w:val="0"/>
        <w:autoSpaceDN w:val="0"/>
        <w:adjustRightInd w:val="0"/>
        <w:rPr>
          <w:rFonts w:ascii="Arial" w:hAnsi="Arial" w:cs="Arial"/>
          <w:sz w:val="22"/>
          <w:szCs w:val="22"/>
        </w:rPr>
      </w:pPr>
      <w:r w:rsidRPr="00547368">
        <w:rPr>
          <w:rFonts w:ascii="Arial" w:hAnsi="Arial" w:cs="Arial"/>
          <w:sz w:val="22"/>
          <w:szCs w:val="22"/>
        </w:rPr>
        <w:t>Gli obiettivi specifici sono:</w:t>
      </w:r>
    </w:p>
    <w:p w14:paraId="24403B82" w14:textId="77777777" w:rsidR="000D4306" w:rsidRDefault="000D4306" w:rsidP="000D4306">
      <w:pPr>
        <w:pStyle w:val="Paragrafoelenco"/>
        <w:widowControl w:val="0"/>
        <w:numPr>
          <w:ilvl w:val="0"/>
          <w:numId w:val="3"/>
        </w:numPr>
        <w:autoSpaceDE w:val="0"/>
        <w:autoSpaceDN w:val="0"/>
        <w:adjustRightInd w:val="0"/>
        <w:jc w:val="both"/>
        <w:rPr>
          <w:rFonts w:ascii="Arial" w:hAnsi="Arial" w:cs="Arial"/>
          <w:sz w:val="22"/>
          <w:szCs w:val="22"/>
        </w:rPr>
      </w:pPr>
      <w:proofErr w:type="gramStart"/>
      <w:r w:rsidRPr="00940FBF">
        <w:rPr>
          <w:rFonts w:ascii="Arial" w:hAnsi="Arial" w:cs="Arial"/>
          <w:sz w:val="22"/>
          <w:szCs w:val="22"/>
        </w:rPr>
        <w:t>valutare</w:t>
      </w:r>
      <w:proofErr w:type="gramEnd"/>
      <w:r w:rsidRPr="00940FBF">
        <w:rPr>
          <w:rFonts w:ascii="Arial" w:hAnsi="Arial" w:cs="Arial"/>
          <w:sz w:val="22"/>
          <w:szCs w:val="22"/>
        </w:rPr>
        <w:t xml:space="preserve"> il PSR e la sua attuazione, le criticità e le buone prassi,</w:t>
      </w:r>
    </w:p>
    <w:p w14:paraId="4F37BBD3" w14:textId="77777777" w:rsidR="000D4306" w:rsidRDefault="000D4306" w:rsidP="000D4306">
      <w:pPr>
        <w:pStyle w:val="Paragrafoelenco"/>
        <w:widowControl w:val="0"/>
        <w:numPr>
          <w:ilvl w:val="0"/>
          <w:numId w:val="3"/>
        </w:numPr>
        <w:autoSpaceDE w:val="0"/>
        <w:autoSpaceDN w:val="0"/>
        <w:adjustRightInd w:val="0"/>
        <w:jc w:val="both"/>
        <w:rPr>
          <w:rFonts w:ascii="Arial" w:hAnsi="Arial" w:cs="Arial"/>
          <w:sz w:val="22"/>
          <w:szCs w:val="22"/>
        </w:rPr>
      </w:pPr>
      <w:proofErr w:type="gramStart"/>
      <w:r w:rsidRPr="00940FBF">
        <w:rPr>
          <w:rFonts w:ascii="Arial" w:hAnsi="Arial" w:cs="Arial"/>
          <w:sz w:val="22"/>
          <w:szCs w:val="22"/>
        </w:rPr>
        <w:t>dimostrare</w:t>
      </w:r>
      <w:proofErr w:type="gramEnd"/>
      <w:r w:rsidRPr="00940FBF">
        <w:rPr>
          <w:rFonts w:ascii="Arial" w:hAnsi="Arial" w:cs="Arial"/>
          <w:sz w:val="22"/>
          <w:szCs w:val="22"/>
        </w:rPr>
        <w:t xml:space="preserve"> i progressi e gli effetti positivi e negativi, primari e secondari, previsti e imprevisti,</w:t>
      </w:r>
      <w:r>
        <w:rPr>
          <w:rFonts w:ascii="Arial" w:hAnsi="Arial" w:cs="Arial"/>
          <w:sz w:val="22"/>
          <w:szCs w:val="22"/>
        </w:rPr>
        <w:t xml:space="preserve"> </w:t>
      </w:r>
      <w:r w:rsidRPr="00940FBF">
        <w:rPr>
          <w:rFonts w:ascii="Arial" w:hAnsi="Arial" w:cs="Arial"/>
          <w:sz w:val="22"/>
          <w:szCs w:val="22"/>
        </w:rPr>
        <w:t>prodotti direttamente e indirettamente dal PSR,</w:t>
      </w:r>
    </w:p>
    <w:p w14:paraId="282D6013" w14:textId="77777777" w:rsidR="000D4306" w:rsidRDefault="000D4306" w:rsidP="000D4306">
      <w:pPr>
        <w:pStyle w:val="Paragrafoelenco"/>
        <w:widowControl w:val="0"/>
        <w:numPr>
          <w:ilvl w:val="0"/>
          <w:numId w:val="3"/>
        </w:numPr>
        <w:autoSpaceDE w:val="0"/>
        <w:autoSpaceDN w:val="0"/>
        <w:adjustRightInd w:val="0"/>
        <w:jc w:val="both"/>
        <w:rPr>
          <w:rFonts w:ascii="Arial" w:hAnsi="Arial" w:cs="Arial"/>
          <w:sz w:val="22"/>
          <w:szCs w:val="22"/>
        </w:rPr>
      </w:pPr>
      <w:proofErr w:type="gramStart"/>
      <w:r w:rsidRPr="00940FBF">
        <w:rPr>
          <w:rFonts w:ascii="Arial" w:hAnsi="Arial" w:cs="Arial"/>
          <w:sz w:val="22"/>
          <w:szCs w:val="22"/>
        </w:rPr>
        <w:t>supportare</w:t>
      </w:r>
      <w:proofErr w:type="gramEnd"/>
      <w:r w:rsidRPr="00940FBF">
        <w:rPr>
          <w:rFonts w:ascii="Arial" w:hAnsi="Arial" w:cs="Arial"/>
          <w:sz w:val="22"/>
          <w:szCs w:val="22"/>
        </w:rPr>
        <w:t xml:space="preserve"> le scelte di definizione, rafforzamento e miglioramento del programma, delle sue</w:t>
      </w:r>
      <w:r>
        <w:rPr>
          <w:rFonts w:ascii="Arial" w:hAnsi="Arial" w:cs="Arial"/>
          <w:sz w:val="22"/>
          <w:szCs w:val="22"/>
        </w:rPr>
        <w:t xml:space="preserve"> </w:t>
      </w:r>
      <w:r w:rsidRPr="00940FBF">
        <w:rPr>
          <w:rFonts w:ascii="Arial" w:hAnsi="Arial" w:cs="Arial"/>
          <w:sz w:val="22"/>
          <w:szCs w:val="22"/>
        </w:rPr>
        <w:t>strutture e delle sue procedure di attuazione,</w:t>
      </w:r>
    </w:p>
    <w:p w14:paraId="6FCB8B3F" w14:textId="77777777" w:rsidR="000D4306" w:rsidRDefault="000D4306" w:rsidP="000D4306">
      <w:pPr>
        <w:pStyle w:val="Paragrafoelenco"/>
        <w:widowControl w:val="0"/>
        <w:numPr>
          <w:ilvl w:val="0"/>
          <w:numId w:val="3"/>
        </w:numPr>
        <w:autoSpaceDE w:val="0"/>
        <w:autoSpaceDN w:val="0"/>
        <w:adjustRightInd w:val="0"/>
        <w:jc w:val="both"/>
        <w:rPr>
          <w:rFonts w:ascii="Arial" w:hAnsi="Arial" w:cs="Arial"/>
          <w:sz w:val="22"/>
          <w:szCs w:val="22"/>
        </w:rPr>
      </w:pPr>
      <w:proofErr w:type="gramStart"/>
      <w:r w:rsidRPr="00940FBF">
        <w:rPr>
          <w:rFonts w:ascii="Arial" w:hAnsi="Arial" w:cs="Arial"/>
          <w:sz w:val="22"/>
          <w:szCs w:val="22"/>
        </w:rPr>
        <w:t>consolidare</w:t>
      </w:r>
      <w:proofErr w:type="gramEnd"/>
      <w:r w:rsidRPr="00940FBF">
        <w:rPr>
          <w:rFonts w:ascii="Arial" w:hAnsi="Arial" w:cs="Arial"/>
          <w:sz w:val="22"/>
          <w:szCs w:val="22"/>
        </w:rPr>
        <w:t xml:space="preserve"> le basi di conoscenza per dimostrarne i risultati,</w:t>
      </w:r>
    </w:p>
    <w:p w14:paraId="6EA9E1A0" w14:textId="77777777" w:rsidR="000D4306" w:rsidRDefault="000D4306" w:rsidP="000D4306">
      <w:pPr>
        <w:pStyle w:val="Paragrafoelenco"/>
        <w:widowControl w:val="0"/>
        <w:numPr>
          <w:ilvl w:val="0"/>
          <w:numId w:val="3"/>
        </w:numPr>
        <w:autoSpaceDE w:val="0"/>
        <w:autoSpaceDN w:val="0"/>
        <w:adjustRightInd w:val="0"/>
        <w:jc w:val="both"/>
        <w:rPr>
          <w:rFonts w:ascii="Arial" w:hAnsi="Arial" w:cs="Arial"/>
          <w:sz w:val="22"/>
          <w:szCs w:val="22"/>
        </w:rPr>
      </w:pPr>
      <w:proofErr w:type="gramStart"/>
      <w:r w:rsidRPr="00940FBF">
        <w:rPr>
          <w:rFonts w:ascii="Arial" w:hAnsi="Arial" w:cs="Arial"/>
          <w:sz w:val="22"/>
          <w:szCs w:val="22"/>
        </w:rPr>
        <w:t>adattare</w:t>
      </w:r>
      <w:proofErr w:type="gramEnd"/>
      <w:r w:rsidRPr="00940FBF">
        <w:rPr>
          <w:rFonts w:ascii="Arial" w:hAnsi="Arial" w:cs="Arial"/>
          <w:sz w:val="22"/>
          <w:szCs w:val="22"/>
        </w:rPr>
        <w:t xml:space="preserve"> il PSR alle esigenze del territorio e al suo contesto di riferimento,</w:t>
      </w:r>
    </w:p>
    <w:p w14:paraId="0641AD24" w14:textId="77777777" w:rsidR="000D4306" w:rsidRPr="00940FBF" w:rsidRDefault="000D4306" w:rsidP="000D4306">
      <w:pPr>
        <w:pStyle w:val="Paragrafoelenco"/>
        <w:widowControl w:val="0"/>
        <w:numPr>
          <w:ilvl w:val="0"/>
          <w:numId w:val="3"/>
        </w:numPr>
        <w:autoSpaceDE w:val="0"/>
        <w:autoSpaceDN w:val="0"/>
        <w:adjustRightInd w:val="0"/>
        <w:jc w:val="both"/>
        <w:rPr>
          <w:rFonts w:ascii="Arial" w:hAnsi="Arial" w:cs="Arial"/>
          <w:sz w:val="22"/>
          <w:szCs w:val="22"/>
        </w:rPr>
      </w:pPr>
      <w:proofErr w:type="gramStart"/>
      <w:r w:rsidRPr="00940FBF">
        <w:rPr>
          <w:rFonts w:ascii="Arial" w:hAnsi="Arial" w:cs="Arial"/>
          <w:sz w:val="22"/>
          <w:szCs w:val="22"/>
        </w:rPr>
        <w:t>comunicare</w:t>
      </w:r>
      <w:proofErr w:type="gramEnd"/>
      <w:r w:rsidRPr="00940FBF">
        <w:rPr>
          <w:rFonts w:ascii="Arial" w:hAnsi="Arial" w:cs="Arial"/>
          <w:sz w:val="22"/>
          <w:szCs w:val="22"/>
        </w:rPr>
        <w:t xml:space="preserve"> le realizzazioni e i risultati del PSR ai soggetti interessati.</w:t>
      </w:r>
    </w:p>
    <w:p w14:paraId="209BF4DA" w14:textId="77777777" w:rsidR="000D4306" w:rsidRPr="00940FBF" w:rsidRDefault="000D4306" w:rsidP="000D4306">
      <w:pPr>
        <w:widowControl w:val="0"/>
        <w:autoSpaceDE w:val="0"/>
        <w:autoSpaceDN w:val="0"/>
        <w:adjustRightInd w:val="0"/>
        <w:jc w:val="both"/>
        <w:rPr>
          <w:rFonts w:ascii="Arial" w:hAnsi="Arial" w:cs="Arial"/>
          <w:sz w:val="22"/>
          <w:szCs w:val="22"/>
        </w:rPr>
      </w:pPr>
      <w:r>
        <w:rPr>
          <w:rFonts w:ascii="Arial" w:hAnsi="Arial" w:cs="Arial"/>
          <w:sz w:val="22"/>
          <w:szCs w:val="22"/>
        </w:rPr>
        <w:br/>
      </w:r>
      <w:r w:rsidRPr="00940FBF">
        <w:rPr>
          <w:rFonts w:ascii="Arial" w:hAnsi="Arial" w:cs="Arial"/>
          <w:sz w:val="22"/>
          <w:szCs w:val="22"/>
        </w:rPr>
        <w:t>Le attività di valutazione dovranno portare alla formulazione di giudizi valutativi solidi e sulla base</w:t>
      </w:r>
      <w:r>
        <w:rPr>
          <w:rFonts w:ascii="Arial" w:hAnsi="Arial" w:cs="Arial"/>
          <w:sz w:val="22"/>
          <w:szCs w:val="22"/>
        </w:rPr>
        <w:t xml:space="preserve"> </w:t>
      </w:r>
      <w:r w:rsidRPr="00940FBF">
        <w:rPr>
          <w:rFonts w:ascii="Arial" w:hAnsi="Arial" w:cs="Arial"/>
          <w:sz w:val="22"/>
          <w:szCs w:val="22"/>
        </w:rPr>
        <w:t>di criteri di coerenza, rilevanza, efficacia, efficienza e sostenibilità.</w:t>
      </w:r>
    </w:p>
    <w:p w14:paraId="1A0D2092" w14:textId="77777777" w:rsidR="000D4306" w:rsidRPr="00940FBF" w:rsidRDefault="000D4306" w:rsidP="000D4306">
      <w:pPr>
        <w:jc w:val="both"/>
        <w:rPr>
          <w:rFonts w:ascii="Arial" w:hAnsi="Arial" w:cs="Arial"/>
          <w:b/>
          <w:color w:val="4F81BD" w:themeColor="accent1"/>
          <w:sz w:val="22"/>
          <w:szCs w:val="22"/>
        </w:rPr>
      </w:pPr>
    </w:p>
    <w:p w14:paraId="04A73E8F" w14:textId="77777777" w:rsidR="000D4306" w:rsidRPr="00940FBF" w:rsidRDefault="000D4306" w:rsidP="000D4306">
      <w:pPr>
        <w:jc w:val="both"/>
        <w:rPr>
          <w:rFonts w:ascii="Arial" w:hAnsi="Arial" w:cs="Arial"/>
          <w:b/>
          <w:color w:val="4F81BD" w:themeColor="accent1"/>
          <w:sz w:val="22"/>
          <w:szCs w:val="22"/>
        </w:rPr>
      </w:pPr>
      <w:r w:rsidRPr="00940FBF">
        <w:rPr>
          <w:rFonts w:ascii="Arial" w:hAnsi="Arial" w:cs="Arial"/>
          <w:b/>
          <w:color w:val="4F81BD" w:themeColor="accent1"/>
          <w:sz w:val="22"/>
          <w:szCs w:val="22"/>
        </w:rPr>
        <w:t xml:space="preserve">La valutazione durante il periodo di programmazione </w:t>
      </w:r>
      <w:r>
        <w:rPr>
          <w:rFonts w:ascii="Arial" w:hAnsi="Arial" w:cs="Arial"/>
          <w:b/>
          <w:color w:val="4F81BD" w:themeColor="accent1"/>
          <w:sz w:val="22"/>
          <w:szCs w:val="22"/>
        </w:rPr>
        <w:t>e la valutazione ex-post</w:t>
      </w:r>
    </w:p>
    <w:p w14:paraId="1F17AC4C" w14:textId="77777777" w:rsidR="000D4306" w:rsidRPr="00940FBF" w:rsidRDefault="000D4306" w:rsidP="000D4306">
      <w:pPr>
        <w:widowControl w:val="0"/>
        <w:autoSpaceDE w:val="0"/>
        <w:autoSpaceDN w:val="0"/>
        <w:adjustRightInd w:val="0"/>
        <w:jc w:val="both"/>
        <w:rPr>
          <w:rFonts w:ascii="Arial" w:hAnsi="Arial" w:cs="Arial"/>
          <w:sz w:val="22"/>
          <w:szCs w:val="22"/>
        </w:rPr>
      </w:pPr>
      <w:r w:rsidRPr="00940FBF">
        <w:rPr>
          <w:rFonts w:ascii="Arial" w:hAnsi="Arial" w:cs="Arial"/>
          <w:sz w:val="22"/>
          <w:szCs w:val="22"/>
        </w:rPr>
        <w:t>Nel contesto della programmazione 2014-2020, con l’introduzione del concetto di valutazione durante il periodo di programmazione, del Piano della Valutazione (</w:t>
      </w:r>
      <w:proofErr w:type="spellStart"/>
      <w:r w:rsidRPr="00940FBF">
        <w:rPr>
          <w:rFonts w:ascii="Arial" w:hAnsi="Arial" w:cs="Arial"/>
          <w:sz w:val="22"/>
          <w:szCs w:val="22"/>
        </w:rPr>
        <w:t>PdV</w:t>
      </w:r>
      <w:proofErr w:type="spellEnd"/>
      <w:r w:rsidRPr="00940FBF">
        <w:rPr>
          <w:rFonts w:ascii="Arial" w:hAnsi="Arial" w:cs="Arial"/>
          <w:sz w:val="22"/>
          <w:szCs w:val="22"/>
        </w:rPr>
        <w:t>) e l’eliminazione dell’adempimento legato alla realizzazione della valutazione intermedia, alle AdG vengono devolute maggiori responsabilità decisionali in materia di valutazione.</w:t>
      </w:r>
    </w:p>
    <w:p w14:paraId="6A39A9DC" w14:textId="77777777" w:rsidR="000D4306" w:rsidRPr="00940FBF" w:rsidRDefault="000D4306" w:rsidP="000D4306">
      <w:pPr>
        <w:widowControl w:val="0"/>
        <w:autoSpaceDE w:val="0"/>
        <w:autoSpaceDN w:val="0"/>
        <w:adjustRightInd w:val="0"/>
        <w:rPr>
          <w:rFonts w:ascii="Arial" w:hAnsi="Arial" w:cs="Arial"/>
          <w:sz w:val="22"/>
          <w:szCs w:val="22"/>
        </w:rPr>
      </w:pPr>
      <w:r w:rsidRPr="00940FBF">
        <w:rPr>
          <w:rFonts w:ascii="Arial" w:hAnsi="Arial" w:cs="Arial"/>
          <w:sz w:val="22"/>
          <w:szCs w:val="22"/>
        </w:rPr>
        <w:t>Le novità più importanti che caratterizzano le attività valutative da realizzare nel corso del periodo di programmazione riguardano:</w:t>
      </w:r>
    </w:p>
    <w:p w14:paraId="41365D59" w14:textId="77777777" w:rsidR="000D4306" w:rsidRPr="00940FBF" w:rsidRDefault="000D4306" w:rsidP="000D4306">
      <w:pPr>
        <w:pStyle w:val="Paragrafoelenco"/>
        <w:widowControl w:val="0"/>
        <w:numPr>
          <w:ilvl w:val="0"/>
          <w:numId w:val="2"/>
        </w:numPr>
        <w:autoSpaceDE w:val="0"/>
        <w:autoSpaceDN w:val="0"/>
        <w:adjustRightInd w:val="0"/>
        <w:rPr>
          <w:rFonts w:ascii="Arial" w:hAnsi="Arial" w:cs="Arial"/>
          <w:sz w:val="22"/>
          <w:szCs w:val="22"/>
        </w:rPr>
      </w:pPr>
      <w:proofErr w:type="gramStart"/>
      <w:r w:rsidRPr="00940FBF">
        <w:rPr>
          <w:rFonts w:ascii="Arial" w:hAnsi="Arial" w:cs="Arial"/>
          <w:sz w:val="22"/>
          <w:szCs w:val="22"/>
        </w:rPr>
        <w:t>l’obbligo</w:t>
      </w:r>
      <w:proofErr w:type="gramEnd"/>
      <w:r w:rsidRPr="00940FBF">
        <w:rPr>
          <w:rFonts w:ascii="Arial" w:hAnsi="Arial" w:cs="Arial"/>
          <w:sz w:val="22"/>
          <w:szCs w:val="22"/>
        </w:rPr>
        <w:t xml:space="preserve"> di realizzazione di solo 2 valutazioni di programma, anche intese a valutarne l'efficacia, l'efficienza e l'impatto, nel quadro della programmazione integrata comunitaria: valutazione ex ante e valutazione ex post,</w:t>
      </w:r>
    </w:p>
    <w:p w14:paraId="5DA805E8" w14:textId="77777777" w:rsidR="000D4306" w:rsidRPr="00940FBF" w:rsidRDefault="000D4306" w:rsidP="000D4306">
      <w:pPr>
        <w:pStyle w:val="Paragrafoelenco"/>
        <w:widowControl w:val="0"/>
        <w:numPr>
          <w:ilvl w:val="0"/>
          <w:numId w:val="2"/>
        </w:numPr>
        <w:autoSpaceDE w:val="0"/>
        <w:autoSpaceDN w:val="0"/>
        <w:adjustRightInd w:val="0"/>
        <w:rPr>
          <w:rFonts w:ascii="Arial" w:hAnsi="Arial" w:cs="Arial"/>
          <w:sz w:val="22"/>
          <w:szCs w:val="22"/>
        </w:rPr>
      </w:pPr>
      <w:proofErr w:type="gramStart"/>
      <w:r w:rsidRPr="00940FBF">
        <w:rPr>
          <w:rFonts w:ascii="Arial" w:hAnsi="Arial" w:cs="Arial"/>
          <w:sz w:val="22"/>
          <w:szCs w:val="22"/>
        </w:rPr>
        <w:t>l’assenza</w:t>
      </w:r>
      <w:proofErr w:type="gramEnd"/>
      <w:r w:rsidRPr="00940FBF">
        <w:rPr>
          <w:rFonts w:ascii="Arial" w:hAnsi="Arial" w:cs="Arial"/>
          <w:sz w:val="22"/>
          <w:szCs w:val="22"/>
        </w:rPr>
        <w:t xml:space="preserve"> di una tempistica comune e predefinita per la realizzazione di valutazioni durante il periodo di programmazione,</w:t>
      </w:r>
    </w:p>
    <w:p w14:paraId="11F788AD" w14:textId="77777777" w:rsidR="000D4306" w:rsidRPr="00940FBF" w:rsidRDefault="000D4306" w:rsidP="000D4306">
      <w:pPr>
        <w:pStyle w:val="Paragrafoelenco"/>
        <w:widowControl w:val="0"/>
        <w:numPr>
          <w:ilvl w:val="0"/>
          <w:numId w:val="2"/>
        </w:numPr>
        <w:autoSpaceDE w:val="0"/>
        <w:autoSpaceDN w:val="0"/>
        <w:adjustRightInd w:val="0"/>
        <w:rPr>
          <w:rFonts w:ascii="Arial" w:hAnsi="Arial" w:cs="Arial"/>
          <w:sz w:val="22"/>
          <w:szCs w:val="22"/>
        </w:rPr>
      </w:pPr>
      <w:proofErr w:type="gramStart"/>
      <w:r w:rsidRPr="00940FBF">
        <w:rPr>
          <w:rFonts w:ascii="Arial" w:hAnsi="Arial" w:cs="Arial"/>
          <w:sz w:val="22"/>
          <w:szCs w:val="22"/>
        </w:rPr>
        <w:t>l’assenza</w:t>
      </w:r>
      <w:proofErr w:type="gramEnd"/>
      <w:r w:rsidRPr="00940FBF">
        <w:rPr>
          <w:rFonts w:ascii="Arial" w:hAnsi="Arial" w:cs="Arial"/>
          <w:sz w:val="22"/>
          <w:szCs w:val="22"/>
        </w:rPr>
        <w:t xml:space="preserve"> dell’obbligo di realizzare la valutazione intermedia di programma,</w:t>
      </w:r>
    </w:p>
    <w:p w14:paraId="6042FDD5" w14:textId="77777777" w:rsidR="000D4306" w:rsidRPr="00940FBF" w:rsidRDefault="000D4306" w:rsidP="000D4306">
      <w:pPr>
        <w:pStyle w:val="Paragrafoelenco"/>
        <w:widowControl w:val="0"/>
        <w:numPr>
          <w:ilvl w:val="0"/>
          <w:numId w:val="2"/>
        </w:numPr>
        <w:autoSpaceDE w:val="0"/>
        <w:autoSpaceDN w:val="0"/>
        <w:adjustRightInd w:val="0"/>
        <w:rPr>
          <w:rFonts w:ascii="Arial" w:hAnsi="Arial" w:cs="Arial"/>
          <w:sz w:val="22"/>
          <w:szCs w:val="22"/>
        </w:rPr>
      </w:pPr>
      <w:proofErr w:type="gramStart"/>
      <w:r w:rsidRPr="00940FBF">
        <w:rPr>
          <w:rFonts w:ascii="Arial" w:hAnsi="Arial" w:cs="Arial"/>
          <w:sz w:val="22"/>
          <w:szCs w:val="22"/>
        </w:rPr>
        <w:t>l’assenza</w:t>
      </w:r>
      <w:proofErr w:type="gramEnd"/>
      <w:r w:rsidRPr="00940FBF">
        <w:rPr>
          <w:rFonts w:ascii="Arial" w:hAnsi="Arial" w:cs="Arial"/>
          <w:sz w:val="22"/>
          <w:szCs w:val="22"/>
        </w:rPr>
        <w:t xml:space="preserve"> di obblighi circa i metodi di valutazione.</w:t>
      </w:r>
    </w:p>
    <w:p w14:paraId="0510BBEF" w14:textId="77777777" w:rsidR="000D4306" w:rsidRPr="00940FBF" w:rsidRDefault="000D4306" w:rsidP="000D4306">
      <w:pPr>
        <w:jc w:val="both"/>
        <w:rPr>
          <w:rFonts w:ascii="Arial" w:hAnsi="Arial" w:cs="Arial"/>
          <w:sz w:val="22"/>
          <w:szCs w:val="22"/>
        </w:rPr>
      </w:pPr>
    </w:p>
    <w:p w14:paraId="6E067459" w14:textId="77777777" w:rsidR="000D4306" w:rsidRPr="00940FBF" w:rsidRDefault="000D4306" w:rsidP="000D4306">
      <w:pPr>
        <w:widowControl w:val="0"/>
        <w:autoSpaceDE w:val="0"/>
        <w:autoSpaceDN w:val="0"/>
        <w:adjustRightInd w:val="0"/>
        <w:jc w:val="both"/>
        <w:rPr>
          <w:rFonts w:ascii="Arial" w:hAnsi="Arial" w:cs="Arial"/>
          <w:sz w:val="22"/>
          <w:szCs w:val="22"/>
        </w:rPr>
      </w:pPr>
      <w:r w:rsidRPr="00940FBF">
        <w:rPr>
          <w:rFonts w:ascii="Arial" w:hAnsi="Arial" w:cs="Arial"/>
          <w:sz w:val="22"/>
          <w:szCs w:val="22"/>
        </w:rPr>
        <w:t>Il ciclo della valutazione durante il periodo di programmazione è, dunque, delimitato entro le due valutazioni di programma a monte e a valle della sua implementazione (ex ante ed ex post), e riguarda una serie di attività valutative correlate alle diverse fasi (es. quantificazione degli indicatori target), ai temi della programmazione per lo sviluppo rurale, della PAC e al più ampio contesto della programmazione unitaria e della Strategia Europa</w:t>
      </w:r>
      <w:r>
        <w:rPr>
          <w:rFonts w:ascii="Arial" w:hAnsi="Arial" w:cs="Arial"/>
          <w:sz w:val="22"/>
          <w:szCs w:val="22"/>
        </w:rPr>
        <w:t xml:space="preserve"> 2020. </w:t>
      </w:r>
      <w:r w:rsidRPr="00940FBF">
        <w:rPr>
          <w:rFonts w:ascii="Arial" w:hAnsi="Arial" w:cs="Arial"/>
          <w:sz w:val="22"/>
          <w:szCs w:val="22"/>
        </w:rPr>
        <w:t>In particolare, la valutazione ex ante contribuisce alla costruzione e definizione della strategia del programma, mentre le altre attività valutative nel corso del periodo di programmazione contribuiranno alla buona implementazione del programma, alla sua migliore ridefinizione e alla produzione di conoscenza</w:t>
      </w:r>
      <w:r>
        <w:rPr>
          <w:rFonts w:ascii="Arial" w:hAnsi="Arial" w:cs="Arial"/>
          <w:sz w:val="22"/>
          <w:szCs w:val="22"/>
        </w:rPr>
        <w:t xml:space="preserve"> </w:t>
      </w:r>
      <w:r w:rsidRPr="00940FBF">
        <w:rPr>
          <w:rFonts w:ascii="Arial" w:hAnsi="Arial" w:cs="Arial"/>
          <w:sz w:val="22"/>
          <w:szCs w:val="22"/>
        </w:rPr>
        <w:t>utile alla valutazione ex post</w:t>
      </w:r>
      <w:r>
        <w:rPr>
          <w:rFonts w:ascii="Arial" w:hAnsi="Arial" w:cs="Arial"/>
          <w:sz w:val="22"/>
          <w:szCs w:val="22"/>
        </w:rPr>
        <w:t>.</w:t>
      </w:r>
    </w:p>
    <w:p w14:paraId="08AA60D6" w14:textId="77777777" w:rsidR="000D4306" w:rsidRDefault="000D4306" w:rsidP="000D4306">
      <w:pPr>
        <w:widowControl w:val="0"/>
        <w:autoSpaceDE w:val="0"/>
        <w:autoSpaceDN w:val="0"/>
        <w:adjustRightInd w:val="0"/>
        <w:jc w:val="both"/>
        <w:rPr>
          <w:rFonts w:ascii="Arial" w:hAnsi="Arial" w:cs="Arial"/>
          <w:sz w:val="22"/>
          <w:szCs w:val="22"/>
        </w:rPr>
      </w:pPr>
      <w:r w:rsidRPr="00940FBF">
        <w:rPr>
          <w:rFonts w:ascii="Arial" w:hAnsi="Arial" w:cs="Arial"/>
          <w:sz w:val="22"/>
          <w:szCs w:val="22"/>
        </w:rPr>
        <w:t xml:space="preserve">Quest’ultima rappresenta, appunto, la fase finale di quel processo sistematico di produzione di conoscenza valutativa utile al miglioramento e all’implementazione del programma, che è la valutazione durante il periodo di programmazione. </w:t>
      </w:r>
      <w:r>
        <w:rPr>
          <w:rFonts w:ascii="Arial" w:hAnsi="Arial" w:cs="Arial"/>
          <w:sz w:val="22"/>
          <w:szCs w:val="22"/>
        </w:rPr>
        <w:tab/>
      </w:r>
      <w:r>
        <w:rPr>
          <w:rFonts w:ascii="Arial" w:hAnsi="Arial" w:cs="Arial"/>
          <w:sz w:val="22"/>
          <w:szCs w:val="22"/>
        </w:rPr>
        <w:br/>
        <w:t>Nelle fasi fondamentali costituenti il processo valutativo (strutturazione, osservazione e analisi) gli elementi che saranno presi in considerazione sono i seguenti:</w:t>
      </w:r>
    </w:p>
    <w:p w14:paraId="0B51B7CE" w14:textId="77777777" w:rsidR="000D4306" w:rsidRPr="00F445E5" w:rsidRDefault="000D4306" w:rsidP="000D4306">
      <w:pPr>
        <w:numPr>
          <w:ilvl w:val="0"/>
          <w:numId w:val="10"/>
        </w:numPr>
        <w:jc w:val="both"/>
        <w:rPr>
          <w:rFonts w:ascii="Arial" w:hAnsi="Arial" w:cs="Arial"/>
          <w:sz w:val="22"/>
          <w:szCs w:val="22"/>
        </w:rPr>
      </w:pPr>
      <w:proofErr w:type="gramStart"/>
      <w:r w:rsidRPr="00F445E5">
        <w:rPr>
          <w:rFonts w:ascii="Arial" w:hAnsi="Arial" w:cs="Arial"/>
          <w:b/>
          <w:i/>
          <w:iCs/>
          <w:sz w:val="22"/>
          <w:szCs w:val="22"/>
        </w:rPr>
        <w:t>rispetto</w:t>
      </w:r>
      <w:proofErr w:type="gramEnd"/>
      <w:r w:rsidRPr="00F445E5">
        <w:rPr>
          <w:rFonts w:ascii="Arial" w:hAnsi="Arial" w:cs="Arial"/>
          <w:b/>
          <w:i/>
          <w:iCs/>
          <w:sz w:val="22"/>
          <w:szCs w:val="22"/>
        </w:rPr>
        <w:t xml:space="preserve"> alla strutturazione</w:t>
      </w:r>
      <w:r w:rsidRPr="00F445E5">
        <w:rPr>
          <w:rFonts w:ascii="Arial" w:hAnsi="Arial" w:cs="Arial"/>
          <w:i/>
          <w:iCs/>
          <w:sz w:val="22"/>
          <w:szCs w:val="22"/>
        </w:rPr>
        <w:t>,</w:t>
      </w:r>
      <w:r w:rsidRPr="00F445E5">
        <w:rPr>
          <w:rFonts w:ascii="Arial" w:hAnsi="Arial" w:cs="Arial"/>
          <w:sz w:val="22"/>
          <w:szCs w:val="22"/>
        </w:rPr>
        <w:t xml:space="preserve"> dovrà garantire, la predisposizione e presentazione nei termini stabiliti dal presente capitolato dei rapporti di valutazione ed eventuali rapporti richiesti ad hoc dall’Autorità di Gestione su particolari tematismi in seguito a quanto emerge dall’analisi della domanda</w:t>
      </w:r>
      <w:r w:rsidRPr="00F445E5">
        <w:rPr>
          <w:rFonts w:ascii="Arial" w:hAnsi="Arial" w:cs="Arial"/>
          <w:i/>
          <w:iCs/>
          <w:sz w:val="22"/>
          <w:szCs w:val="22"/>
        </w:rPr>
        <w:t xml:space="preserve">. </w:t>
      </w:r>
      <w:r w:rsidRPr="00F445E5">
        <w:rPr>
          <w:rFonts w:ascii="Arial" w:hAnsi="Arial" w:cs="Arial"/>
          <w:sz w:val="22"/>
          <w:szCs w:val="22"/>
        </w:rPr>
        <w:t xml:space="preserve">Inoltre dovrà garantire la propria partecipazione a momenti informativi/comunicativi volti alla diffusione e alla comprensione dei rapporti valutativi eseguiti (partecipazione a workshop, seminari, collaborazione a riviste informative anche on-line </w:t>
      </w:r>
      <w:proofErr w:type="spellStart"/>
      <w:r w:rsidRPr="00F445E5">
        <w:rPr>
          <w:rFonts w:ascii="Arial" w:hAnsi="Arial" w:cs="Arial"/>
          <w:sz w:val="22"/>
          <w:szCs w:val="22"/>
        </w:rPr>
        <w:t>ecc</w:t>
      </w:r>
      <w:proofErr w:type="spellEnd"/>
      <w:r w:rsidRPr="00F445E5">
        <w:rPr>
          <w:rFonts w:ascii="Arial" w:hAnsi="Arial" w:cs="Arial"/>
          <w:sz w:val="22"/>
          <w:szCs w:val="22"/>
        </w:rPr>
        <w:t>). In tale ambito dovrà dimostrare di possedere adeguate risorse umane/organizzative e finanziarie volte a garantire il corretto svolgimento dell’attività di valutazione oggetto del presente servizio così come riportato nell’offerta tecnica.</w:t>
      </w:r>
    </w:p>
    <w:p w14:paraId="590506F1" w14:textId="77777777" w:rsidR="000D4306" w:rsidRPr="00F445E5" w:rsidRDefault="000D4306" w:rsidP="000D4306">
      <w:pPr>
        <w:numPr>
          <w:ilvl w:val="0"/>
          <w:numId w:val="10"/>
        </w:numPr>
        <w:jc w:val="both"/>
        <w:rPr>
          <w:rFonts w:ascii="Arial" w:hAnsi="Arial" w:cs="Arial"/>
          <w:sz w:val="22"/>
          <w:szCs w:val="22"/>
        </w:rPr>
      </w:pPr>
      <w:proofErr w:type="gramStart"/>
      <w:r w:rsidRPr="00F445E5">
        <w:rPr>
          <w:rFonts w:ascii="Arial" w:hAnsi="Arial" w:cs="Arial"/>
          <w:b/>
          <w:i/>
          <w:iCs/>
          <w:sz w:val="22"/>
          <w:szCs w:val="22"/>
        </w:rPr>
        <w:t>rispetto</w:t>
      </w:r>
      <w:proofErr w:type="gramEnd"/>
      <w:r w:rsidRPr="00F445E5">
        <w:rPr>
          <w:rFonts w:ascii="Arial" w:hAnsi="Arial" w:cs="Arial"/>
          <w:b/>
          <w:i/>
          <w:iCs/>
          <w:sz w:val="22"/>
          <w:szCs w:val="22"/>
        </w:rPr>
        <w:t xml:space="preserve"> all’osservazione</w:t>
      </w:r>
      <w:r w:rsidRPr="00F445E5">
        <w:rPr>
          <w:rFonts w:ascii="Arial" w:hAnsi="Arial" w:cs="Arial"/>
          <w:i/>
          <w:iCs/>
          <w:sz w:val="22"/>
          <w:szCs w:val="22"/>
        </w:rPr>
        <w:t>,</w:t>
      </w:r>
      <w:r w:rsidRPr="00F445E5">
        <w:rPr>
          <w:rFonts w:ascii="Arial" w:hAnsi="Arial" w:cs="Arial"/>
          <w:sz w:val="22"/>
          <w:szCs w:val="22"/>
        </w:rPr>
        <w:t xml:space="preserve"> dovrà basarsi su dati e informazioni rinvenibili da fonti e documenti ufficiali. In particolare i fenomeni oggetto di valutazione potranno essere osservati: </w:t>
      </w:r>
    </w:p>
    <w:p w14:paraId="30E832BA" w14:textId="77777777" w:rsidR="000D4306" w:rsidRPr="00F445E5" w:rsidRDefault="000D4306" w:rsidP="000D4306">
      <w:pPr>
        <w:numPr>
          <w:ilvl w:val="0"/>
          <w:numId w:val="9"/>
        </w:numPr>
        <w:tabs>
          <w:tab w:val="clear" w:pos="1080"/>
        </w:tabs>
        <w:ind w:hanging="360"/>
        <w:jc w:val="both"/>
        <w:rPr>
          <w:rFonts w:ascii="Arial" w:hAnsi="Arial" w:cs="Arial"/>
          <w:sz w:val="22"/>
          <w:szCs w:val="22"/>
        </w:rPr>
      </w:pPr>
      <w:proofErr w:type="gramStart"/>
      <w:r w:rsidRPr="00F445E5">
        <w:rPr>
          <w:rFonts w:ascii="Arial" w:hAnsi="Arial" w:cs="Arial"/>
          <w:sz w:val="22"/>
          <w:szCs w:val="22"/>
        </w:rPr>
        <w:t>attraverso</w:t>
      </w:r>
      <w:proofErr w:type="gramEnd"/>
      <w:r w:rsidRPr="00F445E5">
        <w:rPr>
          <w:rFonts w:ascii="Arial" w:hAnsi="Arial" w:cs="Arial"/>
          <w:sz w:val="22"/>
          <w:szCs w:val="22"/>
        </w:rPr>
        <w:t xml:space="preserve"> dati già disponibili (dati secondari), che derivano principalmente dal sistema di monitoraggio del PSR. In tal caso l’Autorità di Gestione del PSR consentirà la piena disponibilità per il reperimento dei dati sul sistema di monitoraggio. Se ritenute utili alla comprensione degli effetti del programma, possono essere utilizzate anche informazioni disponibili presso l’amministrazione regionale o presso altre banche dati e informazioni derivanti da altre ricerche e statistiche ufficiali, sempre che sia verificata l’attendibilità del dato/informazione. Tutte queste informazioni possono contribuire alla comprensione degli effetti del programma. E’ chiaro che il monitoraggio rappresenti la fonte secondaria principale, in quanto aiuta a contestualizzare il contesto di intervento del PSR e gli ambiti di approfondimento delle indagini dirette. </w:t>
      </w:r>
    </w:p>
    <w:p w14:paraId="56EEE7FB" w14:textId="77777777" w:rsidR="000D4306" w:rsidRPr="00F445E5" w:rsidRDefault="000D4306" w:rsidP="000D4306">
      <w:pPr>
        <w:numPr>
          <w:ilvl w:val="0"/>
          <w:numId w:val="9"/>
        </w:numPr>
        <w:tabs>
          <w:tab w:val="clear" w:pos="1080"/>
        </w:tabs>
        <w:ind w:hanging="360"/>
        <w:jc w:val="both"/>
        <w:rPr>
          <w:rFonts w:ascii="Arial" w:hAnsi="Arial" w:cs="Arial"/>
          <w:sz w:val="22"/>
          <w:szCs w:val="22"/>
        </w:rPr>
      </w:pPr>
      <w:proofErr w:type="gramStart"/>
      <w:r w:rsidRPr="00F445E5">
        <w:rPr>
          <w:rFonts w:ascii="Arial" w:hAnsi="Arial" w:cs="Arial"/>
          <w:sz w:val="22"/>
          <w:szCs w:val="22"/>
        </w:rPr>
        <w:t>attraverso</w:t>
      </w:r>
      <w:proofErr w:type="gramEnd"/>
      <w:r w:rsidRPr="00F445E5">
        <w:rPr>
          <w:rFonts w:ascii="Arial" w:hAnsi="Arial" w:cs="Arial"/>
          <w:sz w:val="22"/>
          <w:szCs w:val="22"/>
        </w:rPr>
        <w:t xml:space="preserve"> dati originali raccolti ad hoc anche tramite interviste o indagini presso portatori d’interessi per rispondere alle domande valutative (dati primari). In tal caso il reperimento del dato/informazione è a carico dell’aggiudicatario. Rientrano in tale tipologia anche i dati relativi agli indicatori di risultato, di impatto ed eventualmente quelli supplementari, non presenti nel sistema di monitoraggio, che pertanto dovranno essere reperiti e quantificati direttamente dall’aggiudicatario.</w:t>
      </w:r>
    </w:p>
    <w:p w14:paraId="26465CEE" w14:textId="77777777" w:rsidR="000D4306" w:rsidRPr="00F445E5" w:rsidRDefault="000D4306" w:rsidP="000D4306">
      <w:pPr>
        <w:numPr>
          <w:ilvl w:val="0"/>
          <w:numId w:val="10"/>
        </w:numPr>
        <w:jc w:val="both"/>
        <w:rPr>
          <w:rFonts w:ascii="Arial" w:hAnsi="Arial" w:cs="Arial"/>
          <w:bCs/>
          <w:color w:val="000000"/>
          <w:sz w:val="22"/>
          <w:szCs w:val="22"/>
        </w:rPr>
      </w:pPr>
      <w:proofErr w:type="gramStart"/>
      <w:r w:rsidRPr="00F445E5">
        <w:rPr>
          <w:rFonts w:ascii="Arial" w:hAnsi="Arial" w:cs="Arial"/>
          <w:b/>
          <w:i/>
          <w:iCs/>
          <w:sz w:val="22"/>
          <w:szCs w:val="22"/>
        </w:rPr>
        <w:t>rispetto</w:t>
      </w:r>
      <w:proofErr w:type="gramEnd"/>
      <w:r w:rsidRPr="00F445E5">
        <w:rPr>
          <w:rFonts w:ascii="Arial" w:hAnsi="Arial" w:cs="Arial"/>
          <w:b/>
          <w:i/>
          <w:iCs/>
          <w:sz w:val="22"/>
          <w:szCs w:val="22"/>
        </w:rPr>
        <w:t xml:space="preserve"> all’analisi</w:t>
      </w:r>
      <w:r w:rsidRPr="00F445E5">
        <w:rPr>
          <w:rFonts w:ascii="Arial" w:hAnsi="Arial" w:cs="Arial"/>
          <w:i/>
          <w:iCs/>
          <w:sz w:val="22"/>
          <w:szCs w:val="22"/>
        </w:rPr>
        <w:t>,</w:t>
      </w:r>
      <w:r w:rsidRPr="00F445E5">
        <w:rPr>
          <w:rFonts w:ascii="Arial" w:hAnsi="Arial" w:cs="Arial"/>
          <w:sz w:val="22"/>
          <w:szCs w:val="22"/>
        </w:rPr>
        <w:t xml:space="preserve"> dovrà porre particolare attenzione all’analisi della “</w:t>
      </w:r>
      <w:r w:rsidRPr="00F445E5">
        <w:rPr>
          <w:rFonts w:ascii="Arial" w:hAnsi="Arial" w:cs="Arial"/>
          <w:i/>
          <w:iCs/>
          <w:sz w:val="22"/>
          <w:szCs w:val="22"/>
        </w:rPr>
        <w:t>domanda di</w:t>
      </w:r>
      <w:r>
        <w:rPr>
          <w:rFonts w:ascii="Arial" w:hAnsi="Arial" w:cs="Arial"/>
          <w:i/>
          <w:iCs/>
          <w:sz w:val="22"/>
          <w:szCs w:val="22"/>
        </w:rPr>
        <w:t xml:space="preserve"> valutazione”, </w:t>
      </w:r>
      <w:r w:rsidRPr="00F445E5">
        <w:rPr>
          <w:rFonts w:ascii="Arial" w:hAnsi="Arial" w:cs="Arial"/>
          <w:sz w:val="22"/>
          <w:szCs w:val="22"/>
        </w:rPr>
        <w:t xml:space="preserve">finalizzata a comprendere la capacità del PSR dell’Umbria 2014-2020 di raggiungere gli obiettivi </w:t>
      </w:r>
      <w:r>
        <w:rPr>
          <w:rFonts w:ascii="Arial" w:hAnsi="Arial" w:cs="Arial"/>
          <w:sz w:val="22"/>
          <w:szCs w:val="22"/>
        </w:rPr>
        <w:t>definiti nei Regolamenti e negli atti di indirizzo di cui all’art.1 del presente capitolato</w:t>
      </w:r>
      <w:r w:rsidRPr="00F445E5">
        <w:rPr>
          <w:rFonts w:ascii="Arial" w:hAnsi="Arial" w:cs="Arial"/>
          <w:sz w:val="22"/>
          <w:szCs w:val="22"/>
        </w:rPr>
        <w:t>. In partico</w:t>
      </w:r>
      <w:r>
        <w:rPr>
          <w:rFonts w:ascii="Arial" w:hAnsi="Arial" w:cs="Arial"/>
          <w:sz w:val="22"/>
          <w:szCs w:val="22"/>
        </w:rPr>
        <w:t>lare il valutatore è chiamato a</w:t>
      </w:r>
      <w:r w:rsidRPr="00F445E5">
        <w:rPr>
          <w:rFonts w:ascii="Arial" w:hAnsi="Arial" w:cs="Arial"/>
          <w:sz w:val="22"/>
          <w:szCs w:val="22"/>
        </w:rPr>
        <w:t>:</w:t>
      </w:r>
    </w:p>
    <w:p w14:paraId="7467DAA5" w14:textId="77777777" w:rsidR="000D4306" w:rsidRPr="00F445E5" w:rsidRDefault="000D4306" w:rsidP="000D4306">
      <w:pPr>
        <w:jc w:val="both"/>
        <w:rPr>
          <w:rFonts w:ascii="Arial" w:hAnsi="Arial" w:cs="Arial"/>
          <w:bCs/>
          <w:color w:val="000000"/>
          <w:sz w:val="22"/>
          <w:szCs w:val="22"/>
        </w:rPr>
      </w:pPr>
    </w:p>
    <w:p w14:paraId="4F3BD105" w14:textId="77777777" w:rsidR="000D4306" w:rsidRDefault="000D4306" w:rsidP="000D4306">
      <w:pPr>
        <w:pStyle w:val="Default"/>
        <w:numPr>
          <w:ilvl w:val="0"/>
          <w:numId w:val="11"/>
        </w:numPr>
        <w:spacing w:after="120"/>
        <w:contextualSpacing/>
        <w:jc w:val="both"/>
        <w:rPr>
          <w:bCs/>
          <w:sz w:val="22"/>
          <w:szCs w:val="22"/>
        </w:rPr>
      </w:pPr>
      <w:proofErr w:type="gramStart"/>
      <w:r w:rsidRPr="00F86A3C">
        <w:rPr>
          <w:bCs/>
          <w:sz w:val="22"/>
          <w:szCs w:val="22"/>
        </w:rPr>
        <w:t>ricostruire</w:t>
      </w:r>
      <w:proofErr w:type="gramEnd"/>
      <w:r w:rsidRPr="00F86A3C">
        <w:rPr>
          <w:bCs/>
          <w:sz w:val="22"/>
          <w:szCs w:val="22"/>
        </w:rPr>
        <w:t xml:space="preserve"> la logica dell’intervento e, quindi, verificare la coerenza tra fabbisogni e obiettivi nonché gli indicatori proposti per la valutazione</w:t>
      </w:r>
      <w:r>
        <w:rPr>
          <w:bCs/>
          <w:sz w:val="22"/>
          <w:szCs w:val="22"/>
        </w:rPr>
        <w:t>;</w:t>
      </w:r>
    </w:p>
    <w:p w14:paraId="44CE8801" w14:textId="77777777" w:rsidR="000D4306" w:rsidRDefault="000D4306" w:rsidP="000D4306">
      <w:pPr>
        <w:pStyle w:val="Default"/>
        <w:numPr>
          <w:ilvl w:val="0"/>
          <w:numId w:val="11"/>
        </w:numPr>
        <w:spacing w:after="120"/>
        <w:contextualSpacing/>
        <w:jc w:val="both"/>
        <w:rPr>
          <w:color w:val="auto"/>
          <w:sz w:val="22"/>
          <w:szCs w:val="22"/>
        </w:rPr>
      </w:pPr>
      <w:proofErr w:type="gramStart"/>
      <w:r w:rsidRPr="00F86A3C">
        <w:rPr>
          <w:color w:val="auto"/>
          <w:sz w:val="22"/>
          <w:szCs w:val="22"/>
        </w:rPr>
        <w:t>analizzare</w:t>
      </w:r>
      <w:proofErr w:type="gramEnd"/>
      <w:r w:rsidRPr="00F86A3C">
        <w:rPr>
          <w:color w:val="auto"/>
          <w:sz w:val="22"/>
          <w:szCs w:val="22"/>
        </w:rPr>
        <w:t xml:space="preserve"> le procedure di attuazione, con particolare riferimento alle modalità di gestione e sorveglianza del Programma e al funzionamento del circuito finanziario; </w:t>
      </w:r>
    </w:p>
    <w:p w14:paraId="42446A60" w14:textId="77777777" w:rsidR="000D4306" w:rsidRDefault="000D4306" w:rsidP="000D4306">
      <w:pPr>
        <w:pStyle w:val="Default"/>
        <w:numPr>
          <w:ilvl w:val="0"/>
          <w:numId w:val="11"/>
        </w:numPr>
        <w:spacing w:after="120"/>
        <w:contextualSpacing/>
        <w:jc w:val="both"/>
        <w:rPr>
          <w:color w:val="auto"/>
          <w:sz w:val="22"/>
          <w:szCs w:val="22"/>
        </w:rPr>
      </w:pPr>
      <w:proofErr w:type="gramStart"/>
      <w:r w:rsidRPr="001824B2">
        <w:rPr>
          <w:bCs/>
          <w:sz w:val="22"/>
          <w:szCs w:val="22"/>
        </w:rPr>
        <w:t>quantificare</w:t>
      </w:r>
      <w:proofErr w:type="gramEnd"/>
      <w:r w:rsidRPr="001824B2">
        <w:rPr>
          <w:bCs/>
          <w:sz w:val="22"/>
          <w:szCs w:val="22"/>
        </w:rPr>
        <w:t xml:space="preserve"> il set degli indicatori di risultato e di impatto e fornire le risposte </w:t>
      </w:r>
      <w:r w:rsidRPr="001824B2">
        <w:rPr>
          <w:color w:val="auto"/>
          <w:sz w:val="22"/>
          <w:szCs w:val="22"/>
        </w:rPr>
        <w:t>ai quesiti valutativi comuni e specifici utilizzando criteri valutativi e gli indicatori previsti dal Reg (UE) 808/2014 (in particolare quelli previsti negli allegati IV, V, VI e VII dello stesso Regolamento), tenendo anche conto del sistema di Monitoraggio unitario dei fondi SIE;</w:t>
      </w:r>
    </w:p>
    <w:p w14:paraId="55B1C0D0" w14:textId="77777777" w:rsidR="000D4306" w:rsidRDefault="000D4306" w:rsidP="000D4306">
      <w:pPr>
        <w:pStyle w:val="Default"/>
        <w:numPr>
          <w:ilvl w:val="0"/>
          <w:numId w:val="11"/>
        </w:numPr>
        <w:spacing w:after="120"/>
        <w:contextualSpacing/>
        <w:jc w:val="both"/>
        <w:rPr>
          <w:color w:val="auto"/>
          <w:sz w:val="22"/>
          <w:szCs w:val="22"/>
        </w:rPr>
      </w:pPr>
      <w:proofErr w:type="gramStart"/>
      <w:r w:rsidRPr="001824B2">
        <w:rPr>
          <w:color w:val="auto"/>
          <w:sz w:val="22"/>
          <w:szCs w:val="22"/>
        </w:rPr>
        <w:t>analizzare</w:t>
      </w:r>
      <w:proofErr w:type="gramEnd"/>
      <w:r w:rsidRPr="001824B2">
        <w:rPr>
          <w:color w:val="auto"/>
          <w:sz w:val="22"/>
          <w:szCs w:val="22"/>
        </w:rPr>
        <w:t xml:space="preserve"> i risultati conseguiti, la loro importanza, la loro rispondenza agli obiettivi prefissati e la loro coerenza con il documento di programmazione, in particolare con la strategia elaborata, con indicazioni proattive per il miglioramento continuo; </w:t>
      </w:r>
    </w:p>
    <w:p w14:paraId="1F3EC089" w14:textId="77777777" w:rsidR="000D4306" w:rsidRPr="00E66BA2" w:rsidRDefault="000D4306" w:rsidP="000D4306">
      <w:pPr>
        <w:pStyle w:val="Default"/>
        <w:numPr>
          <w:ilvl w:val="0"/>
          <w:numId w:val="11"/>
        </w:numPr>
        <w:spacing w:after="120"/>
        <w:contextualSpacing/>
        <w:jc w:val="both"/>
        <w:rPr>
          <w:color w:val="auto"/>
          <w:sz w:val="22"/>
          <w:szCs w:val="22"/>
        </w:rPr>
      </w:pPr>
      <w:proofErr w:type="gramStart"/>
      <w:r w:rsidRPr="001824B2">
        <w:rPr>
          <w:bCs/>
          <w:sz w:val="22"/>
          <w:szCs w:val="22"/>
        </w:rPr>
        <w:t>quantificare</w:t>
      </w:r>
      <w:proofErr w:type="gramEnd"/>
      <w:r w:rsidRPr="001824B2">
        <w:rPr>
          <w:sz w:val="22"/>
          <w:szCs w:val="22"/>
        </w:rPr>
        <w:t xml:space="preserve"> </w:t>
      </w:r>
      <w:r>
        <w:rPr>
          <w:sz w:val="22"/>
          <w:szCs w:val="22"/>
        </w:rPr>
        <w:t>il</w:t>
      </w:r>
      <w:r w:rsidRPr="001824B2">
        <w:rPr>
          <w:sz w:val="22"/>
          <w:szCs w:val="22"/>
        </w:rPr>
        <w:t xml:space="preserve"> set aggiuntivo di indicat</w:t>
      </w:r>
      <w:r>
        <w:rPr>
          <w:sz w:val="22"/>
          <w:szCs w:val="22"/>
        </w:rPr>
        <w:t>ori previsti nel PSR, al fine di</w:t>
      </w:r>
      <w:r w:rsidRPr="001824B2">
        <w:rPr>
          <w:sz w:val="22"/>
          <w:szCs w:val="22"/>
        </w:rPr>
        <w:t xml:space="preserve"> poter cogliere aspetti più di dettaglio delle azioni finanziate dal programma e verificare obiettivi regionali non previsti a livello comunitario. Si tratta, quindi, di rispondere a quesiti che riguardano gli effetti diretti e indiretti generati dal programma;</w:t>
      </w:r>
    </w:p>
    <w:p w14:paraId="456CFA7F" w14:textId="77777777" w:rsidR="000D4306" w:rsidRPr="00E66BA2" w:rsidRDefault="000D4306" w:rsidP="000D4306">
      <w:pPr>
        <w:pStyle w:val="Default"/>
        <w:numPr>
          <w:ilvl w:val="0"/>
          <w:numId w:val="11"/>
        </w:numPr>
        <w:spacing w:after="120"/>
        <w:contextualSpacing/>
        <w:jc w:val="both"/>
        <w:rPr>
          <w:color w:val="auto"/>
          <w:sz w:val="22"/>
          <w:szCs w:val="22"/>
        </w:rPr>
      </w:pPr>
      <w:proofErr w:type="gramStart"/>
      <w:r w:rsidRPr="00F86A3C">
        <w:rPr>
          <w:color w:val="auto"/>
          <w:sz w:val="22"/>
          <w:szCs w:val="22"/>
        </w:rPr>
        <w:t>s</w:t>
      </w:r>
      <w:r w:rsidRPr="00F86A3C">
        <w:rPr>
          <w:bCs/>
          <w:sz w:val="22"/>
          <w:szCs w:val="22"/>
        </w:rPr>
        <w:t>upportare</w:t>
      </w:r>
      <w:proofErr w:type="gramEnd"/>
      <w:r w:rsidRPr="00F86A3C">
        <w:rPr>
          <w:bCs/>
          <w:sz w:val="22"/>
          <w:szCs w:val="22"/>
        </w:rPr>
        <w:t xml:space="preserve"> le scelte di definizione, rafforzamento e miglioramento del programma, delle sue strutture e delle sue procedure di attuazione;</w:t>
      </w:r>
    </w:p>
    <w:p w14:paraId="00D2B2DB" w14:textId="77777777" w:rsidR="000D4306" w:rsidRPr="0064415C" w:rsidRDefault="000D4306" w:rsidP="000D4306">
      <w:pPr>
        <w:pStyle w:val="Default"/>
        <w:numPr>
          <w:ilvl w:val="0"/>
          <w:numId w:val="11"/>
        </w:numPr>
        <w:spacing w:after="120"/>
        <w:contextualSpacing/>
        <w:jc w:val="both"/>
        <w:rPr>
          <w:color w:val="auto"/>
          <w:sz w:val="22"/>
          <w:szCs w:val="22"/>
        </w:rPr>
      </w:pPr>
      <w:proofErr w:type="gramStart"/>
      <w:r>
        <w:rPr>
          <w:sz w:val="22"/>
          <w:szCs w:val="22"/>
        </w:rPr>
        <w:t>rispondere</w:t>
      </w:r>
      <w:proofErr w:type="gramEnd"/>
      <w:r>
        <w:rPr>
          <w:sz w:val="22"/>
          <w:szCs w:val="22"/>
        </w:rPr>
        <w:t xml:space="preserve"> ai</w:t>
      </w:r>
      <w:r w:rsidRPr="0021774B">
        <w:rPr>
          <w:sz w:val="22"/>
          <w:szCs w:val="22"/>
        </w:rPr>
        <w:t xml:space="preserve"> quesiti specifici, che possono aiutare a comprendere le relazioni causa-effetto (es. aspetti procedurali, difficoltà emerse nella attuazione del programma ecc.). Si tratta, quindi, di aspetti che non riguardano gli effetti del programma, ma che possono aiutare a programmare e gestire meglio gli interventi;</w:t>
      </w:r>
    </w:p>
    <w:p w14:paraId="2E24316F" w14:textId="77777777" w:rsidR="000D4306" w:rsidRPr="00AE757E" w:rsidRDefault="000D4306" w:rsidP="000D4306">
      <w:pPr>
        <w:pStyle w:val="Default"/>
        <w:numPr>
          <w:ilvl w:val="0"/>
          <w:numId w:val="11"/>
        </w:numPr>
        <w:spacing w:after="120"/>
        <w:contextualSpacing/>
        <w:jc w:val="both"/>
        <w:rPr>
          <w:color w:val="auto"/>
          <w:sz w:val="22"/>
          <w:szCs w:val="22"/>
        </w:rPr>
      </w:pPr>
      <w:r w:rsidRPr="00F86A3C">
        <w:rPr>
          <w:sz w:val="22"/>
          <w:szCs w:val="22"/>
        </w:rPr>
        <w:t>approfondire aspetti/temi specifici individuati nel PSR per la loro particolare rilevanza strategica</w:t>
      </w:r>
      <w:r>
        <w:rPr>
          <w:sz w:val="22"/>
          <w:szCs w:val="22"/>
        </w:rPr>
        <w:t xml:space="preserve"> (con particolare riferimento alle tematiche trasversali – ambiente, clima ed innovazione)</w:t>
      </w:r>
      <w:r w:rsidRPr="00F86A3C">
        <w:rPr>
          <w:sz w:val="22"/>
          <w:szCs w:val="22"/>
        </w:rPr>
        <w:t xml:space="preserve"> per il successo e/o insuccesso della loro azione, per l’interesse rispetto alle priorità/fabbisogni indicati nel programma, per l’interesse del partenariato, per i risultati emersi nelle valutazioni riguardanti il passato, ecc. (es. ristrutturazione e riconversione aree tabacchicole, progettazione integrata; misure per la qualità, </w:t>
      </w:r>
      <w:proofErr w:type="spellStart"/>
      <w:r w:rsidRPr="00F86A3C">
        <w:rPr>
          <w:sz w:val="22"/>
          <w:szCs w:val="22"/>
        </w:rPr>
        <w:t>ecc</w:t>
      </w:r>
      <w:proofErr w:type="spellEnd"/>
      <w:r w:rsidRPr="00F86A3C">
        <w:rPr>
          <w:sz w:val="22"/>
          <w:szCs w:val="22"/>
        </w:rPr>
        <w:t>);</w:t>
      </w:r>
    </w:p>
    <w:p w14:paraId="3D8939CE" w14:textId="77777777" w:rsidR="000D4306" w:rsidRPr="00B44DB8" w:rsidRDefault="000D4306" w:rsidP="000D4306">
      <w:pPr>
        <w:pStyle w:val="Default"/>
        <w:numPr>
          <w:ilvl w:val="0"/>
          <w:numId w:val="11"/>
        </w:numPr>
        <w:spacing w:after="120"/>
        <w:contextualSpacing/>
        <w:jc w:val="both"/>
        <w:rPr>
          <w:color w:val="auto"/>
          <w:sz w:val="22"/>
          <w:szCs w:val="22"/>
        </w:rPr>
      </w:pPr>
      <w:proofErr w:type="gramStart"/>
      <w:r w:rsidRPr="00F86A3C">
        <w:rPr>
          <w:sz w:val="22"/>
          <w:szCs w:val="22"/>
        </w:rPr>
        <w:t>approfondire</w:t>
      </w:r>
      <w:proofErr w:type="gramEnd"/>
      <w:r w:rsidRPr="00F86A3C">
        <w:rPr>
          <w:sz w:val="22"/>
          <w:szCs w:val="22"/>
        </w:rPr>
        <w:t xml:space="preserve"> i temi che è opportuno affrontare con un’ottica “unitaria” (es. energia, sistema logistico, aree interne, ITI, ecc.), guardando quindi all’insieme delle politiche (sviluppo rurale, PAC, coesione unitaria, </w:t>
      </w:r>
      <w:r>
        <w:rPr>
          <w:sz w:val="22"/>
          <w:szCs w:val="22"/>
        </w:rPr>
        <w:t xml:space="preserve">politiche </w:t>
      </w:r>
      <w:r w:rsidRPr="00F86A3C">
        <w:rPr>
          <w:sz w:val="22"/>
          <w:szCs w:val="22"/>
        </w:rPr>
        <w:t>regional</w:t>
      </w:r>
      <w:r>
        <w:rPr>
          <w:sz w:val="22"/>
          <w:szCs w:val="22"/>
        </w:rPr>
        <w:t>i</w:t>
      </w:r>
      <w:r w:rsidRPr="00F86A3C">
        <w:rPr>
          <w:sz w:val="22"/>
          <w:szCs w:val="22"/>
        </w:rPr>
        <w:t>) che possono agire su quel determinato fenomeno</w:t>
      </w:r>
      <w:r>
        <w:rPr>
          <w:sz w:val="22"/>
          <w:szCs w:val="22"/>
        </w:rPr>
        <w:t>;</w:t>
      </w:r>
    </w:p>
    <w:p w14:paraId="547B67F1" w14:textId="77777777" w:rsidR="000D4306" w:rsidRPr="003A4162" w:rsidRDefault="000D4306" w:rsidP="000D4306">
      <w:pPr>
        <w:pStyle w:val="Default"/>
        <w:numPr>
          <w:ilvl w:val="0"/>
          <w:numId w:val="11"/>
        </w:numPr>
        <w:spacing w:after="120"/>
        <w:contextualSpacing/>
        <w:jc w:val="both"/>
        <w:rPr>
          <w:color w:val="auto"/>
          <w:sz w:val="22"/>
          <w:szCs w:val="22"/>
        </w:rPr>
      </w:pPr>
      <w:proofErr w:type="gramStart"/>
      <w:r>
        <w:rPr>
          <w:color w:val="auto"/>
          <w:sz w:val="22"/>
          <w:szCs w:val="22"/>
        </w:rPr>
        <w:t>analizzare</w:t>
      </w:r>
      <w:proofErr w:type="gramEnd"/>
      <w:r>
        <w:rPr>
          <w:color w:val="auto"/>
          <w:sz w:val="22"/>
          <w:szCs w:val="22"/>
        </w:rPr>
        <w:t xml:space="preserve"> e valutare la riserva di performance come previsto dal programma;</w:t>
      </w:r>
    </w:p>
    <w:p w14:paraId="1D4F7174" w14:textId="77777777" w:rsidR="000D4306" w:rsidRDefault="000D4306" w:rsidP="000D4306">
      <w:pPr>
        <w:pStyle w:val="Default"/>
        <w:numPr>
          <w:ilvl w:val="0"/>
          <w:numId w:val="11"/>
        </w:numPr>
        <w:spacing w:after="120"/>
        <w:contextualSpacing/>
        <w:jc w:val="both"/>
        <w:rPr>
          <w:color w:val="auto"/>
          <w:sz w:val="22"/>
          <w:szCs w:val="22"/>
        </w:rPr>
      </w:pPr>
      <w:proofErr w:type="gramStart"/>
      <w:r w:rsidRPr="00F86A3C">
        <w:rPr>
          <w:color w:val="auto"/>
          <w:sz w:val="22"/>
          <w:szCs w:val="22"/>
        </w:rPr>
        <w:t>fornire</w:t>
      </w:r>
      <w:proofErr w:type="gramEnd"/>
      <w:r w:rsidRPr="00F86A3C">
        <w:rPr>
          <w:color w:val="auto"/>
          <w:sz w:val="22"/>
          <w:szCs w:val="22"/>
        </w:rPr>
        <w:t xml:space="preserve"> un’analisi ed eventuali indicazioni migliorative, su richiesta dell’Autorità di Gestione, su quesiti e altri aspetti di specifico interesse a livello regionale; </w:t>
      </w:r>
    </w:p>
    <w:p w14:paraId="0BC02E02" w14:textId="77777777" w:rsidR="000D4306" w:rsidRPr="002C34A5" w:rsidRDefault="000D4306" w:rsidP="000D4306">
      <w:pPr>
        <w:pStyle w:val="Default"/>
        <w:numPr>
          <w:ilvl w:val="0"/>
          <w:numId w:val="11"/>
        </w:numPr>
        <w:spacing w:after="120"/>
        <w:contextualSpacing/>
        <w:jc w:val="both"/>
        <w:rPr>
          <w:color w:val="auto"/>
          <w:sz w:val="22"/>
          <w:szCs w:val="22"/>
        </w:rPr>
      </w:pPr>
      <w:proofErr w:type="gramStart"/>
      <w:r w:rsidRPr="00F86A3C">
        <w:rPr>
          <w:color w:val="auto"/>
          <w:sz w:val="22"/>
          <w:szCs w:val="22"/>
        </w:rPr>
        <w:t>fornire</w:t>
      </w:r>
      <w:proofErr w:type="gramEnd"/>
      <w:r w:rsidRPr="00F86A3C">
        <w:rPr>
          <w:color w:val="auto"/>
          <w:sz w:val="22"/>
          <w:szCs w:val="22"/>
        </w:rPr>
        <w:t xml:space="preserve"> un’analisi del contributo del Programma al raggiungimento degli Obiettivi Tematici dell'Accordo di Partenariato;</w:t>
      </w:r>
    </w:p>
    <w:p w14:paraId="66B1C569" w14:textId="77777777" w:rsidR="000D4306" w:rsidRDefault="000D4306" w:rsidP="000D4306">
      <w:pPr>
        <w:pStyle w:val="Default"/>
        <w:numPr>
          <w:ilvl w:val="0"/>
          <w:numId w:val="11"/>
        </w:numPr>
        <w:spacing w:after="120"/>
        <w:contextualSpacing/>
        <w:jc w:val="both"/>
        <w:rPr>
          <w:color w:val="auto"/>
          <w:sz w:val="22"/>
          <w:szCs w:val="22"/>
        </w:rPr>
      </w:pPr>
      <w:proofErr w:type="gramStart"/>
      <w:r w:rsidRPr="00F86A3C">
        <w:rPr>
          <w:color w:val="auto"/>
          <w:sz w:val="22"/>
          <w:szCs w:val="22"/>
        </w:rPr>
        <w:t>fornire</w:t>
      </w:r>
      <w:proofErr w:type="gramEnd"/>
      <w:r w:rsidRPr="00F86A3C">
        <w:rPr>
          <w:color w:val="auto"/>
          <w:sz w:val="22"/>
          <w:szCs w:val="22"/>
        </w:rPr>
        <w:t xml:space="preserve"> un’analisi del contributo del Programma al tema della strategia dello sviluppo locale mediante approccio Leader, ivi incluso il contributo agli aspetti specifici degli interventi realizzati nell’ambito dell’attuazione dei PAL;</w:t>
      </w:r>
    </w:p>
    <w:p w14:paraId="4CEF404F" w14:textId="77777777" w:rsidR="000D4306" w:rsidRPr="00AB717A" w:rsidRDefault="000D4306" w:rsidP="000D4306">
      <w:pPr>
        <w:pStyle w:val="Default"/>
        <w:numPr>
          <w:ilvl w:val="0"/>
          <w:numId w:val="11"/>
        </w:numPr>
        <w:spacing w:after="120"/>
        <w:contextualSpacing/>
        <w:jc w:val="both"/>
        <w:rPr>
          <w:color w:val="auto"/>
          <w:sz w:val="22"/>
          <w:szCs w:val="22"/>
        </w:rPr>
      </w:pPr>
      <w:proofErr w:type="gramStart"/>
      <w:r>
        <w:rPr>
          <w:sz w:val="22"/>
          <w:szCs w:val="22"/>
        </w:rPr>
        <w:t>a</w:t>
      </w:r>
      <w:r w:rsidRPr="00F86A3C">
        <w:rPr>
          <w:sz w:val="22"/>
          <w:szCs w:val="22"/>
        </w:rPr>
        <w:t>nali</w:t>
      </w:r>
      <w:r>
        <w:rPr>
          <w:sz w:val="22"/>
          <w:szCs w:val="22"/>
        </w:rPr>
        <w:t>zzare</w:t>
      </w:r>
      <w:proofErr w:type="gramEnd"/>
      <w:r>
        <w:rPr>
          <w:sz w:val="22"/>
          <w:szCs w:val="22"/>
        </w:rPr>
        <w:t xml:space="preserve"> i</w:t>
      </w:r>
      <w:r w:rsidRPr="00F86A3C">
        <w:rPr>
          <w:sz w:val="22"/>
          <w:szCs w:val="22"/>
        </w:rPr>
        <w:t xml:space="preserve"> risultati e </w:t>
      </w:r>
      <w:r>
        <w:rPr>
          <w:sz w:val="22"/>
          <w:szCs w:val="22"/>
        </w:rPr>
        <w:t xml:space="preserve">gli </w:t>
      </w:r>
      <w:r w:rsidRPr="00F86A3C">
        <w:rPr>
          <w:sz w:val="22"/>
          <w:szCs w:val="22"/>
        </w:rPr>
        <w:t>impatt</w:t>
      </w:r>
      <w:r>
        <w:rPr>
          <w:sz w:val="22"/>
          <w:szCs w:val="22"/>
        </w:rPr>
        <w:t>i</w:t>
      </w:r>
      <w:r w:rsidRPr="00F86A3C">
        <w:rPr>
          <w:sz w:val="22"/>
          <w:szCs w:val="22"/>
        </w:rPr>
        <w:t xml:space="preserve"> </w:t>
      </w:r>
      <w:r>
        <w:rPr>
          <w:sz w:val="22"/>
          <w:szCs w:val="22"/>
        </w:rPr>
        <w:t>degli</w:t>
      </w:r>
      <w:r w:rsidRPr="00F86A3C">
        <w:rPr>
          <w:sz w:val="22"/>
          <w:szCs w:val="22"/>
        </w:rPr>
        <w:t xml:space="preserve"> specifici strumenti finanziari utilizzati nell’ambito del programma e la loro integrazione con altri strumenti finanziari; </w:t>
      </w:r>
    </w:p>
    <w:p w14:paraId="1182F782" w14:textId="77777777" w:rsidR="000D4306" w:rsidRPr="00F86A3C" w:rsidRDefault="000D4306" w:rsidP="000D4306">
      <w:pPr>
        <w:pStyle w:val="Default"/>
        <w:numPr>
          <w:ilvl w:val="0"/>
          <w:numId w:val="11"/>
        </w:numPr>
        <w:spacing w:after="120"/>
        <w:contextualSpacing/>
        <w:jc w:val="both"/>
        <w:rPr>
          <w:color w:val="auto"/>
          <w:sz w:val="22"/>
          <w:szCs w:val="22"/>
        </w:rPr>
      </w:pPr>
      <w:proofErr w:type="gramStart"/>
      <w:r>
        <w:rPr>
          <w:sz w:val="22"/>
          <w:szCs w:val="22"/>
        </w:rPr>
        <w:t>approfondire</w:t>
      </w:r>
      <w:proofErr w:type="gramEnd"/>
      <w:r>
        <w:rPr>
          <w:sz w:val="22"/>
          <w:szCs w:val="22"/>
        </w:rPr>
        <w:t xml:space="preserve"> la</w:t>
      </w:r>
      <w:r w:rsidRPr="00F86A3C">
        <w:rPr>
          <w:sz w:val="22"/>
          <w:szCs w:val="22"/>
        </w:rPr>
        <w:t xml:space="preserve"> Valutazione Ambientale Strategica (VAS) relativamente agli elementi salienti emersi durante il processo di VAS, quali ad esempio: obiettivi e indicatori aggiuntivi e aspetti su cui la VAS ha segnalato “attenzione” e suggerito misure di mitigazione o potenziamento, effetti significativi per reversibilità durata e frequenza o effetti indiretti, cumulativi e sinergici di medio e lungo termine, verificabili nel lungo periodo, ecc..</w:t>
      </w:r>
    </w:p>
    <w:p w14:paraId="685E03C6" w14:textId="77777777" w:rsidR="000D4306" w:rsidRPr="00F86A3C" w:rsidRDefault="000D4306" w:rsidP="000D4306">
      <w:pPr>
        <w:pStyle w:val="Default"/>
        <w:numPr>
          <w:ilvl w:val="0"/>
          <w:numId w:val="11"/>
        </w:numPr>
        <w:spacing w:after="120"/>
        <w:contextualSpacing/>
        <w:jc w:val="both"/>
        <w:rPr>
          <w:color w:val="auto"/>
          <w:sz w:val="22"/>
          <w:szCs w:val="22"/>
        </w:rPr>
      </w:pPr>
      <w:proofErr w:type="gramStart"/>
      <w:r w:rsidRPr="00F86A3C">
        <w:rPr>
          <w:bCs/>
          <w:sz w:val="22"/>
          <w:szCs w:val="22"/>
        </w:rPr>
        <w:t>supportare</w:t>
      </w:r>
      <w:proofErr w:type="gramEnd"/>
      <w:r w:rsidRPr="00F86A3C">
        <w:rPr>
          <w:bCs/>
          <w:sz w:val="22"/>
          <w:szCs w:val="22"/>
        </w:rPr>
        <w:t xml:space="preserve"> l’AdG alla diffusione dei risultati conseguiti del PSR ai soggetti interessati</w:t>
      </w:r>
      <w:r>
        <w:rPr>
          <w:bCs/>
          <w:sz w:val="22"/>
          <w:szCs w:val="22"/>
        </w:rPr>
        <w:t xml:space="preserve"> e partecipare al </w:t>
      </w:r>
      <w:proofErr w:type="spellStart"/>
      <w:r>
        <w:rPr>
          <w:bCs/>
          <w:sz w:val="22"/>
          <w:szCs w:val="22"/>
        </w:rPr>
        <w:t>CdS</w:t>
      </w:r>
      <w:proofErr w:type="spellEnd"/>
      <w:r>
        <w:rPr>
          <w:bCs/>
          <w:sz w:val="22"/>
          <w:szCs w:val="22"/>
        </w:rPr>
        <w:t xml:space="preserve"> a supporto dell’Autorità di gestione</w:t>
      </w:r>
      <w:r w:rsidRPr="00F86A3C">
        <w:rPr>
          <w:bCs/>
          <w:sz w:val="22"/>
          <w:szCs w:val="22"/>
        </w:rPr>
        <w:t>;</w:t>
      </w:r>
    </w:p>
    <w:p w14:paraId="79C3C30E" w14:textId="77777777" w:rsidR="000D4306" w:rsidRPr="00F86A3C" w:rsidRDefault="000D4306" w:rsidP="000D4306">
      <w:pPr>
        <w:pStyle w:val="Default"/>
        <w:numPr>
          <w:ilvl w:val="0"/>
          <w:numId w:val="11"/>
        </w:numPr>
        <w:spacing w:after="120"/>
        <w:contextualSpacing/>
        <w:jc w:val="both"/>
        <w:rPr>
          <w:color w:val="auto"/>
          <w:sz w:val="22"/>
          <w:szCs w:val="22"/>
        </w:rPr>
      </w:pPr>
      <w:proofErr w:type="gramStart"/>
      <w:r w:rsidRPr="00F86A3C">
        <w:rPr>
          <w:bCs/>
          <w:sz w:val="22"/>
          <w:szCs w:val="22"/>
        </w:rPr>
        <w:t>dare</w:t>
      </w:r>
      <w:proofErr w:type="gramEnd"/>
      <w:r w:rsidRPr="00F86A3C">
        <w:rPr>
          <w:bCs/>
          <w:sz w:val="22"/>
          <w:szCs w:val="22"/>
        </w:rPr>
        <w:t xml:space="preserve"> </w:t>
      </w:r>
      <w:r w:rsidRPr="00F86A3C">
        <w:rPr>
          <w:sz w:val="22"/>
          <w:szCs w:val="22"/>
        </w:rPr>
        <w:t>risposta a quesiti specifici formulati dall’AdG, che possono aiutare a comprendere le relazioni causa-effetto (es. aspetti procedurali, difficoltà emerse nella attuazione del programma ecc.). Si tratta, quindi, di aspetti che non riguardano gli effetti del programma, ma che possono aiutare a programmare e gestire meglio gli interventi;</w:t>
      </w:r>
    </w:p>
    <w:p w14:paraId="661EE127" w14:textId="77777777" w:rsidR="000D4306" w:rsidRPr="002C34A5" w:rsidRDefault="000D4306" w:rsidP="000D4306">
      <w:pPr>
        <w:pStyle w:val="Default"/>
        <w:numPr>
          <w:ilvl w:val="0"/>
          <w:numId w:val="11"/>
        </w:numPr>
        <w:spacing w:after="120"/>
        <w:contextualSpacing/>
        <w:jc w:val="both"/>
        <w:rPr>
          <w:color w:val="auto"/>
          <w:sz w:val="22"/>
          <w:szCs w:val="22"/>
        </w:rPr>
      </w:pPr>
      <w:proofErr w:type="gramStart"/>
      <w:r w:rsidRPr="00E45EF4">
        <w:rPr>
          <w:sz w:val="22"/>
          <w:szCs w:val="22"/>
        </w:rPr>
        <w:t>analizzare</w:t>
      </w:r>
      <w:proofErr w:type="gramEnd"/>
      <w:r w:rsidRPr="00E45EF4">
        <w:rPr>
          <w:sz w:val="22"/>
          <w:szCs w:val="22"/>
        </w:rPr>
        <w:t xml:space="preserve"> il raccordo della valutazione del FEASR con le valutazioni dei Programmi Operativi FESR e FSE, al fine di garantire l’unitarietà dei piani di valutazione a livello regionale, come indicato nell’Accordo di Partenariato;</w:t>
      </w:r>
    </w:p>
    <w:p w14:paraId="49B072C1" w14:textId="77777777" w:rsidR="000D4306" w:rsidRDefault="000D4306" w:rsidP="000D4306">
      <w:pPr>
        <w:pStyle w:val="Default"/>
        <w:numPr>
          <w:ilvl w:val="0"/>
          <w:numId w:val="11"/>
        </w:numPr>
        <w:spacing w:after="120"/>
        <w:contextualSpacing/>
        <w:jc w:val="both"/>
        <w:rPr>
          <w:color w:val="auto"/>
          <w:sz w:val="22"/>
          <w:szCs w:val="22"/>
        </w:rPr>
      </w:pPr>
      <w:proofErr w:type="gramStart"/>
      <w:r>
        <w:rPr>
          <w:sz w:val="22"/>
          <w:szCs w:val="22"/>
        </w:rPr>
        <w:t>analizzare</w:t>
      </w:r>
      <w:proofErr w:type="gramEnd"/>
      <w:r>
        <w:rPr>
          <w:sz w:val="22"/>
          <w:szCs w:val="22"/>
        </w:rPr>
        <w:t xml:space="preserve"> l’uso dei fondi per l’assistenza tecnica;</w:t>
      </w:r>
    </w:p>
    <w:p w14:paraId="112F2AEF" w14:textId="77777777" w:rsidR="000D4306" w:rsidRPr="00E45EF4" w:rsidRDefault="000D4306" w:rsidP="000D4306">
      <w:pPr>
        <w:pStyle w:val="Default"/>
        <w:numPr>
          <w:ilvl w:val="0"/>
          <w:numId w:val="11"/>
        </w:numPr>
        <w:spacing w:after="120"/>
        <w:contextualSpacing/>
        <w:jc w:val="both"/>
        <w:rPr>
          <w:color w:val="auto"/>
          <w:sz w:val="22"/>
          <w:szCs w:val="22"/>
        </w:rPr>
      </w:pPr>
      <w:proofErr w:type="gramStart"/>
      <w:r w:rsidRPr="00E45EF4">
        <w:rPr>
          <w:bCs/>
          <w:sz w:val="22"/>
          <w:szCs w:val="22"/>
        </w:rPr>
        <w:t>approfondire</w:t>
      </w:r>
      <w:proofErr w:type="gramEnd"/>
      <w:r w:rsidRPr="00E45EF4">
        <w:rPr>
          <w:bCs/>
          <w:sz w:val="22"/>
          <w:szCs w:val="22"/>
        </w:rPr>
        <w:t xml:space="preserve"> ogni altro</w:t>
      </w:r>
      <w:r>
        <w:rPr>
          <w:bCs/>
          <w:sz w:val="22"/>
          <w:szCs w:val="22"/>
        </w:rPr>
        <w:t xml:space="preserve"> quesito</w:t>
      </w:r>
      <w:r w:rsidRPr="00E45EF4">
        <w:rPr>
          <w:bCs/>
          <w:sz w:val="22"/>
          <w:szCs w:val="22"/>
        </w:rPr>
        <w:t xml:space="preserve"> specifico </w:t>
      </w:r>
      <w:r>
        <w:rPr>
          <w:bCs/>
          <w:sz w:val="22"/>
          <w:szCs w:val="22"/>
        </w:rPr>
        <w:t>po</w:t>
      </w:r>
      <w:r w:rsidRPr="00E45EF4">
        <w:rPr>
          <w:bCs/>
          <w:sz w:val="22"/>
          <w:szCs w:val="22"/>
        </w:rPr>
        <w:t>sto dalla</w:t>
      </w:r>
      <w:r>
        <w:rPr>
          <w:bCs/>
          <w:sz w:val="22"/>
          <w:szCs w:val="22"/>
        </w:rPr>
        <w:t xml:space="preserve"> Commissione Europea e dagli altri componenti del </w:t>
      </w:r>
      <w:proofErr w:type="spellStart"/>
      <w:r>
        <w:rPr>
          <w:bCs/>
          <w:sz w:val="22"/>
          <w:szCs w:val="22"/>
        </w:rPr>
        <w:t>CdS</w:t>
      </w:r>
      <w:proofErr w:type="spellEnd"/>
      <w:r w:rsidRPr="00E45EF4">
        <w:rPr>
          <w:bCs/>
          <w:sz w:val="22"/>
          <w:szCs w:val="22"/>
        </w:rPr>
        <w:t>.</w:t>
      </w:r>
    </w:p>
    <w:p w14:paraId="598EDDFA" w14:textId="77777777" w:rsidR="000D4306" w:rsidRPr="00F86A3C" w:rsidRDefault="000D4306" w:rsidP="000D4306">
      <w:pPr>
        <w:pStyle w:val="Corpodeltesto3"/>
        <w:jc w:val="both"/>
        <w:rPr>
          <w:rFonts w:ascii="Arial" w:hAnsi="Arial" w:cs="Arial"/>
          <w:sz w:val="22"/>
          <w:szCs w:val="22"/>
        </w:rPr>
      </w:pPr>
      <w:r w:rsidRPr="00F86A3C">
        <w:rPr>
          <w:rFonts w:ascii="Arial" w:hAnsi="Arial" w:cs="Arial"/>
          <w:sz w:val="22"/>
          <w:szCs w:val="22"/>
        </w:rPr>
        <w:t xml:space="preserve">Per quanto riguarda la metodologia di analisi utilizzata, l’aggiudicatario potrà scegliere tra i metodi quantitativi, qualitativi o misti, a seconda della metodologia che ritiene più appropriata. I metodi di elaborazione dei dati ed il calcolo degli impatti che si intendono utilizzare (ad esempio, uso di determinati modelli econometrici, metodi input-output, georeferenziazione, ecc.) saranno attuati in relazione alla disponibilità dei dati sia primari che secondari. </w:t>
      </w:r>
    </w:p>
    <w:p w14:paraId="58E6A0C7" w14:textId="77777777" w:rsidR="000D4306" w:rsidRPr="000D4306" w:rsidRDefault="000D4306" w:rsidP="001F0BAA">
      <w:pPr>
        <w:numPr>
          <w:ilvl w:val="0"/>
          <w:numId w:val="10"/>
        </w:numPr>
        <w:jc w:val="both"/>
        <w:rPr>
          <w:rFonts w:ascii="Arial" w:hAnsi="Arial" w:cs="Arial"/>
          <w:sz w:val="22"/>
          <w:szCs w:val="22"/>
        </w:rPr>
      </w:pPr>
      <w:proofErr w:type="gramStart"/>
      <w:r w:rsidRPr="00F445E5">
        <w:rPr>
          <w:rFonts w:ascii="Arial" w:hAnsi="Arial" w:cs="Arial"/>
          <w:b/>
          <w:i/>
          <w:iCs/>
          <w:sz w:val="22"/>
          <w:szCs w:val="22"/>
        </w:rPr>
        <w:t>rispetto</w:t>
      </w:r>
      <w:proofErr w:type="gramEnd"/>
      <w:r w:rsidRPr="00F445E5">
        <w:rPr>
          <w:rFonts w:ascii="Arial" w:hAnsi="Arial" w:cs="Arial"/>
          <w:b/>
          <w:i/>
          <w:iCs/>
          <w:sz w:val="22"/>
          <w:szCs w:val="22"/>
        </w:rPr>
        <w:t xml:space="preserve"> al giudizio</w:t>
      </w:r>
      <w:r w:rsidRPr="00F445E5">
        <w:rPr>
          <w:rFonts w:ascii="Arial" w:hAnsi="Arial" w:cs="Arial"/>
          <w:sz w:val="22"/>
          <w:szCs w:val="22"/>
        </w:rPr>
        <w:t xml:space="preserve"> da utilizzare nell’esercizio della valutazione, dovrà riferirsi all’efficacia, all’efficienza, alla sostenibilità e all’utilità degli interventi, a cui si possono affiancare l’addizionalità, l’equità, la coerenza, la sinergia o la riproducibilità. Se ritenuto utile, potrebbero essere presi in considerazione anche i possibili effetti degeneranti rispetto alla strategia del programma, in termi</w:t>
      </w:r>
      <w:r>
        <w:rPr>
          <w:rFonts w:ascii="Arial" w:hAnsi="Arial" w:cs="Arial"/>
          <w:sz w:val="22"/>
          <w:szCs w:val="22"/>
        </w:rPr>
        <w:t xml:space="preserve">ni di spiazzamento e deadweight. </w:t>
      </w:r>
    </w:p>
    <w:p w14:paraId="66C0991F" w14:textId="77777777" w:rsidR="000D4306" w:rsidRDefault="000D4306" w:rsidP="000D4306">
      <w:pPr>
        <w:pStyle w:val="Titolo1"/>
      </w:pPr>
      <w:r>
        <w:t xml:space="preserve">Gli </w:t>
      </w:r>
      <w:r w:rsidRPr="00305B29">
        <w:t xml:space="preserve">importi </w:t>
      </w:r>
      <w:r>
        <w:t>per l'acquisizione dei servizi</w:t>
      </w:r>
      <w:r w:rsidRPr="00B13941">
        <w:t xml:space="preserve"> </w:t>
      </w:r>
    </w:p>
    <w:p w14:paraId="05BF1F1E" w14:textId="77777777" w:rsidR="000D4306" w:rsidRPr="00940FBF" w:rsidRDefault="000D4306" w:rsidP="000D4306">
      <w:pPr>
        <w:rPr>
          <w:rFonts w:ascii="Arial" w:hAnsi="Arial" w:cs="Arial"/>
          <w:b/>
          <w:sz w:val="22"/>
          <w:szCs w:val="22"/>
        </w:rPr>
      </w:pPr>
    </w:p>
    <w:p w14:paraId="1019881C" w14:textId="430016E4" w:rsidR="000D4306" w:rsidRDefault="000D4306" w:rsidP="000D4306">
      <w:pPr>
        <w:pStyle w:val="Default"/>
        <w:spacing w:after="120"/>
        <w:contextualSpacing/>
        <w:jc w:val="both"/>
        <w:rPr>
          <w:sz w:val="22"/>
          <w:szCs w:val="22"/>
        </w:rPr>
      </w:pPr>
      <w:r w:rsidRPr="005E406A">
        <w:rPr>
          <w:sz w:val="22"/>
          <w:szCs w:val="22"/>
        </w:rPr>
        <w:t xml:space="preserve">I prezzi </w:t>
      </w:r>
      <w:r>
        <w:rPr>
          <w:sz w:val="22"/>
          <w:szCs w:val="22"/>
        </w:rPr>
        <w:t xml:space="preserve">per l’acquisizione dei servizi di valutazione, indicati in </w:t>
      </w:r>
      <w:r w:rsidRPr="002D64BC">
        <w:rPr>
          <w:sz w:val="22"/>
          <w:szCs w:val="22"/>
        </w:rPr>
        <w:t xml:space="preserve">dettaglio nell’allegato </w:t>
      </w:r>
      <w:r w:rsidR="00640CF0">
        <w:rPr>
          <w:sz w:val="22"/>
          <w:szCs w:val="22"/>
        </w:rPr>
        <w:t>A</w:t>
      </w:r>
      <w:r w:rsidRPr="002D64BC">
        <w:rPr>
          <w:sz w:val="22"/>
          <w:szCs w:val="22"/>
        </w:rPr>
        <w:t xml:space="preserve"> e nella tabella sottostante, sono stati congruiti sulla base di un’indagine di mercato condotta dalla RRN e messa a disposizione delle AdG dei PSR italiani per la determinazione dei prezzi medi dei servizi richiesti per la valutazione dei programmi regionali.</w:t>
      </w:r>
      <w:r w:rsidRPr="002D64BC">
        <w:rPr>
          <w:sz w:val="22"/>
          <w:szCs w:val="22"/>
        </w:rPr>
        <w:tab/>
        <w:t xml:space="preserve"> Per la redazione del</w:t>
      </w:r>
      <w:r>
        <w:rPr>
          <w:sz w:val="22"/>
          <w:szCs w:val="22"/>
        </w:rPr>
        <w:t xml:space="preserve"> </w:t>
      </w:r>
      <w:r w:rsidR="00231170">
        <w:rPr>
          <w:sz w:val="22"/>
          <w:szCs w:val="22"/>
        </w:rPr>
        <w:t xml:space="preserve">piano </w:t>
      </w:r>
      <w:r>
        <w:rPr>
          <w:sz w:val="22"/>
          <w:szCs w:val="22"/>
        </w:rPr>
        <w:t xml:space="preserve">di valutazione è stato previsto il prezzo di </w:t>
      </w:r>
      <w:r w:rsidRPr="00940FBF">
        <w:rPr>
          <w:sz w:val="22"/>
          <w:szCs w:val="22"/>
        </w:rPr>
        <w:t>44.231,79</w:t>
      </w:r>
      <w:r>
        <w:rPr>
          <w:sz w:val="22"/>
          <w:szCs w:val="22"/>
        </w:rPr>
        <w:t xml:space="preserve"> euro, pari a 65 giornate lavorative, così ripartite: 45 giornate per la redazione del disegno di valutazione; 20 giornate per aggiornamenti dello stesso. </w:t>
      </w:r>
      <w:r>
        <w:rPr>
          <w:sz w:val="22"/>
          <w:szCs w:val="22"/>
        </w:rPr>
        <w:tab/>
      </w:r>
      <w:r>
        <w:rPr>
          <w:sz w:val="22"/>
          <w:szCs w:val="22"/>
        </w:rPr>
        <w:br/>
        <w:t>Per l’attività di coordinamento (che include:</w:t>
      </w:r>
      <w:r w:rsidRPr="003718D4">
        <w:rPr>
          <w:sz w:val="22"/>
          <w:szCs w:val="22"/>
        </w:rPr>
        <w:t xml:space="preserve"> attività di coordinamento e networking con</w:t>
      </w:r>
      <w:r>
        <w:rPr>
          <w:sz w:val="22"/>
          <w:szCs w:val="22"/>
        </w:rPr>
        <w:t xml:space="preserve"> </w:t>
      </w:r>
      <w:r w:rsidRPr="003718D4">
        <w:rPr>
          <w:sz w:val="22"/>
          <w:szCs w:val="22"/>
        </w:rPr>
        <w:t>l’amministrazione, la partecipazione del valutatore a eventi</w:t>
      </w:r>
      <w:r>
        <w:rPr>
          <w:sz w:val="22"/>
          <w:szCs w:val="22"/>
        </w:rPr>
        <w:t xml:space="preserve"> </w:t>
      </w:r>
      <w:r w:rsidRPr="003718D4">
        <w:rPr>
          <w:sz w:val="22"/>
          <w:szCs w:val="22"/>
        </w:rPr>
        <w:t>organizzati dall’</w:t>
      </w:r>
      <w:proofErr w:type="spellStart"/>
      <w:r w:rsidRPr="003718D4">
        <w:rPr>
          <w:sz w:val="22"/>
          <w:szCs w:val="22"/>
        </w:rPr>
        <w:t>AdG</w:t>
      </w:r>
      <w:proofErr w:type="spellEnd"/>
      <w:r w:rsidRPr="003718D4">
        <w:rPr>
          <w:sz w:val="22"/>
          <w:szCs w:val="22"/>
        </w:rPr>
        <w:t>, dalle Reti per lo sviluppo rurale nazionale ed</w:t>
      </w:r>
      <w:r>
        <w:rPr>
          <w:sz w:val="22"/>
          <w:szCs w:val="22"/>
        </w:rPr>
        <w:t xml:space="preserve"> </w:t>
      </w:r>
      <w:r w:rsidRPr="003718D4">
        <w:rPr>
          <w:sz w:val="22"/>
          <w:szCs w:val="22"/>
        </w:rPr>
        <w:t>europea, ai Comitato di Sorveglianza e agli incontri bilaterali con i</w:t>
      </w:r>
      <w:r>
        <w:rPr>
          <w:sz w:val="22"/>
          <w:szCs w:val="22"/>
        </w:rPr>
        <w:t xml:space="preserve"> </w:t>
      </w:r>
      <w:r w:rsidRPr="003718D4">
        <w:rPr>
          <w:sz w:val="22"/>
          <w:szCs w:val="22"/>
        </w:rPr>
        <w:t>Servizi della Commissione europea. I</w:t>
      </w:r>
      <w:r>
        <w:rPr>
          <w:sz w:val="22"/>
          <w:szCs w:val="22"/>
        </w:rPr>
        <w:t xml:space="preserve">nclude, inoltre, le attività di </w:t>
      </w:r>
      <w:r w:rsidRPr="003718D4">
        <w:rPr>
          <w:sz w:val="22"/>
          <w:szCs w:val="22"/>
        </w:rPr>
        <w:t>coordinamento con l’Autorità Ambientale regionale e con i</w:t>
      </w:r>
      <w:r>
        <w:rPr>
          <w:sz w:val="22"/>
          <w:szCs w:val="22"/>
        </w:rPr>
        <w:t xml:space="preserve"> </w:t>
      </w:r>
      <w:r w:rsidRPr="003718D4">
        <w:rPr>
          <w:sz w:val="22"/>
          <w:szCs w:val="22"/>
        </w:rPr>
        <w:t>valutatori dei PO FESR e FSE</w:t>
      </w:r>
      <w:r>
        <w:rPr>
          <w:sz w:val="22"/>
          <w:szCs w:val="22"/>
        </w:rPr>
        <w:t xml:space="preserve">) sono previsti </w:t>
      </w:r>
      <w:r w:rsidRPr="002137B4">
        <w:rPr>
          <w:sz w:val="22"/>
          <w:szCs w:val="22"/>
        </w:rPr>
        <w:t>128.792,00</w:t>
      </w:r>
      <w:r>
        <w:rPr>
          <w:sz w:val="22"/>
          <w:szCs w:val="22"/>
        </w:rPr>
        <w:t xml:space="preserve"> euro, come da indicazioni dell’indagine di mercato condotta dalla RRN e citata in precedenza.</w:t>
      </w:r>
    </w:p>
    <w:p w14:paraId="3E875537" w14:textId="647DD276" w:rsidR="000D4306" w:rsidRPr="00600934" w:rsidRDefault="000D4306" w:rsidP="000D4306">
      <w:pPr>
        <w:pStyle w:val="Default"/>
        <w:spacing w:after="120"/>
        <w:contextualSpacing/>
        <w:jc w:val="both"/>
        <w:rPr>
          <w:color w:val="auto"/>
          <w:sz w:val="22"/>
          <w:szCs w:val="22"/>
        </w:rPr>
      </w:pPr>
      <w:r w:rsidRPr="00600934">
        <w:rPr>
          <w:color w:val="auto"/>
          <w:sz w:val="22"/>
          <w:szCs w:val="22"/>
        </w:rPr>
        <w:t>Infine, per la realizzazione di</w:t>
      </w:r>
      <w:r w:rsidR="00286164" w:rsidRPr="00600934">
        <w:rPr>
          <w:color w:val="auto"/>
          <w:sz w:val="22"/>
          <w:szCs w:val="22"/>
        </w:rPr>
        <w:t xml:space="preserve"> ulteriori </w:t>
      </w:r>
      <w:r w:rsidRPr="00600934">
        <w:rPr>
          <w:color w:val="auto"/>
          <w:sz w:val="22"/>
          <w:szCs w:val="22"/>
        </w:rPr>
        <w:t xml:space="preserve">attività </w:t>
      </w:r>
      <w:r w:rsidR="00286164" w:rsidRPr="00600934">
        <w:rPr>
          <w:color w:val="auto"/>
          <w:sz w:val="22"/>
          <w:szCs w:val="22"/>
        </w:rPr>
        <w:t xml:space="preserve">quali la </w:t>
      </w:r>
      <w:r w:rsidRPr="00600934">
        <w:rPr>
          <w:rFonts w:eastAsiaTheme="minorEastAsia"/>
          <w:color w:val="auto"/>
          <w:sz w:val="22"/>
          <w:szCs w:val="22"/>
        </w:rPr>
        <w:t xml:space="preserve">Valutazione ex-ante e Valutazione Ambientale Strategica (VAS) </w:t>
      </w:r>
      <w:r w:rsidRPr="00600934">
        <w:rPr>
          <w:color w:val="auto"/>
          <w:sz w:val="22"/>
          <w:szCs w:val="22"/>
        </w:rPr>
        <w:t>relativi al Programma di Sviluppo Rurale (PSR) della Regione Umbria 2021-2028</w:t>
      </w:r>
      <w:r w:rsidR="00286164" w:rsidRPr="00600934">
        <w:rPr>
          <w:color w:val="auto"/>
          <w:sz w:val="22"/>
          <w:szCs w:val="22"/>
        </w:rPr>
        <w:t xml:space="preserve"> è stato individuato un prezzo (</w:t>
      </w:r>
      <w:r w:rsidRPr="00600934">
        <w:rPr>
          <w:rFonts w:eastAsiaTheme="minorEastAsia"/>
          <w:color w:val="auto"/>
          <w:sz w:val="22"/>
          <w:szCs w:val="22"/>
        </w:rPr>
        <w:t>numero di giorni/mese con disponibilità alla presenza di unità presso l’</w:t>
      </w:r>
      <w:proofErr w:type="spellStart"/>
      <w:r w:rsidRPr="00600934">
        <w:rPr>
          <w:rFonts w:eastAsiaTheme="minorEastAsia"/>
          <w:color w:val="auto"/>
          <w:sz w:val="22"/>
          <w:szCs w:val="22"/>
        </w:rPr>
        <w:t>Adg</w:t>
      </w:r>
      <w:proofErr w:type="spellEnd"/>
      <w:r w:rsidRPr="00600934">
        <w:rPr>
          <w:rFonts w:eastAsiaTheme="minorEastAsia"/>
          <w:color w:val="auto"/>
          <w:sz w:val="22"/>
          <w:szCs w:val="22"/>
        </w:rPr>
        <w:t>)</w:t>
      </w:r>
      <w:r w:rsidR="00286164" w:rsidRPr="00600934">
        <w:rPr>
          <w:rFonts w:eastAsiaTheme="minorEastAsia"/>
          <w:color w:val="auto"/>
          <w:sz w:val="22"/>
          <w:szCs w:val="22"/>
        </w:rPr>
        <w:t xml:space="preserve"> </w:t>
      </w:r>
      <w:proofErr w:type="gramStart"/>
      <w:r w:rsidR="00630C62">
        <w:rPr>
          <w:rFonts w:eastAsiaTheme="minorEastAsia"/>
          <w:color w:val="auto"/>
          <w:sz w:val="22"/>
          <w:szCs w:val="22"/>
        </w:rPr>
        <w:t xml:space="preserve">complessivo </w:t>
      </w:r>
      <w:r w:rsidRPr="00600934">
        <w:rPr>
          <w:rFonts w:eastAsiaTheme="minorEastAsia"/>
          <w:color w:val="auto"/>
          <w:sz w:val="22"/>
          <w:szCs w:val="22"/>
        </w:rPr>
        <w:t xml:space="preserve"> pari</w:t>
      </w:r>
      <w:proofErr w:type="gramEnd"/>
      <w:r w:rsidRPr="00600934">
        <w:rPr>
          <w:rFonts w:eastAsiaTheme="minorEastAsia"/>
          <w:color w:val="auto"/>
          <w:sz w:val="22"/>
          <w:szCs w:val="22"/>
        </w:rPr>
        <w:t xml:space="preserve"> a </w:t>
      </w:r>
      <w:r w:rsidR="00DD0C57">
        <w:rPr>
          <w:rFonts w:eastAsiaTheme="minorEastAsia"/>
          <w:color w:val="auto"/>
          <w:sz w:val="22"/>
          <w:szCs w:val="22"/>
        </w:rPr>
        <w:t>58</w:t>
      </w:r>
      <w:r w:rsidR="00286164" w:rsidRPr="00600934">
        <w:rPr>
          <w:rFonts w:eastAsiaTheme="minorEastAsia"/>
          <w:color w:val="auto"/>
          <w:sz w:val="22"/>
          <w:szCs w:val="22"/>
        </w:rPr>
        <w:t>.</w:t>
      </w:r>
      <w:r w:rsidR="00DD0C57">
        <w:rPr>
          <w:rFonts w:eastAsiaTheme="minorEastAsia"/>
          <w:color w:val="auto"/>
          <w:sz w:val="22"/>
          <w:szCs w:val="22"/>
        </w:rPr>
        <w:t>841</w:t>
      </w:r>
      <w:r w:rsidR="00286164" w:rsidRPr="00600934">
        <w:rPr>
          <w:rFonts w:eastAsiaTheme="minorEastAsia"/>
          <w:color w:val="auto"/>
          <w:sz w:val="22"/>
          <w:szCs w:val="22"/>
        </w:rPr>
        <w:t>,00 euro</w:t>
      </w:r>
      <w:r w:rsidR="00630C62">
        <w:rPr>
          <w:rFonts w:eastAsiaTheme="minorEastAsia"/>
          <w:color w:val="auto"/>
          <w:sz w:val="22"/>
          <w:szCs w:val="22"/>
        </w:rPr>
        <w:t>,</w:t>
      </w:r>
      <w:r w:rsidR="00286164" w:rsidRPr="00600934">
        <w:rPr>
          <w:rFonts w:eastAsiaTheme="minorEastAsia"/>
          <w:color w:val="auto"/>
          <w:sz w:val="22"/>
          <w:szCs w:val="22"/>
        </w:rPr>
        <w:t xml:space="preserve"> </w:t>
      </w:r>
      <w:r w:rsidR="00782327" w:rsidRPr="00600934">
        <w:rPr>
          <w:rFonts w:eastAsiaTheme="minorEastAsia"/>
          <w:color w:val="auto"/>
          <w:sz w:val="22"/>
          <w:szCs w:val="22"/>
        </w:rPr>
        <w:t xml:space="preserve">valutato anche tenendo conto </w:t>
      </w:r>
      <w:r w:rsidR="00600934" w:rsidRPr="00600934">
        <w:rPr>
          <w:rFonts w:eastAsiaTheme="minorEastAsia"/>
          <w:color w:val="auto"/>
          <w:sz w:val="22"/>
          <w:szCs w:val="22"/>
        </w:rPr>
        <w:t>dell’esperienza acquisita nella</w:t>
      </w:r>
      <w:r w:rsidR="00782327" w:rsidRPr="00600934">
        <w:rPr>
          <w:rFonts w:eastAsiaTheme="minorEastAsia"/>
          <w:color w:val="auto"/>
          <w:sz w:val="22"/>
          <w:szCs w:val="22"/>
        </w:rPr>
        <w:t xml:space="preserve"> passata programmazione in merito ad  affidamenti analoghi</w:t>
      </w:r>
      <w:r w:rsidR="00600934" w:rsidRPr="00600934">
        <w:rPr>
          <w:rFonts w:eastAsiaTheme="minorEastAsia"/>
          <w:color w:val="auto"/>
          <w:sz w:val="22"/>
          <w:szCs w:val="22"/>
        </w:rPr>
        <w:t xml:space="preserve"> da parte della Regione</w:t>
      </w:r>
      <w:r w:rsidR="00782327" w:rsidRPr="00600934">
        <w:rPr>
          <w:rFonts w:eastAsiaTheme="minorEastAsia"/>
          <w:color w:val="auto"/>
          <w:sz w:val="22"/>
          <w:szCs w:val="22"/>
        </w:rPr>
        <w:t xml:space="preserve">. </w:t>
      </w:r>
    </w:p>
    <w:p w14:paraId="62D63218" w14:textId="77777777" w:rsidR="004226FC" w:rsidRPr="00600934" w:rsidRDefault="004226FC" w:rsidP="000D4306">
      <w:pPr>
        <w:pStyle w:val="Default"/>
        <w:spacing w:after="120"/>
        <w:contextualSpacing/>
        <w:jc w:val="both"/>
        <w:rPr>
          <w:sz w:val="22"/>
          <w:szCs w:val="22"/>
        </w:rPr>
      </w:pPr>
    </w:p>
    <w:p w14:paraId="4E4CBECD" w14:textId="49FFE703" w:rsidR="004226FC" w:rsidRPr="00D12F63" w:rsidRDefault="004226FC" w:rsidP="000D4306">
      <w:pPr>
        <w:pStyle w:val="Default"/>
        <w:spacing w:after="120"/>
        <w:contextualSpacing/>
        <w:jc w:val="both"/>
        <w:rPr>
          <w:sz w:val="22"/>
          <w:szCs w:val="22"/>
        </w:rPr>
      </w:pPr>
    </w:p>
    <w:p w14:paraId="68DCFDEA" w14:textId="77777777" w:rsidR="000D4306" w:rsidRPr="00940FBF" w:rsidRDefault="000D4306" w:rsidP="000D4306">
      <w:pPr>
        <w:pStyle w:val="Default"/>
        <w:spacing w:after="120"/>
        <w:contextualSpacing/>
        <w:jc w:val="both"/>
        <w:rPr>
          <w:b/>
          <w:sz w:val="22"/>
          <w:szCs w:val="22"/>
        </w:rPr>
      </w:pPr>
    </w:p>
    <w:tbl>
      <w:tblPr>
        <w:tblW w:w="5000" w:type="pct"/>
        <w:jc w:val="center"/>
        <w:tblLayout w:type="fixed"/>
        <w:tblCellMar>
          <w:left w:w="70" w:type="dxa"/>
          <w:right w:w="70" w:type="dxa"/>
        </w:tblCellMar>
        <w:tblLook w:val="04A0" w:firstRow="1" w:lastRow="0" w:firstColumn="1" w:lastColumn="0" w:noHBand="0" w:noVBand="1"/>
      </w:tblPr>
      <w:tblGrid>
        <w:gridCol w:w="7440"/>
        <w:gridCol w:w="2332"/>
      </w:tblGrid>
      <w:tr w:rsidR="000D4306" w:rsidRPr="002878F9" w14:paraId="523D757D" w14:textId="77777777" w:rsidTr="00600934">
        <w:trPr>
          <w:trHeight w:val="300"/>
          <w:jc w:val="center"/>
        </w:trPr>
        <w:tc>
          <w:tcPr>
            <w:tcW w:w="38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5D92C" w14:textId="77777777" w:rsidR="000D4306" w:rsidRPr="002878F9" w:rsidRDefault="000D4306" w:rsidP="00EA0375">
            <w:pPr>
              <w:jc w:val="center"/>
              <w:rPr>
                <w:rFonts w:ascii="Arial" w:eastAsia="Times New Roman" w:hAnsi="Arial" w:cs="Arial"/>
                <w:b/>
                <w:color w:val="000000"/>
                <w:sz w:val="18"/>
                <w:szCs w:val="18"/>
              </w:rPr>
            </w:pPr>
            <w:r w:rsidRPr="002878F9">
              <w:rPr>
                <w:rFonts w:ascii="Arial" w:eastAsia="Times New Roman" w:hAnsi="Arial" w:cs="Arial"/>
                <w:b/>
                <w:color w:val="000000"/>
                <w:sz w:val="18"/>
                <w:szCs w:val="18"/>
              </w:rPr>
              <w:t>Prodotto</w:t>
            </w:r>
          </w:p>
        </w:tc>
        <w:tc>
          <w:tcPr>
            <w:tcW w:w="1193" w:type="pct"/>
            <w:tcBorders>
              <w:top w:val="single" w:sz="4" w:space="0" w:color="auto"/>
              <w:left w:val="nil"/>
              <w:bottom w:val="single" w:sz="4" w:space="0" w:color="auto"/>
              <w:right w:val="single" w:sz="4" w:space="0" w:color="auto"/>
            </w:tcBorders>
            <w:shd w:val="clear" w:color="auto" w:fill="auto"/>
            <w:noWrap/>
            <w:vAlign w:val="bottom"/>
            <w:hideMark/>
          </w:tcPr>
          <w:p w14:paraId="58691452" w14:textId="77777777" w:rsidR="000D4306" w:rsidRPr="002878F9" w:rsidRDefault="000D4306" w:rsidP="00EA0375">
            <w:pPr>
              <w:jc w:val="center"/>
              <w:rPr>
                <w:rFonts w:ascii="Arial" w:eastAsia="Times New Roman" w:hAnsi="Arial" w:cs="Arial"/>
                <w:b/>
                <w:color w:val="000000"/>
                <w:sz w:val="18"/>
                <w:szCs w:val="18"/>
              </w:rPr>
            </w:pPr>
            <w:r w:rsidRPr="002878F9">
              <w:rPr>
                <w:rFonts w:ascii="Arial" w:eastAsia="Times New Roman" w:hAnsi="Arial" w:cs="Arial"/>
                <w:b/>
                <w:color w:val="000000"/>
                <w:sz w:val="18"/>
                <w:szCs w:val="18"/>
              </w:rPr>
              <w:t>Prezzo</w:t>
            </w:r>
          </w:p>
        </w:tc>
      </w:tr>
      <w:tr w:rsidR="000D4306" w:rsidRPr="002878F9" w14:paraId="2A444888" w14:textId="77777777" w:rsidTr="00600934">
        <w:trPr>
          <w:trHeight w:val="680"/>
          <w:jc w:val="center"/>
        </w:trPr>
        <w:tc>
          <w:tcPr>
            <w:tcW w:w="3807" w:type="pct"/>
            <w:tcBorders>
              <w:top w:val="nil"/>
              <w:left w:val="single" w:sz="4" w:space="0" w:color="auto"/>
              <w:bottom w:val="single" w:sz="4" w:space="0" w:color="auto"/>
              <w:right w:val="single" w:sz="4" w:space="0" w:color="auto"/>
            </w:tcBorders>
            <w:shd w:val="clear" w:color="auto" w:fill="auto"/>
            <w:noWrap/>
            <w:vAlign w:val="bottom"/>
            <w:hideMark/>
          </w:tcPr>
          <w:p w14:paraId="1AD130B4" w14:textId="7EE6C0CB" w:rsidR="000D4306" w:rsidRPr="002878F9" w:rsidRDefault="00B539DF" w:rsidP="00EA0375">
            <w:pPr>
              <w:jc w:val="center"/>
              <w:rPr>
                <w:rFonts w:ascii="Arial" w:eastAsia="Times New Roman" w:hAnsi="Arial" w:cs="Arial"/>
                <w:color w:val="000000"/>
                <w:sz w:val="18"/>
                <w:szCs w:val="18"/>
              </w:rPr>
            </w:pPr>
            <w:r>
              <w:rPr>
                <w:rFonts w:ascii="Arial" w:eastAsia="Times New Roman" w:hAnsi="Arial" w:cs="Arial"/>
                <w:color w:val="000000"/>
                <w:sz w:val="18"/>
                <w:szCs w:val="18"/>
              </w:rPr>
              <w:t>Piano</w:t>
            </w:r>
            <w:r w:rsidRPr="002878F9">
              <w:rPr>
                <w:rFonts w:ascii="Arial" w:eastAsia="Times New Roman" w:hAnsi="Arial" w:cs="Arial"/>
                <w:color w:val="000000"/>
                <w:sz w:val="18"/>
                <w:szCs w:val="18"/>
              </w:rPr>
              <w:t xml:space="preserve"> </w:t>
            </w:r>
            <w:r w:rsidR="000D4306" w:rsidRPr="002878F9">
              <w:rPr>
                <w:rFonts w:ascii="Arial" w:eastAsia="Times New Roman" w:hAnsi="Arial" w:cs="Arial"/>
                <w:color w:val="000000"/>
                <w:sz w:val="18"/>
                <w:szCs w:val="18"/>
              </w:rPr>
              <w:t>di valutazione</w:t>
            </w:r>
          </w:p>
        </w:tc>
        <w:tc>
          <w:tcPr>
            <w:tcW w:w="1193" w:type="pct"/>
            <w:tcBorders>
              <w:top w:val="nil"/>
              <w:left w:val="nil"/>
              <w:bottom w:val="single" w:sz="4" w:space="0" w:color="auto"/>
              <w:right w:val="single" w:sz="4" w:space="0" w:color="auto"/>
            </w:tcBorders>
            <w:shd w:val="clear" w:color="auto" w:fill="auto"/>
            <w:noWrap/>
            <w:vAlign w:val="bottom"/>
            <w:hideMark/>
          </w:tcPr>
          <w:p w14:paraId="66461945" w14:textId="6F592A02" w:rsidR="000D4306" w:rsidRPr="002878F9" w:rsidRDefault="00DF1D08">
            <w:pPr>
              <w:jc w:val="center"/>
              <w:rPr>
                <w:rFonts w:ascii="Arial" w:eastAsia="Times New Roman" w:hAnsi="Arial" w:cs="Arial"/>
                <w:color w:val="000000"/>
                <w:sz w:val="18"/>
                <w:szCs w:val="18"/>
              </w:rPr>
            </w:pPr>
            <w:r>
              <w:rPr>
                <w:rFonts w:ascii="Arial" w:eastAsia="Times New Roman" w:hAnsi="Arial" w:cs="Arial"/>
                <w:color w:val="000000"/>
                <w:sz w:val="18"/>
                <w:szCs w:val="18"/>
              </w:rPr>
              <w:t>27</w:t>
            </w:r>
            <w:r w:rsidR="000D4306" w:rsidRPr="002878F9">
              <w:rPr>
                <w:rFonts w:ascii="Arial" w:eastAsia="Times New Roman" w:hAnsi="Arial" w:cs="Arial"/>
                <w:color w:val="000000"/>
                <w:sz w:val="18"/>
                <w:szCs w:val="18"/>
              </w:rPr>
              <w:t>.</w:t>
            </w:r>
            <w:r>
              <w:rPr>
                <w:rFonts w:ascii="Arial" w:eastAsia="Times New Roman" w:hAnsi="Arial" w:cs="Arial"/>
                <w:color w:val="000000"/>
                <w:sz w:val="18"/>
                <w:szCs w:val="18"/>
              </w:rPr>
              <w:t>861</w:t>
            </w:r>
            <w:r w:rsidR="000D4306" w:rsidRPr="002878F9">
              <w:rPr>
                <w:rFonts w:ascii="Arial" w:eastAsia="Times New Roman" w:hAnsi="Arial" w:cs="Arial"/>
                <w:color w:val="000000"/>
                <w:sz w:val="18"/>
                <w:szCs w:val="18"/>
              </w:rPr>
              <w:t>,</w:t>
            </w:r>
            <w:r>
              <w:rPr>
                <w:rFonts w:ascii="Arial" w:eastAsia="Times New Roman" w:hAnsi="Arial" w:cs="Arial"/>
                <w:color w:val="000000"/>
                <w:sz w:val="18"/>
                <w:szCs w:val="18"/>
              </w:rPr>
              <w:t>00</w:t>
            </w:r>
          </w:p>
        </w:tc>
      </w:tr>
      <w:tr w:rsidR="000D4306" w:rsidRPr="002878F9" w14:paraId="7EFFA465" w14:textId="77777777" w:rsidTr="00600934">
        <w:trPr>
          <w:trHeight w:val="900"/>
          <w:jc w:val="center"/>
        </w:trPr>
        <w:tc>
          <w:tcPr>
            <w:tcW w:w="3807" w:type="pct"/>
            <w:tcBorders>
              <w:top w:val="nil"/>
              <w:left w:val="single" w:sz="4" w:space="0" w:color="auto"/>
              <w:bottom w:val="single" w:sz="4" w:space="0" w:color="auto"/>
              <w:right w:val="single" w:sz="4" w:space="0" w:color="auto"/>
            </w:tcBorders>
            <w:shd w:val="clear" w:color="auto" w:fill="auto"/>
            <w:noWrap/>
            <w:vAlign w:val="center"/>
            <w:hideMark/>
          </w:tcPr>
          <w:p w14:paraId="517E0797" w14:textId="77777777" w:rsidR="000D4306" w:rsidRPr="002878F9" w:rsidRDefault="000D4306" w:rsidP="00EA0375">
            <w:pPr>
              <w:jc w:val="center"/>
              <w:rPr>
                <w:rFonts w:ascii="Arial" w:eastAsia="Times New Roman" w:hAnsi="Arial" w:cs="Arial"/>
                <w:color w:val="000000"/>
                <w:sz w:val="18"/>
                <w:szCs w:val="18"/>
              </w:rPr>
            </w:pPr>
            <w:r w:rsidRPr="002878F9">
              <w:rPr>
                <w:rFonts w:ascii="Arial" w:eastAsia="Times New Roman" w:hAnsi="Arial" w:cs="Arial"/>
                <w:color w:val="000000"/>
                <w:sz w:val="18"/>
                <w:szCs w:val="18"/>
              </w:rPr>
              <w:t>Rapporto rafforzato 2018</w:t>
            </w:r>
          </w:p>
        </w:tc>
        <w:tc>
          <w:tcPr>
            <w:tcW w:w="1193" w:type="pct"/>
            <w:tcBorders>
              <w:top w:val="nil"/>
              <w:left w:val="nil"/>
              <w:bottom w:val="single" w:sz="4" w:space="0" w:color="auto"/>
              <w:right w:val="single" w:sz="4" w:space="0" w:color="auto"/>
            </w:tcBorders>
            <w:shd w:val="clear" w:color="auto" w:fill="auto"/>
            <w:noWrap/>
            <w:vAlign w:val="bottom"/>
            <w:hideMark/>
          </w:tcPr>
          <w:p w14:paraId="6AF61E92" w14:textId="77777777" w:rsidR="000D4306" w:rsidRPr="002878F9" w:rsidRDefault="000D4306" w:rsidP="00EA0375">
            <w:pPr>
              <w:jc w:val="center"/>
              <w:rPr>
                <w:rFonts w:ascii="Arial" w:eastAsia="Times New Roman" w:hAnsi="Arial" w:cs="Arial"/>
                <w:color w:val="000000"/>
                <w:sz w:val="18"/>
                <w:szCs w:val="18"/>
              </w:rPr>
            </w:pPr>
            <w:r w:rsidRPr="002878F9">
              <w:rPr>
                <w:rFonts w:ascii="Arial" w:eastAsia="Times New Roman" w:hAnsi="Arial" w:cs="Arial"/>
                <w:color w:val="000000"/>
                <w:sz w:val="18"/>
                <w:szCs w:val="18"/>
              </w:rPr>
              <w:t>331.192,00</w:t>
            </w:r>
          </w:p>
        </w:tc>
      </w:tr>
      <w:tr w:rsidR="000D4306" w:rsidRPr="002878F9" w14:paraId="23E0952E" w14:textId="77777777" w:rsidTr="00600934">
        <w:trPr>
          <w:trHeight w:val="480"/>
          <w:jc w:val="center"/>
        </w:trPr>
        <w:tc>
          <w:tcPr>
            <w:tcW w:w="3807" w:type="pct"/>
            <w:tcBorders>
              <w:top w:val="nil"/>
              <w:left w:val="single" w:sz="4" w:space="0" w:color="auto"/>
              <w:bottom w:val="single" w:sz="4" w:space="0" w:color="auto"/>
              <w:right w:val="single" w:sz="4" w:space="0" w:color="auto"/>
            </w:tcBorders>
            <w:shd w:val="clear" w:color="auto" w:fill="auto"/>
            <w:noWrap/>
            <w:vAlign w:val="center"/>
            <w:hideMark/>
          </w:tcPr>
          <w:p w14:paraId="3052C37C" w14:textId="76BE9CD4" w:rsidR="000D4306" w:rsidRPr="002878F9" w:rsidRDefault="000D4306">
            <w:pPr>
              <w:jc w:val="center"/>
              <w:rPr>
                <w:rFonts w:ascii="Arial" w:eastAsia="Times New Roman" w:hAnsi="Arial" w:cs="Arial"/>
                <w:color w:val="000000"/>
                <w:sz w:val="18"/>
                <w:szCs w:val="18"/>
              </w:rPr>
            </w:pPr>
            <w:r w:rsidRPr="002878F9">
              <w:rPr>
                <w:rFonts w:ascii="Arial" w:eastAsia="Times New Roman" w:hAnsi="Arial" w:cs="Arial"/>
                <w:color w:val="000000"/>
                <w:sz w:val="18"/>
                <w:szCs w:val="18"/>
              </w:rPr>
              <w:t>Rapporto di esecuzione 2019</w:t>
            </w:r>
            <w:r w:rsidR="004105BB">
              <w:rPr>
                <w:rFonts w:ascii="Arial" w:eastAsia="Times New Roman" w:hAnsi="Arial" w:cs="Arial"/>
                <w:color w:val="000000"/>
                <w:sz w:val="18"/>
                <w:szCs w:val="18"/>
              </w:rPr>
              <w:t xml:space="preserve"> e </w:t>
            </w:r>
            <w:r w:rsidR="004105BB" w:rsidRPr="00600934">
              <w:rPr>
                <w:rFonts w:ascii="Arial" w:eastAsia="Times New Roman" w:hAnsi="Arial" w:cs="Arial"/>
                <w:color w:val="000000"/>
                <w:sz w:val="18"/>
                <w:szCs w:val="18"/>
              </w:rPr>
              <w:t>Valutazione ex-ante e Valutazione Ambientale Strategica (VAS) relativi al Programma di Sviluppo Rurale (PSR) della Regione Umbria 2021-2028</w:t>
            </w:r>
          </w:p>
        </w:tc>
        <w:tc>
          <w:tcPr>
            <w:tcW w:w="1193" w:type="pct"/>
            <w:tcBorders>
              <w:top w:val="nil"/>
              <w:left w:val="nil"/>
              <w:bottom w:val="single" w:sz="4" w:space="0" w:color="auto"/>
              <w:right w:val="single" w:sz="4" w:space="0" w:color="auto"/>
            </w:tcBorders>
            <w:shd w:val="clear" w:color="auto" w:fill="auto"/>
            <w:noWrap/>
            <w:vAlign w:val="bottom"/>
            <w:hideMark/>
          </w:tcPr>
          <w:p w14:paraId="72222B35" w14:textId="7BCA7AD0" w:rsidR="000D4306" w:rsidRPr="002878F9" w:rsidRDefault="004105BB">
            <w:pPr>
              <w:jc w:val="center"/>
              <w:rPr>
                <w:rFonts w:ascii="Arial" w:eastAsia="Times New Roman" w:hAnsi="Arial" w:cs="Arial"/>
                <w:color w:val="000000"/>
                <w:sz w:val="18"/>
                <w:szCs w:val="18"/>
              </w:rPr>
            </w:pPr>
            <w:r>
              <w:rPr>
                <w:rFonts w:ascii="Arial" w:eastAsia="Times New Roman" w:hAnsi="Arial" w:cs="Arial"/>
                <w:color w:val="000000"/>
                <w:sz w:val="18"/>
                <w:szCs w:val="18"/>
              </w:rPr>
              <w:t>114</w:t>
            </w:r>
            <w:r w:rsidR="000D4306" w:rsidRPr="002878F9">
              <w:rPr>
                <w:rFonts w:ascii="Arial" w:eastAsia="Times New Roman" w:hAnsi="Arial" w:cs="Arial"/>
                <w:color w:val="000000"/>
                <w:sz w:val="18"/>
                <w:szCs w:val="18"/>
              </w:rPr>
              <w:t>.</w:t>
            </w:r>
            <w:r>
              <w:rPr>
                <w:rFonts w:ascii="Arial" w:eastAsia="Times New Roman" w:hAnsi="Arial" w:cs="Arial"/>
                <w:color w:val="000000"/>
                <w:sz w:val="18"/>
                <w:szCs w:val="18"/>
              </w:rPr>
              <w:t>563</w:t>
            </w:r>
            <w:r w:rsidR="000D4306" w:rsidRPr="002878F9">
              <w:rPr>
                <w:rFonts w:ascii="Arial" w:eastAsia="Times New Roman" w:hAnsi="Arial" w:cs="Arial"/>
                <w:color w:val="000000"/>
                <w:sz w:val="18"/>
                <w:szCs w:val="18"/>
              </w:rPr>
              <w:t>,00</w:t>
            </w:r>
          </w:p>
        </w:tc>
      </w:tr>
      <w:tr w:rsidR="000D4306" w:rsidRPr="002878F9" w14:paraId="332F0698" w14:textId="77777777" w:rsidTr="00600934">
        <w:trPr>
          <w:trHeight w:val="300"/>
          <w:jc w:val="center"/>
        </w:trPr>
        <w:tc>
          <w:tcPr>
            <w:tcW w:w="3807" w:type="pct"/>
            <w:tcBorders>
              <w:top w:val="nil"/>
              <w:left w:val="single" w:sz="4" w:space="0" w:color="auto"/>
              <w:bottom w:val="single" w:sz="4" w:space="0" w:color="auto"/>
              <w:right w:val="single" w:sz="4" w:space="0" w:color="auto"/>
            </w:tcBorders>
            <w:shd w:val="clear" w:color="auto" w:fill="auto"/>
            <w:noWrap/>
            <w:vAlign w:val="center"/>
            <w:hideMark/>
          </w:tcPr>
          <w:p w14:paraId="79C7C22D" w14:textId="77777777" w:rsidR="000D4306" w:rsidRPr="002878F9" w:rsidRDefault="000D4306" w:rsidP="00EA0375">
            <w:pPr>
              <w:jc w:val="center"/>
              <w:rPr>
                <w:rFonts w:ascii="Arial" w:eastAsia="Times New Roman" w:hAnsi="Arial" w:cs="Arial"/>
                <w:color w:val="000000"/>
                <w:sz w:val="18"/>
                <w:szCs w:val="18"/>
              </w:rPr>
            </w:pPr>
            <w:r w:rsidRPr="002878F9">
              <w:rPr>
                <w:rFonts w:ascii="Arial" w:eastAsia="Times New Roman" w:hAnsi="Arial" w:cs="Arial"/>
                <w:color w:val="000000"/>
                <w:sz w:val="18"/>
                <w:szCs w:val="18"/>
              </w:rPr>
              <w:t>Rapporto di esecuzione 2020</w:t>
            </w:r>
          </w:p>
        </w:tc>
        <w:tc>
          <w:tcPr>
            <w:tcW w:w="1193" w:type="pct"/>
            <w:tcBorders>
              <w:top w:val="nil"/>
              <w:left w:val="nil"/>
              <w:bottom w:val="single" w:sz="4" w:space="0" w:color="auto"/>
              <w:right w:val="single" w:sz="4" w:space="0" w:color="auto"/>
            </w:tcBorders>
            <w:shd w:val="clear" w:color="auto" w:fill="auto"/>
            <w:noWrap/>
            <w:vAlign w:val="bottom"/>
            <w:hideMark/>
          </w:tcPr>
          <w:p w14:paraId="7F712896" w14:textId="77777777" w:rsidR="000D4306" w:rsidRPr="002878F9" w:rsidRDefault="000D4306" w:rsidP="00EA0375">
            <w:pPr>
              <w:jc w:val="center"/>
              <w:rPr>
                <w:rFonts w:ascii="Arial" w:eastAsia="Times New Roman" w:hAnsi="Arial" w:cs="Arial"/>
                <w:color w:val="000000"/>
                <w:sz w:val="18"/>
                <w:szCs w:val="18"/>
              </w:rPr>
            </w:pPr>
            <w:r w:rsidRPr="002878F9">
              <w:rPr>
                <w:rFonts w:ascii="Arial" w:eastAsia="Times New Roman" w:hAnsi="Arial" w:cs="Arial"/>
                <w:color w:val="000000"/>
                <w:sz w:val="18"/>
                <w:szCs w:val="18"/>
              </w:rPr>
              <w:t>27.861,00</w:t>
            </w:r>
          </w:p>
        </w:tc>
      </w:tr>
      <w:tr w:rsidR="000D4306" w:rsidRPr="002878F9" w14:paraId="3AB00D83" w14:textId="77777777" w:rsidTr="00600934">
        <w:trPr>
          <w:trHeight w:val="458"/>
          <w:jc w:val="center"/>
        </w:trPr>
        <w:tc>
          <w:tcPr>
            <w:tcW w:w="3807" w:type="pct"/>
            <w:tcBorders>
              <w:top w:val="nil"/>
              <w:left w:val="single" w:sz="4" w:space="0" w:color="auto"/>
              <w:bottom w:val="single" w:sz="4" w:space="0" w:color="auto"/>
              <w:right w:val="single" w:sz="4" w:space="0" w:color="auto"/>
            </w:tcBorders>
            <w:shd w:val="clear" w:color="auto" w:fill="auto"/>
            <w:noWrap/>
            <w:vAlign w:val="center"/>
            <w:hideMark/>
          </w:tcPr>
          <w:p w14:paraId="2E1CB1B0" w14:textId="77777777" w:rsidR="000D4306" w:rsidRPr="002878F9" w:rsidRDefault="000D4306" w:rsidP="00EA0375">
            <w:pPr>
              <w:jc w:val="center"/>
              <w:rPr>
                <w:rFonts w:ascii="Arial" w:eastAsia="Times New Roman" w:hAnsi="Arial" w:cs="Arial"/>
                <w:color w:val="000000"/>
                <w:sz w:val="18"/>
                <w:szCs w:val="18"/>
              </w:rPr>
            </w:pPr>
            <w:r w:rsidRPr="002878F9">
              <w:rPr>
                <w:rFonts w:ascii="Arial" w:eastAsia="Times New Roman" w:hAnsi="Arial" w:cs="Arial"/>
                <w:color w:val="000000"/>
                <w:sz w:val="18"/>
                <w:szCs w:val="18"/>
              </w:rPr>
              <w:t>Rapporto di esecuzione 2021</w:t>
            </w:r>
          </w:p>
        </w:tc>
        <w:tc>
          <w:tcPr>
            <w:tcW w:w="1193" w:type="pct"/>
            <w:tcBorders>
              <w:top w:val="nil"/>
              <w:left w:val="nil"/>
              <w:bottom w:val="single" w:sz="4" w:space="0" w:color="auto"/>
              <w:right w:val="single" w:sz="4" w:space="0" w:color="auto"/>
            </w:tcBorders>
            <w:shd w:val="clear" w:color="auto" w:fill="auto"/>
            <w:noWrap/>
            <w:vAlign w:val="bottom"/>
            <w:hideMark/>
          </w:tcPr>
          <w:p w14:paraId="1DD976D2" w14:textId="77777777" w:rsidR="000D4306" w:rsidRPr="002878F9" w:rsidRDefault="000D4306" w:rsidP="00EA0375">
            <w:pPr>
              <w:jc w:val="center"/>
              <w:rPr>
                <w:rFonts w:ascii="Arial" w:eastAsia="Times New Roman" w:hAnsi="Arial" w:cs="Arial"/>
                <w:color w:val="000000"/>
                <w:sz w:val="18"/>
                <w:szCs w:val="18"/>
              </w:rPr>
            </w:pPr>
            <w:r w:rsidRPr="002878F9">
              <w:rPr>
                <w:rFonts w:ascii="Arial" w:eastAsia="Times New Roman" w:hAnsi="Arial" w:cs="Arial"/>
                <w:color w:val="000000"/>
                <w:sz w:val="18"/>
                <w:szCs w:val="18"/>
              </w:rPr>
              <w:t>55.722,00</w:t>
            </w:r>
          </w:p>
        </w:tc>
      </w:tr>
      <w:tr w:rsidR="000D4306" w:rsidRPr="002878F9" w14:paraId="64B23691" w14:textId="77777777" w:rsidTr="00600934">
        <w:trPr>
          <w:trHeight w:val="460"/>
          <w:jc w:val="center"/>
        </w:trPr>
        <w:tc>
          <w:tcPr>
            <w:tcW w:w="3807" w:type="pct"/>
            <w:tcBorders>
              <w:top w:val="nil"/>
              <w:left w:val="single" w:sz="4" w:space="0" w:color="auto"/>
              <w:bottom w:val="single" w:sz="4" w:space="0" w:color="auto"/>
              <w:right w:val="single" w:sz="4" w:space="0" w:color="auto"/>
            </w:tcBorders>
            <w:shd w:val="clear" w:color="auto" w:fill="auto"/>
            <w:noWrap/>
            <w:vAlign w:val="center"/>
            <w:hideMark/>
          </w:tcPr>
          <w:p w14:paraId="0F032F69" w14:textId="77777777" w:rsidR="000D4306" w:rsidRPr="002878F9" w:rsidRDefault="000D4306" w:rsidP="00EA0375">
            <w:pPr>
              <w:jc w:val="center"/>
              <w:rPr>
                <w:rFonts w:ascii="Arial" w:eastAsia="Times New Roman" w:hAnsi="Arial" w:cs="Arial"/>
                <w:color w:val="000000"/>
                <w:sz w:val="18"/>
                <w:szCs w:val="18"/>
              </w:rPr>
            </w:pPr>
            <w:r w:rsidRPr="002878F9">
              <w:rPr>
                <w:rFonts w:ascii="Arial" w:eastAsia="Times New Roman" w:hAnsi="Arial" w:cs="Arial"/>
                <w:color w:val="000000"/>
                <w:sz w:val="18"/>
                <w:szCs w:val="18"/>
              </w:rPr>
              <w:t>Rapporto di esecuzione 2022</w:t>
            </w:r>
          </w:p>
        </w:tc>
        <w:tc>
          <w:tcPr>
            <w:tcW w:w="1193" w:type="pct"/>
            <w:tcBorders>
              <w:top w:val="nil"/>
              <w:left w:val="nil"/>
              <w:bottom w:val="single" w:sz="4" w:space="0" w:color="auto"/>
              <w:right w:val="single" w:sz="4" w:space="0" w:color="auto"/>
            </w:tcBorders>
            <w:shd w:val="clear" w:color="auto" w:fill="auto"/>
            <w:noWrap/>
            <w:vAlign w:val="bottom"/>
            <w:hideMark/>
          </w:tcPr>
          <w:p w14:paraId="083E9A4D" w14:textId="77777777" w:rsidR="000D4306" w:rsidRPr="002878F9" w:rsidRDefault="000D4306" w:rsidP="00EA0375">
            <w:pPr>
              <w:jc w:val="center"/>
              <w:rPr>
                <w:rFonts w:ascii="Arial" w:eastAsia="Times New Roman" w:hAnsi="Arial" w:cs="Arial"/>
                <w:color w:val="000000"/>
                <w:sz w:val="18"/>
                <w:szCs w:val="18"/>
              </w:rPr>
            </w:pPr>
            <w:r w:rsidRPr="002878F9">
              <w:rPr>
                <w:rFonts w:ascii="Arial" w:eastAsia="Times New Roman" w:hAnsi="Arial" w:cs="Arial"/>
                <w:color w:val="000000"/>
                <w:sz w:val="18"/>
                <w:szCs w:val="18"/>
              </w:rPr>
              <w:t>44.861,00</w:t>
            </w:r>
          </w:p>
        </w:tc>
      </w:tr>
      <w:tr w:rsidR="000D4306" w:rsidRPr="002878F9" w14:paraId="3BD4C41C" w14:textId="77777777" w:rsidTr="00600934">
        <w:trPr>
          <w:trHeight w:val="358"/>
          <w:jc w:val="center"/>
        </w:trPr>
        <w:tc>
          <w:tcPr>
            <w:tcW w:w="3807" w:type="pct"/>
            <w:tcBorders>
              <w:top w:val="nil"/>
              <w:left w:val="single" w:sz="4" w:space="0" w:color="auto"/>
              <w:bottom w:val="single" w:sz="4" w:space="0" w:color="auto"/>
              <w:right w:val="single" w:sz="4" w:space="0" w:color="auto"/>
            </w:tcBorders>
            <w:shd w:val="clear" w:color="auto" w:fill="auto"/>
            <w:noWrap/>
            <w:vAlign w:val="center"/>
            <w:hideMark/>
          </w:tcPr>
          <w:p w14:paraId="23E4342A" w14:textId="77777777" w:rsidR="000D4306" w:rsidRPr="002878F9" w:rsidRDefault="000D4306" w:rsidP="00EA0375">
            <w:pPr>
              <w:jc w:val="center"/>
              <w:rPr>
                <w:rFonts w:ascii="Arial" w:eastAsia="Times New Roman" w:hAnsi="Arial" w:cs="Arial"/>
                <w:color w:val="000000"/>
                <w:sz w:val="18"/>
                <w:szCs w:val="18"/>
              </w:rPr>
            </w:pPr>
            <w:r w:rsidRPr="002878F9">
              <w:rPr>
                <w:rFonts w:ascii="Arial" w:eastAsia="Times New Roman" w:hAnsi="Arial" w:cs="Arial"/>
                <w:color w:val="000000"/>
                <w:sz w:val="18"/>
                <w:szCs w:val="18"/>
              </w:rPr>
              <w:t>Rapporto di esecuzione 2023</w:t>
            </w:r>
          </w:p>
        </w:tc>
        <w:tc>
          <w:tcPr>
            <w:tcW w:w="1193" w:type="pct"/>
            <w:tcBorders>
              <w:top w:val="nil"/>
              <w:left w:val="nil"/>
              <w:bottom w:val="single" w:sz="4" w:space="0" w:color="auto"/>
              <w:right w:val="single" w:sz="4" w:space="0" w:color="auto"/>
            </w:tcBorders>
            <w:shd w:val="clear" w:color="auto" w:fill="auto"/>
            <w:noWrap/>
            <w:vAlign w:val="bottom"/>
            <w:hideMark/>
          </w:tcPr>
          <w:p w14:paraId="04B200C9" w14:textId="77777777" w:rsidR="000D4306" w:rsidRPr="002878F9" w:rsidRDefault="000D4306" w:rsidP="00EA0375">
            <w:pPr>
              <w:jc w:val="center"/>
              <w:rPr>
                <w:rFonts w:ascii="Arial" w:eastAsia="Times New Roman" w:hAnsi="Arial" w:cs="Arial"/>
                <w:color w:val="000000"/>
                <w:sz w:val="18"/>
                <w:szCs w:val="18"/>
              </w:rPr>
            </w:pPr>
            <w:r w:rsidRPr="002878F9">
              <w:rPr>
                <w:rFonts w:ascii="Arial" w:eastAsia="Times New Roman" w:hAnsi="Arial" w:cs="Arial"/>
                <w:color w:val="000000"/>
                <w:sz w:val="18"/>
                <w:szCs w:val="18"/>
              </w:rPr>
              <w:t>27.861,00</w:t>
            </w:r>
          </w:p>
        </w:tc>
      </w:tr>
      <w:tr w:rsidR="000D4306" w:rsidRPr="002878F9" w14:paraId="3F39693A" w14:textId="77777777" w:rsidTr="00600934">
        <w:trPr>
          <w:trHeight w:val="419"/>
          <w:jc w:val="center"/>
        </w:trPr>
        <w:tc>
          <w:tcPr>
            <w:tcW w:w="3807" w:type="pct"/>
            <w:tcBorders>
              <w:top w:val="nil"/>
              <w:left w:val="single" w:sz="4" w:space="0" w:color="auto"/>
              <w:bottom w:val="single" w:sz="4" w:space="0" w:color="auto"/>
              <w:right w:val="single" w:sz="4" w:space="0" w:color="auto"/>
            </w:tcBorders>
            <w:shd w:val="clear" w:color="auto" w:fill="auto"/>
            <w:noWrap/>
            <w:vAlign w:val="center"/>
            <w:hideMark/>
          </w:tcPr>
          <w:p w14:paraId="6C743CA3" w14:textId="77777777" w:rsidR="000D4306" w:rsidRPr="002878F9" w:rsidRDefault="000D4306" w:rsidP="00EA0375">
            <w:pPr>
              <w:jc w:val="center"/>
              <w:rPr>
                <w:rFonts w:ascii="Arial" w:eastAsia="Times New Roman" w:hAnsi="Arial" w:cs="Arial"/>
                <w:color w:val="000000"/>
                <w:sz w:val="18"/>
                <w:szCs w:val="18"/>
              </w:rPr>
            </w:pPr>
            <w:r w:rsidRPr="002878F9">
              <w:rPr>
                <w:rFonts w:ascii="Arial" w:eastAsia="Times New Roman" w:hAnsi="Arial" w:cs="Arial"/>
                <w:color w:val="000000"/>
                <w:sz w:val="18"/>
                <w:szCs w:val="18"/>
              </w:rPr>
              <w:t>Valutazione ex-post</w:t>
            </w:r>
          </w:p>
        </w:tc>
        <w:tc>
          <w:tcPr>
            <w:tcW w:w="1193" w:type="pct"/>
            <w:tcBorders>
              <w:top w:val="nil"/>
              <w:left w:val="nil"/>
              <w:bottom w:val="single" w:sz="4" w:space="0" w:color="auto"/>
              <w:right w:val="single" w:sz="4" w:space="0" w:color="auto"/>
            </w:tcBorders>
            <w:shd w:val="clear" w:color="auto" w:fill="auto"/>
            <w:noWrap/>
            <w:vAlign w:val="bottom"/>
            <w:hideMark/>
          </w:tcPr>
          <w:p w14:paraId="42472A95" w14:textId="77777777" w:rsidR="000D4306" w:rsidRPr="002878F9" w:rsidRDefault="000D4306" w:rsidP="00EA0375">
            <w:pPr>
              <w:jc w:val="center"/>
              <w:rPr>
                <w:rFonts w:ascii="Arial" w:eastAsia="Times New Roman" w:hAnsi="Arial" w:cs="Arial"/>
                <w:color w:val="000000"/>
                <w:sz w:val="18"/>
                <w:szCs w:val="18"/>
              </w:rPr>
            </w:pPr>
            <w:r w:rsidRPr="002878F9">
              <w:rPr>
                <w:rFonts w:ascii="Arial" w:eastAsia="Times New Roman" w:hAnsi="Arial" w:cs="Arial"/>
                <w:color w:val="000000"/>
                <w:sz w:val="18"/>
                <w:szCs w:val="18"/>
              </w:rPr>
              <w:t>196.360,00</w:t>
            </w:r>
          </w:p>
        </w:tc>
      </w:tr>
      <w:tr w:rsidR="000D4306" w:rsidRPr="002878F9" w14:paraId="3259F932" w14:textId="77777777" w:rsidTr="00600934">
        <w:trPr>
          <w:trHeight w:val="426"/>
          <w:jc w:val="center"/>
        </w:trPr>
        <w:tc>
          <w:tcPr>
            <w:tcW w:w="3807" w:type="pct"/>
            <w:tcBorders>
              <w:top w:val="nil"/>
              <w:left w:val="single" w:sz="4" w:space="0" w:color="auto"/>
              <w:bottom w:val="single" w:sz="4" w:space="0" w:color="auto"/>
              <w:right w:val="single" w:sz="4" w:space="0" w:color="auto"/>
            </w:tcBorders>
            <w:shd w:val="clear" w:color="auto" w:fill="auto"/>
            <w:noWrap/>
            <w:vAlign w:val="bottom"/>
            <w:hideMark/>
          </w:tcPr>
          <w:p w14:paraId="18869A68" w14:textId="77777777" w:rsidR="000D4306" w:rsidRPr="002878F9" w:rsidRDefault="000D4306" w:rsidP="00EA0375">
            <w:pPr>
              <w:jc w:val="center"/>
              <w:rPr>
                <w:rFonts w:ascii="Arial" w:eastAsia="Times New Roman" w:hAnsi="Arial" w:cs="Arial"/>
                <w:color w:val="000000"/>
                <w:sz w:val="18"/>
                <w:szCs w:val="18"/>
              </w:rPr>
            </w:pPr>
            <w:r w:rsidRPr="002878F9">
              <w:rPr>
                <w:rFonts w:ascii="Arial" w:eastAsia="Times New Roman" w:hAnsi="Arial" w:cs="Arial"/>
                <w:color w:val="000000"/>
                <w:sz w:val="18"/>
                <w:szCs w:val="18"/>
              </w:rPr>
              <w:t>Catalogo delle buone prassi</w:t>
            </w:r>
          </w:p>
        </w:tc>
        <w:tc>
          <w:tcPr>
            <w:tcW w:w="1193" w:type="pct"/>
            <w:tcBorders>
              <w:top w:val="nil"/>
              <w:left w:val="nil"/>
              <w:bottom w:val="single" w:sz="4" w:space="0" w:color="auto"/>
              <w:right w:val="single" w:sz="4" w:space="0" w:color="auto"/>
            </w:tcBorders>
            <w:shd w:val="clear" w:color="auto" w:fill="auto"/>
            <w:noWrap/>
            <w:vAlign w:val="bottom"/>
            <w:hideMark/>
          </w:tcPr>
          <w:p w14:paraId="7EDE546E" w14:textId="77777777" w:rsidR="000D4306" w:rsidRPr="002878F9" w:rsidRDefault="000D4306" w:rsidP="00EA0375">
            <w:pPr>
              <w:jc w:val="center"/>
              <w:rPr>
                <w:rFonts w:ascii="Arial" w:eastAsia="Times New Roman" w:hAnsi="Arial" w:cs="Arial"/>
                <w:color w:val="000000"/>
                <w:sz w:val="18"/>
                <w:szCs w:val="18"/>
              </w:rPr>
            </w:pPr>
            <w:r w:rsidRPr="002878F9">
              <w:rPr>
                <w:rFonts w:ascii="Arial" w:eastAsia="Times New Roman" w:hAnsi="Arial" w:cs="Arial"/>
                <w:color w:val="000000"/>
                <w:sz w:val="18"/>
                <w:szCs w:val="18"/>
              </w:rPr>
              <w:t>32.391,00</w:t>
            </w:r>
          </w:p>
        </w:tc>
      </w:tr>
      <w:tr w:rsidR="000D4306" w:rsidRPr="002878F9" w14:paraId="6681BD58" w14:textId="77777777" w:rsidTr="00600934">
        <w:trPr>
          <w:trHeight w:val="404"/>
          <w:jc w:val="center"/>
        </w:trPr>
        <w:tc>
          <w:tcPr>
            <w:tcW w:w="3807" w:type="pct"/>
            <w:tcBorders>
              <w:top w:val="nil"/>
              <w:left w:val="single" w:sz="4" w:space="0" w:color="auto"/>
              <w:bottom w:val="single" w:sz="4" w:space="0" w:color="auto"/>
              <w:right w:val="single" w:sz="4" w:space="0" w:color="auto"/>
            </w:tcBorders>
            <w:shd w:val="clear" w:color="auto" w:fill="auto"/>
            <w:noWrap/>
            <w:vAlign w:val="center"/>
            <w:hideMark/>
          </w:tcPr>
          <w:p w14:paraId="40B9C91B" w14:textId="77777777" w:rsidR="000D4306" w:rsidRPr="002878F9" w:rsidRDefault="000D4306" w:rsidP="00EA0375">
            <w:pPr>
              <w:jc w:val="center"/>
              <w:rPr>
                <w:rFonts w:ascii="Arial" w:eastAsia="Times New Roman" w:hAnsi="Arial" w:cs="Arial"/>
                <w:color w:val="000000"/>
                <w:sz w:val="18"/>
                <w:szCs w:val="18"/>
              </w:rPr>
            </w:pPr>
            <w:r w:rsidRPr="002878F9">
              <w:rPr>
                <w:rFonts w:ascii="Arial" w:eastAsia="Times New Roman" w:hAnsi="Arial" w:cs="Arial"/>
                <w:color w:val="000000"/>
                <w:sz w:val="18"/>
                <w:szCs w:val="18"/>
              </w:rPr>
              <w:t>Attività di coordinamento</w:t>
            </w:r>
          </w:p>
        </w:tc>
        <w:tc>
          <w:tcPr>
            <w:tcW w:w="1193" w:type="pct"/>
            <w:tcBorders>
              <w:top w:val="nil"/>
              <w:left w:val="nil"/>
              <w:bottom w:val="single" w:sz="4" w:space="0" w:color="auto"/>
              <w:right w:val="single" w:sz="4" w:space="0" w:color="auto"/>
            </w:tcBorders>
            <w:shd w:val="clear" w:color="auto" w:fill="auto"/>
            <w:noWrap/>
            <w:vAlign w:val="bottom"/>
            <w:hideMark/>
          </w:tcPr>
          <w:p w14:paraId="3264F7C3" w14:textId="77777777" w:rsidR="000D4306" w:rsidRPr="002878F9" w:rsidRDefault="000D4306" w:rsidP="00EA0375">
            <w:pPr>
              <w:jc w:val="center"/>
              <w:rPr>
                <w:rFonts w:ascii="Arial" w:eastAsia="Times New Roman" w:hAnsi="Arial" w:cs="Arial"/>
                <w:color w:val="000000"/>
                <w:sz w:val="18"/>
                <w:szCs w:val="18"/>
              </w:rPr>
            </w:pPr>
            <w:r w:rsidRPr="002878F9">
              <w:rPr>
                <w:rFonts w:ascii="Arial" w:eastAsia="Times New Roman" w:hAnsi="Arial" w:cs="Arial"/>
                <w:color w:val="000000"/>
                <w:sz w:val="18"/>
                <w:szCs w:val="18"/>
              </w:rPr>
              <w:t>128.792,00</w:t>
            </w:r>
          </w:p>
        </w:tc>
      </w:tr>
      <w:tr w:rsidR="004105BB" w:rsidRPr="002878F9" w14:paraId="00AB5C5F" w14:textId="77777777" w:rsidTr="004105BB">
        <w:trPr>
          <w:trHeight w:val="404"/>
          <w:jc w:val="center"/>
        </w:trPr>
        <w:tc>
          <w:tcPr>
            <w:tcW w:w="3807" w:type="pct"/>
            <w:tcBorders>
              <w:top w:val="nil"/>
              <w:left w:val="single" w:sz="4" w:space="0" w:color="auto"/>
              <w:bottom w:val="single" w:sz="4" w:space="0" w:color="auto"/>
              <w:right w:val="single" w:sz="4" w:space="0" w:color="auto"/>
            </w:tcBorders>
            <w:shd w:val="clear" w:color="auto" w:fill="auto"/>
            <w:noWrap/>
            <w:vAlign w:val="center"/>
          </w:tcPr>
          <w:p w14:paraId="4C1C0AA7" w14:textId="49035518" w:rsidR="004105BB" w:rsidRPr="00600934" w:rsidRDefault="004105BB" w:rsidP="00EA0375">
            <w:pPr>
              <w:jc w:val="center"/>
              <w:rPr>
                <w:rFonts w:ascii="Arial" w:eastAsia="Times New Roman" w:hAnsi="Arial" w:cs="Arial"/>
                <w:b/>
                <w:color w:val="000000"/>
              </w:rPr>
            </w:pPr>
            <w:r w:rsidRPr="00600934">
              <w:rPr>
                <w:rFonts w:ascii="Arial" w:eastAsia="Times New Roman" w:hAnsi="Arial" w:cs="Arial"/>
                <w:b/>
                <w:color w:val="000000"/>
              </w:rPr>
              <w:t xml:space="preserve">Totale </w:t>
            </w:r>
          </w:p>
        </w:tc>
        <w:tc>
          <w:tcPr>
            <w:tcW w:w="1193" w:type="pct"/>
            <w:tcBorders>
              <w:top w:val="nil"/>
              <w:left w:val="nil"/>
              <w:bottom w:val="single" w:sz="4" w:space="0" w:color="auto"/>
              <w:right w:val="single" w:sz="4" w:space="0" w:color="auto"/>
            </w:tcBorders>
            <w:shd w:val="clear" w:color="auto" w:fill="auto"/>
            <w:noWrap/>
            <w:vAlign w:val="bottom"/>
          </w:tcPr>
          <w:p w14:paraId="56F6AE3E" w14:textId="75DE79B8" w:rsidR="004105BB" w:rsidRPr="00600934" w:rsidRDefault="004105BB" w:rsidP="004105BB">
            <w:pPr>
              <w:jc w:val="center"/>
              <w:rPr>
                <w:rFonts w:ascii="Calibri" w:hAnsi="Calibri"/>
                <w:b/>
                <w:color w:val="000000"/>
                <w:sz w:val="22"/>
                <w:szCs w:val="22"/>
              </w:rPr>
            </w:pPr>
            <w:r w:rsidRPr="00600934">
              <w:rPr>
                <w:rFonts w:ascii="Calibri" w:hAnsi="Calibri"/>
                <w:b/>
                <w:color w:val="000000"/>
                <w:sz w:val="22"/>
                <w:szCs w:val="22"/>
              </w:rPr>
              <w:t>987</w:t>
            </w:r>
            <w:r>
              <w:rPr>
                <w:rFonts w:ascii="Calibri" w:hAnsi="Calibri"/>
                <w:b/>
                <w:color w:val="000000"/>
                <w:sz w:val="22"/>
                <w:szCs w:val="22"/>
              </w:rPr>
              <w:t>.</w:t>
            </w:r>
            <w:r w:rsidRPr="00600934">
              <w:rPr>
                <w:rFonts w:ascii="Calibri" w:hAnsi="Calibri"/>
                <w:b/>
                <w:color w:val="000000"/>
                <w:sz w:val="22"/>
                <w:szCs w:val="22"/>
              </w:rPr>
              <w:t>464</w:t>
            </w:r>
            <w:r>
              <w:rPr>
                <w:rFonts w:ascii="Calibri" w:hAnsi="Calibri"/>
                <w:b/>
                <w:color w:val="000000"/>
                <w:sz w:val="22"/>
                <w:szCs w:val="22"/>
              </w:rPr>
              <w:t>,00</w:t>
            </w:r>
          </w:p>
          <w:p w14:paraId="6AD17611" w14:textId="77777777" w:rsidR="004105BB" w:rsidRPr="002878F9" w:rsidRDefault="004105BB" w:rsidP="00EA0375">
            <w:pPr>
              <w:jc w:val="center"/>
              <w:rPr>
                <w:rFonts w:ascii="Arial" w:eastAsia="Times New Roman" w:hAnsi="Arial" w:cs="Arial"/>
                <w:color w:val="000000"/>
                <w:sz w:val="18"/>
                <w:szCs w:val="18"/>
              </w:rPr>
            </w:pPr>
          </w:p>
        </w:tc>
      </w:tr>
    </w:tbl>
    <w:p w14:paraId="3F9A3EED" w14:textId="77777777" w:rsidR="000D4306" w:rsidRPr="00AE49DA" w:rsidRDefault="000D4306" w:rsidP="000D4306">
      <w:pPr>
        <w:pStyle w:val="Titolo1"/>
        <w:contextualSpacing/>
      </w:pPr>
      <w:r>
        <w:t>C</w:t>
      </w:r>
      <w:r w:rsidRPr="00940FBF">
        <w:t>apitolato speciale descrittivo e prestazionale</w:t>
      </w:r>
    </w:p>
    <w:p w14:paraId="3DB305DE" w14:textId="77777777" w:rsidR="000D4306" w:rsidRDefault="000D4306" w:rsidP="000D4306">
      <w:pPr>
        <w:pStyle w:val="Default"/>
        <w:spacing w:after="120"/>
        <w:contextualSpacing/>
        <w:jc w:val="both"/>
        <w:rPr>
          <w:sz w:val="22"/>
          <w:szCs w:val="22"/>
          <w:lang w:eastAsia="en-US"/>
        </w:rPr>
      </w:pPr>
      <w:r>
        <w:rPr>
          <w:sz w:val="22"/>
          <w:szCs w:val="22"/>
          <w:lang w:eastAsia="en-US"/>
        </w:rPr>
        <w:t>Nella tabella sottostante sono riportate le caratteristiche (metodi e tecniche) dei prodotti e dei contenuti richiesti al valutatore indipendente del PSR Umbria 2014-2020 e rappresentano i requisiti minimi che i prodotti della valutazione devono contenere. In base alla tipologia di prodotto e alle necessità dell’AdG i metodi individuati sono:</w:t>
      </w:r>
      <w:r>
        <w:rPr>
          <w:sz w:val="22"/>
          <w:szCs w:val="22"/>
          <w:lang w:eastAsia="en-US"/>
        </w:rPr>
        <w:tab/>
      </w:r>
    </w:p>
    <w:p w14:paraId="17F4D856" w14:textId="77777777" w:rsidR="000D4306" w:rsidRDefault="000D4306" w:rsidP="000D4306">
      <w:pPr>
        <w:pStyle w:val="Default"/>
        <w:numPr>
          <w:ilvl w:val="0"/>
          <w:numId w:val="4"/>
        </w:numPr>
        <w:spacing w:after="120"/>
        <w:contextualSpacing/>
        <w:jc w:val="both"/>
        <w:rPr>
          <w:sz w:val="22"/>
          <w:szCs w:val="22"/>
          <w:lang w:eastAsia="en-US"/>
        </w:rPr>
      </w:pPr>
      <w:r>
        <w:rPr>
          <w:sz w:val="22"/>
          <w:szCs w:val="22"/>
          <w:lang w:eastAsia="en-US"/>
        </w:rPr>
        <w:t>Analitici con ricorso a fonti documentali;</w:t>
      </w:r>
    </w:p>
    <w:p w14:paraId="271C280C" w14:textId="77777777" w:rsidR="000D4306" w:rsidRDefault="000D4306" w:rsidP="000D4306">
      <w:pPr>
        <w:pStyle w:val="Default"/>
        <w:numPr>
          <w:ilvl w:val="0"/>
          <w:numId w:val="4"/>
        </w:numPr>
        <w:spacing w:after="120"/>
        <w:contextualSpacing/>
        <w:jc w:val="both"/>
        <w:rPr>
          <w:sz w:val="22"/>
          <w:szCs w:val="22"/>
          <w:lang w:eastAsia="en-US"/>
        </w:rPr>
      </w:pPr>
      <w:r>
        <w:rPr>
          <w:sz w:val="22"/>
          <w:szCs w:val="22"/>
          <w:lang w:eastAsia="en-US"/>
        </w:rPr>
        <w:t>Analitici con ricorso a fonti dirette;</w:t>
      </w:r>
    </w:p>
    <w:p w14:paraId="7E390ECD" w14:textId="77777777" w:rsidR="000D4306" w:rsidRDefault="000D4306" w:rsidP="000D4306">
      <w:pPr>
        <w:pStyle w:val="Default"/>
        <w:numPr>
          <w:ilvl w:val="0"/>
          <w:numId w:val="4"/>
        </w:numPr>
        <w:spacing w:after="120"/>
        <w:contextualSpacing/>
        <w:jc w:val="both"/>
        <w:rPr>
          <w:sz w:val="22"/>
          <w:szCs w:val="22"/>
          <w:lang w:eastAsia="en-US"/>
        </w:rPr>
      </w:pPr>
      <w:r>
        <w:rPr>
          <w:sz w:val="22"/>
          <w:szCs w:val="22"/>
          <w:lang w:eastAsia="en-US"/>
        </w:rPr>
        <w:t>Econometrici;</w:t>
      </w:r>
    </w:p>
    <w:p w14:paraId="6DF9C262" w14:textId="77777777" w:rsidR="000D4306" w:rsidRDefault="000D4306" w:rsidP="000D4306">
      <w:pPr>
        <w:pStyle w:val="Default"/>
        <w:numPr>
          <w:ilvl w:val="0"/>
          <w:numId w:val="4"/>
        </w:numPr>
        <w:spacing w:after="120"/>
        <w:contextualSpacing/>
        <w:jc w:val="both"/>
        <w:rPr>
          <w:sz w:val="22"/>
          <w:szCs w:val="22"/>
          <w:lang w:eastAsia="en-US"/>
        </w:rPr>
      </w:pPr>
      <w:r w:rsidRPr="009B045E">
        <w:rPr>
          <w:sz w:val="22"/>
          <w:szCs w:val="22"/>
          <w:lang w:eastAsia="en-US"/>
        </w:rPr>
        <w:t>Controfattuali</w:t>
      </w:r>
    </w:p>
    <w:p w14:paraId="21A329CE" w14:textId="77777777" w:rsidR="000D4306" w:rsidRDefault="000D4306" w:rsidP="000D4306">
      <w:pPr>
        <w:pStyle w:val="Default"/>
        <w:spacing w:after="120"/>
        <w:contextualSpacing/>
        <w:jc w:val="both"/>
        <w:rPr>
          <w:sz w:val="22"/>
          <w:szCs w:val="22"/>
          <w:lang w:eastAsia="en-US"/>
        </w:rPr>
      </w:pPr>
    </w:p>
    <w:p w14:paraId="0B879596" w14:textId="77777777" w:rsidR="000D4306" w:rsidRDefault="000D4306" w:rsidP="000D4306">
      <w:pPr>
        <w:pStyle w:val="Default"/>
        <w:spacing w:after="120"/>
        <w:contextualSpacing/>
        <w:jc w:val="both"/>
        <w:rPr>
          <w:b/>
          <w:sz w:val="22"/>
          <w:szCs w:val="22"/>
          <w:lang w:eastAsia="en-US"/>
        </w:rPr>
      </w:pPr>
      <w:r>
        <w:rPr>
          <w:b/>
          <w:sz w:val="22"/>
          <w:szCs w:val="22"/>
          <w:lang w:eastAsia="en-US"/>
        </w:rPr>
        <w:t>Metodi a</w:t>
      </w:r>
      <w:r w:rsidRPr="00670B9A">
        <w:rPr>
          <w:b/>
          <w:sz w:val="22"/>
          <w:szCs w:val="22"/>
          <w:lang w:eastAsia="en-US"/>
        </w:rPr>
        <w:t>nalitici con ricorso a fonti documentali</w:t>
      </w:r>
    </w:p>
    <w:p w14:paraId="6B82557C" w14:textId="77777777" w:rsidR="000D4306" w:rsidRPr="00B56D6D" w:rsidRDefault="000D4306" w:rsidP="000D4306">
      <w:pPr>
        <w:pStyle w:val="Default"/>
        <w:spacing w:after="120"/>
        <w:contextualSpacing/>
        <w:jc w:val="both"/>
        <w:rPr>
          <w:sz w:val="22"/>
          <w:szCs w:val="22"/>
          <w:lang w:eastAsia="en-US"/>
        </w:rPr>
      </w:pPr>
      <w:r>
        <w:rPr>
          <w:sz w:val="22"/>
          <w:szCs w:val="22"/>
          <w:lang w:eastAsia="en-US"/>
        </w:rPr>
        <w:t>Metodi basati su t</w:t>
      </w:r>
      <w:r w:rsidRPr="00B56D6D">
        <w:rPr>
          <w:sz w:val="22"/>
          <w:szCs w:val="22"/>
          <w:lang w:eastAsia="en-US"/>
        </w:rPr>
        <w:t xml:space="preserve">ecniche </w:t>
      </w:r>
      <w:r>
        <w:rPr>
          <w:sz w:val="22"/>
          <w:szCs w:val="22"/>
          <w:lang w:eastAsia="en-US"/>
        </w:rPr>
        <w:t>fondate</w:t>
      </w:r>
      <w:r w:rsidRPr="00B56D6D">
        <w:rPr>
          <w:sz w:val="22"/>
          <w:szCs w:val="22"/>
          <w:lang w:eastAsia="en-US"/>
        </w:rPr>
        <w:t xml:space="preserve"> sulla raccolta di</w:t>
      </w:r>
      <w:r>
        <w:rPr>
          <w:sz w:val="22"/>
          <w:szCs w:val="22"/>
          <w:lang w:eastAsia="en-US"/>
        </w:rPr>
        <w:t xml:space="preserve"> </w:t>
      </w:r>
      <w:r w:rsidRPr="00B56D6D">
        <w:rPr>
          <w:sz w:val="22"/>
          <w:szCs w:val="22"/>
          <w:lang w:eastAsia="en-US"/>
        </w:rPr>
        <w:t>dati secondari, tra cui:</w:t>
      </w:r>
      <w:r>
        <w:rPr>
          <w:sz w:val="22"/>
          <w:szCs w:val="22"/>
          <w:lang w:eastAsia="en-US"/>
        </w:rPr>
        <w:t xml:space="preserve"> </w:t>
      </w:r>
      <w:r w:rsidRPr="00B56D6D">
        <w:rPr>
          <w:sz w:val="22"/>
          <w:szCs w:val="22"/>
          <w:lang w:eastAsia="en-US"/>
        </w:rPr>
        <w:t>analisi di sistemi/database</w:t>
      </w:r>
      <w:r>
        <w:rPr>
          <w:sz w:val="22"/>
          <w:szCs w:val="22"/>
          <w:lang w:eastAsia="en-US"/>
        </w:rPr>
        <w:t xml:space="preserve"> </w:t>
      </w:r>
      <w:r w:rsidRPr="00B56D6D">
        <w:rPr>
          <w:sz w:val="22"/>
          <w:szCs w:val="22"/>
          <w:lang w:eastAsia="en-US"/>
        </w:rPr>
        <w:t>regionali/nazionali di</w:t>
      </w:r>
      <w:r>
        <w:rPr>
          <w:sz w:val="22"/>
          <w:szCs w:val="22"/>
          <w:lang w:eastAsia="en-US"/>
        </w:rPr>
        <w:t xml:space="preserve"> </w:t>
      </w:r>
      <w:r w:rsidRPr="00B56D6D">
        <w:rPr>
          <w:sz w:val="22"/>
          <w:szCs w:val="22"/>
          <w:lang w:eastAsia="en-US"/>
        </w:rPr>
        <w:t>monitoraggio; analisi della</w:t>
      </w:r>
      <w:r>
        <w:rPr>
          <w:sz w:val="22"/>
          <w:szCs w:val="22"/>
          <w:lang w:eastAsia="en-US"/>
        </w:rPr>
        <w:t xml:space="preserve"> </w:t>
      </w:r>
      <w:r w:rsidRPr="00B56D6D">
        <w:rPr>
          <w:sz w:val="22"/>
          <w:szCs w:val="22"/>
          <w:lang w:eastAsia="en-US"/>
        </w:rPr>
        <w:t>letteratura scientifica; analisi da</w:t>
      </w:r>
      <w:r>
        <w:rPr>
          <w:sz w:val="22"/>
          <w:szCs w:val="22"/>
          <w:lang w:eastAsia="en-US"/>
        </w:rPr>
        <w:t xml:space="preserve"> </w:t>
      </w:r>
      <w:r w:rsidRPr="00B56D6D">
        <w:rPr>
          <w:sz w:val="22"/>
          <w:szCs w:val="22"/>
          <w:lang w:eastAsia="en-US"/>
        </w:rPr>
        <w:t>fonti statistiche ufficiali e non</w:t>
      </w:r>
      <w:r>
        <w:rPr>
          <w:sz w:val="22"/>
          <w:szCs w:val="22"/>
          <w:lang w:eastAsia="en-US"/>
        </w:rPr>
        <w:t xml:space="preserve"> </w:t>
      </w:r>
      <w:r w:rsidRPr="00B56D6D">
        <w:rPr>
          <w:sz w:val="22"/>
          <w:szCs w:val="22"/>
          <w:lang w:eastAsia="en-US"/>
        </w:rPr>
        <w:t>ufficiali</w:t>
      </w:r>
      <w:r>
        <w:rPr>
          <w:sz w:val="22"/>
          <w:szCs w:val="22"/>
          <w:lang w:eastAsia="en-US"/>
        </w:rPr>
        <w:t xml:space="preserve">. </w:t>
      </w:r>
    </w:p>
    <w:p w14:paraId="02166685" w14:textId="77777777" w:rsidR="000D4306" w:rsidRDefault="000D4306" w:rsidP="000D4306">
      <w:pPr>
        <w:pStyle w:val="Default"/>
        <w:spacing w:after="120"/>
        <w:contextualSpacing/>
        <w:jc w:val="both"/>
        <w:rPr>
          <w:b/>
          <w:sz w:val="22"/>
          <w:szCs w:val="22"/>
          <w:lang w:eastAsia="en-US"/>
        </w:rPr>
      </w:pPr>
    </w:p>
    <w:p w14:paraId="3067A228" w14:textId="77777777" w:rsidR="000D4306" w:rsidRDefault="000D4306" w:rsidP="000D4306">
      <w:pPr>
        <w:pStyle w:val="Default"/>
        <w:spacing w:after="120"/>
        <w:contextualSpacing/>
        <w:jc w:val="both"/>
        <w:rPr>
          <w:b/>
          <w:sz w:val="22"/>
          <w:szCs w:val="22"/>
          <w:lang w:eastAsia="en-US"/>
        </w:rPr>
      </w:pPr>
      <w:r>
        <w:rPr>
          <w:b/>
          <w:sz w:val="22"/>
          <w:szCs w:val="22"/>
          <w:lang w:eastAsia="en-US"/>
        </w:rPr>
        <w:t>Metodi a</w:t>
      </w:r>
      <w:r w:rsidRPr="00670B9A">
        <w:rPr>
          <w:b/>
          <w:sz w:val="22"/>
          <w:szCs w:val="22"/>
          <w:lang w:eastAsia="en-US"/>
        </w:rPr>
        <w:t>nalitici con ricorso a fonti dirette</w:t>
      </w:r>
    </w:p>
    <w:p w14:paraId="12C4A7F6" w14:textId="77777777" w:rsidR="000D4306" w:rsidRPr="00B56D6D" w:rsidRDefault="000D4306" w:rsidP="000D4306">
      <w:pPr>
        <w:pStyle w:val="Default"/>
        <w:spacing w:after="120"/>
        <w:contextualSpacing/>
        <w:jc w:val="both"/>
        <w:rPr>
          <w:sz w:val="22"/>
          <w:szCs w:val="22"/>
          <w:lang w:eastAsia="en-US"/>
        </w:rPr>
      </w:pPr>
      <w:r w:rsidRPr="00B56D6D">
        <w:rPr>
          <w:sz w:val="22"/>
          <w:szCs w:val="22"/>
          <w:lang w:eastAsia="en-US"/>
        </w:rPr>
        <w:t>Metodi ba</w:t>
      </w:r>
      <w:r>
        <w:rPr>
          <w:sz w:val="22"/>
          <w:szCs w:val="22"/>
          <w:lang w:eastAsia="en-US"/>
        </w:rPr>
        <w:t>sati su due tipologie di tecniche</w:t>
      </w:r>
      <w:r w:rsidRPr="00B56D6D">
        <w:rPr>
          <w:sz w:val="22"/>
          <w:szCs w:val="22"/>
          <w:lang w:eastAsia="en-US"/>
        </w:rPr>
        <w:t>:</w:t>
      </w:r>
    </w:p>
    <w:p w14:paraId="1D6C412A" w14:textId="77777777" w:rsidR="000D4306" w:rsidRPr="008106C5" w:rsidRDefault="000D4306" w:rsidP="00C04AC2">
      <w:pPr>
        <w:widowControl w:val="0"/>
        <w:autoSpaceDE w:val="0"/>
        <w:autoSpaceDN w:val="0"/>
        <w:adjustRightInd w:val="0"/>
        <w:jc w:val="both"/>
        <w:rPr>
          <w:rFonts w:ascii="Arial" w:eastAsia="Times New Roman" w:hAnsi="Arial" w:cs="Arial"/>
          <w:color w:val="000000"/>
          <w:sz w:val="22"/>
          <w:szCs w:val="22"/>
          <w:lang w:eastAsia="en-US"/>
        </w:rPr>
      </w:pPr>
      <w:r w:rsidRPr="008106C5">
        <w:rPr>
          <w:rFonts w:ascii="Arial" w:eastAsia="Times New Roman" w:hAnsi="Arial" w:cs="Arial"/>
          <w:color w:val="000000"/>
          <w:sz w:val="22"/>
          <w:szCs w:val="22"/>
          <w:lang w:eastAsia="en-US"/>
        </w:rPr>
        <w:t>- Tecniche basate sulla raccolta di</w:t>
      </w:r>
      <w:r>
        <w:rPr>
          <w:rFonts w:ascii="Arial" w:eastAsia="Times New Roman" w:hAnsi="Arial" w:cs="Arial"/>
          <w:color w:val="000000"/>
          <w:sz w:val="22"/>
          <w:szCs w:val="22"/>
          <w:lang w:eastAsia="en-US"/>
        </w:rPr>
        <w:t xml:space="preserve"> </w:t>
      </w:r>
      <w:r w:rsidRPr="008106C5">
        <w:rPr>
          <w:rFonts w:ascii="Arial" w:eastAsia="Times New Roman" w:hAnsi="Arial" w:cs="Arial"/>
          <w:color w:val="000000"/>
          <w:sz w:val="22"/>
          <w:szCs w:val="22"/>
          <w:lang w:eastAsia="en-US"/>
        </w:rPr>
        <w:t>dati primari (di tipo</w:t>
      </w:r>
      <w:r>
        <w:rPr>
          <w:rFonts w:ascii="Arial" w:eastAsia="Times New Roman" w:hAnsi="Arial" w:cs="Arial"/>
          <w:color w:val="000000"/>
          <w:sz w:val="22"/>
          <w:szCs w:val="22"/>
          <w:lang w:eastAsia="en-US"/>
        </w:rPr>
        <w:t xml:space="preserve"> </w:t>
      </w:r>
      <w:r w:rsidRPr="008106C5">
        <w:rPr>
          <w:rFonts w:ascii="Arial" w:eastAsia="Times New Roman" w:hAnsi="Arial" w:cs="Arial"/>
          <w:color w:val="000000"/>
          <w:sz w:val="22"/>
          <w:szCs w:val="22"/>
          <w:lang w:eastAsia="en-US"/>
        </w:rPr>
        <w:t xml:space="preserve">campionario): </w:t>
      </w:r>
      <w:proofErr w:type="spellStart"/>
      <w:r w:rsidRPr="008106C5">
        <w:rPr>
          <w:rFonts w:ascii="Arial" w:eastAsia="Times New Roman" w:hAnsi="Arial" w:cs="Arial"/>
          <w:color w:val="000000"/>
          <w:sz w:val="22"/>
          <w:szCs w:val="22"/>
          <w:lang w:eastAsia="en-US"/>
        </w:rPr>
        <w:t>survey</w:t>
      </w:r>
      <w:proofErr w:type="spellEnd"/>
      <w:r w:rsidRPr="008106C5">
        <w:rPr>
          <w:rFonts w:ascii="Arial" w:eastAsia="Times New Roman" w:hAnsi="Arial" w:cs="Arial"/>
          <w:color w:val="000000"/>
          <w:sz w:val="22"/>
          <w:szCs w:val="22"/>
          <w:lang w:eastAsia="en-US"/>
        </w:rPr>
        <w:t xml:space="preserve"> con</w:t>
      </w:r>
      <w:r>
        <w:rPr>
          <w:rFonts w:ascii="Arial" w:eastAsia="Times New Roman" w:hAnsi="Arial" w:cs="Arial"/>
          <w:color w:val="000000"/>
          <w:sz w:val="22"/>
          <w:szCs w:val="22"/>
          <w:lang w:eastAsia="en-US"/>
        </w:rPr>
        <w:t xml:space="preserve"> </w:t>
      </w:r>
      <w:r w:rsidRPr="008106C5">
        <w:rPr>
          <w:rFonts w:ascii="Arial" w:eastAsia="Times New Roman" w:hAnsi="Arial" w:cs="Arial"/>
          <w:color w:val="000000"/>
          <w:sz w:val="22"/>
          <w:szCs w:val="22"/>
          <w:lang w:eastAsia="en-US"/>
        </w:rPr>
        <w:t>questionario strutturato o</w:t>
      </w:r>
      <w:r>
        <w:rPr>
          <w:rFonts w:ascii="Arial" w:eastAsia="Times New Roman" w:hAnsi="Arial" w:cs="Arial"/>
          <w:color w:val="000000"/>
          <w:sz w:val="22"/>
          <w:szCs w:val="22"/>
          <w:lang w:eastAsia="en-US"/>
        </w:rPr>
        <w:t xml:space="preserve"> </w:t>
      </w:r>
      <w:proofErr w:type="spellStart"/>
      <w:r w:rsidRPr="008106C5">
        <w:rPr>
          <w:rFonts w:ascii="Arial" w:eastAsia="Times New Roman" w:hAnsi="Arial" w:cs="Arial"/>
          <w:color w:val="000000"/>
          <w:sz w:val="22"/>
          <w:szCs w:val="22"/>
          <w:lang w:eastAsia="en-US"/>
        </w:rPr>
        <w:t>semistrutturato</w:t>
      </w:r>
      <w:proofErr w:type="spellEnd"/>
      <w:r w:rsidRPr="008106C5">
        <w:rPr>
          <w:rFonts w:ascii="Arial" w:eastAsia="Times New Roman" w:hAnsi="Arial" w:cs="Arial"/>
          <w:color w:val="000000"/>
          <w:sz w:val="22"/>
          <w:szCs w:val="22"/>
          <w:lang w:eastAsia="en-US"/>
        </w:rPr>
        <w:t xml:space="preserve"> da svolgere con</w:t>
      </w:r>
      <w:r>
        <w:rPr>
          <w:rFonts w:ascii="Arial" w:eastAsia="Times New Roman" w:hAnsi="Arial" w:cs="Arial"/>
          <w:color w:val="000000"/>
          <w:sz w:val="22"/>
          <w:szCs w:val="22"/>
          <w:lang w:eastAsia="en-US"/>
        </w:rPr>
        <w:t xml:space="preserve"> </w:t>
      </w:r>
      <w:r w:rsidRPr="008106C5">
        <w:rPr>
          <w:rFonts w:ascii="Arial" w:hAnsi="Arial" w:cs="Arial"/>
          <w:sz w:val="22"/>
          <w:szCs w:val="22"/>
          <w:lang w:eastAsia="en-US"/>
        </w:rPr>
        <w:t>metodo CATI, CASI o CAWI</w:t>
      </w:r>
    </w:p>
    <w:p w14:paraId="4BAD5FB4" w14:textId="77777777" w:rsidR="000D4306" w:rsidRPr="001761C3" w:rsidRDefault="000D4306" w:rsidP="00C04AC2">
      <w:pPr>
        <w:widowControl w:val="0"/>
        <w:autoSpaceDE w:val="0"/>
        <w:autoSpaceDN w:val="0"/>
        <w:adjustRightInd w:val="0"/>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 </w:t>
      </w:r>
      <w:r w:rsidRPr="008106C5">
        <w:rPr>
          <w:rFonts w:ascii="Arial" w:eastAsia="Times New Roman" w:hAnsi="Arial" w:cs="Arial"/>
          <w:color w:val="000000"/>
          <w:sz w:val="22"/>
          <w:szCs w:val="22"/>
          <w:lang w:eastAsia="en-US"/>
        </w:rPr>
        <w:t>Tecniche basate sulla raccolta di</w:t>
      </w:r>
      <w:r>
        <w:rPr>
          <w:rFonts w:ascii="Arial" w:eastAsia="Times New Roman" w:hAnsi="Arial" w:cs="Arial"/>
          <w:color w:val="000000"/>
          <w:sz w:val="22"/>
          <w:szCs w:val="22"/>
          <w:lang w:eastAsia="en-US"/>
        </w:rPr>
        <w:t xml:space="preserve"> </w:t>
      </w:r>
      <w:r w:rsidRPr="008106C5">
        <w:rPr>
          <w:rFonts w:ascii="Arial" w:eastAsia="Times New Roman" w:hAnsi="Arial" w:cs="Arial"/>
          <w:color w:val="000000"/>
          <w:sz w:val="22"/>
          <w:szCs w:val="22"/>
          <w:lang w:eastAsia="en-US"/>
        </w:rPr>
        <w:t>dati primari e/o di tipo</w:t>
      </w:r>
      <w:r>
        <w:rPr>
          <w:rFonts w:ascii="Arial" w:eastAsia="Times New Roman" w:hAnsi="Arial" w:cs="Arial"/>
          <w:color w:val="000000"/>
          <w:sz w:val="22"/>
          <w:szCs w:val="22"/>
          <w:lang w:eastAsia="en-US"/>
        </w:rPr>
        <w:t xml:space="preserve"> </w:t>
      </w:r>
      <w:r w:rsidRPr="008106C5">
        <w:rPr>
          <w:rFonts w:ascii="Arial" w:eastAsia="Times New Roman" w:hAnsi="Arial" w:cs="Arial"/>
          <w:color w:val="000000"/>
          <w:sz w:val="22"/>
          <w:szCs w:val="22"/>
          <w:lang w:eastAsia="en-US"/>
        </w:rPr>
        <w:t>partecipativo tra cui: focus</w:t>
      </w:r>
      <w:r>
        <w:rPr>
          <w:rFonts w:ascii="Arial" w:eastAsia="Times New Roman" w:hAnsi="Arial" w:cs="Arial"/>
          <w:color w:val="000000"/>
          <w:sz w:val="22"/>
          <w:szCs w:val="22"/>
          <w:lang w:eastAsia="en-US"/>
        </w:rPr>
        <w:t xml:space="preserve"> </w:t>
      </w:r>
      <w:proofErr w:type="spellStart"/>
      <w:r w:rsidRPr="008106C5">
        <w:rPr>
          <w:rFonts w:ascii="Arial" w:eastAsia="Times New Roman" w:hAnsi="Arial" w:cs="Arial"/>
          <w:color w:val="000000"/>
          <w:sz w:val="22"/>
          <w:szCs w:val="22"/>
          <w:lang w:eastAsia="en-US"/>
        </w:rPr>
        <w:t>group</w:t>
      </w:r>
      <w:proofErr w:type="spellEnd"/>
      <w:r w:rsidRPr="008106C5">
        <w:rPr>
          <w:rFonts w:ascii="Arial" w:eastAsia="Times New Roman" w:hAnsi="Arial" w:cs="Arial"/>
          <w:color w:val="000000"/>
          <w:sz w:val="22"/>
          <w:szCs w:val="22"/>
          <w:lang w:eastAsia="en-US"/>
        </w:rPr>
        <w:t>, brainstorming valutativo,</w:t>
      </w:r>
      <w:r>
        <w:rPr>
          <w:rFonts w:ascii="Arial" w:eastAsia="Times New Roman" w:hAnsi="Arial" w:cs="Arial"/>
          <w:color w:val="000000"/>
          <w:sz w:val="22"/>
          <w:szCs w:val="22"/>
          <w:lang w:eastAsia="en-US"/>
        </w:rPr>
        <w:t xml:space="preserve"> </w:t>
      </w:r>
      <w:proofErr w:type="spellStart"/>
      <w:r w:rsidRPr="008106C5">
        <w:rPr>
          <w:rFonts w:ascii="Arial" w:eastAsia="Times New Roman" w:hAnsi="Arial" w:cs="Arial"/>
          <w:color w:val="000000"/>
          <w:sz w:val="22"/>
          <w:szCs w:val="22"/>
          <w:lang w:eastAsia="en-US"/>
        </w:rPr>
        <w:t>Delphi</w:t>
      </w:r>
      <w:proofErr w:type="spellEnd"/>
      <w:r w:rsidRPr="008106C5">
        <w:rPr>
          <w:rFonts w:ascii="Arial" w:eastAsia="Times New Roman" w:hAnsi="Arial" w:cs="Arial"/>
          <w:color w:val="000000"/>
          <w:sz w:val="22"/>
          <w:szCs w:val="22"/>
          <w:lang w:eastAsia="en-US"/>
        </w:rPr>
        <w:t xml:space="preserve">, </w:t>
      </w:r>
      <w:proofErr w:type="spellStart"/>
      <w:r w:rsidRPr="008106C5">
        <w:rPr>
          <w:rFonts w:ascii="Arial" w:eastAsia="Times New Roman" w:hAnsi="Arial" w:cs="Arial"/>
          <w:color w:val="000000"/>
          <w:sz w:val="22"/>
          <w:szCs w:val="22"/>
          <w:lang w:eastAsia="en-US"/>
        </w:rPr>
        <w:t>Nominal</w:t>
      </w:r>
      <w:proofErr w:type="spellEnd"/>
      <w:r w:rsidRPr="008106C5">
        <w:rPr>
          <w:rFonts w:ascii="Arial" w:eastAsia="Times New Roman" w:hAnsi="Arial" w:cs="Arial"/>
          <w:color w:val="000000"/>
          <w:sz w:val="22"/>
          <w:szCs w:val="22"/>
          <w:lang w:eastAsia="en-US"/>
        </w:rPr>
        <w:t xml:space="preserve"> Group</w:t>
      </w:r>
      <w:r>
        <w:rPr>
          <w:rFonts w:ascii="Arial" w:eastAsia="Times New Roman" w:hAnsi="Arial" w:cs="Arial"/>
          <w:color w:val="000000"/>
          <w:sz w:val="22"/>
          <w:szCs w:val="22"/>
          <w:lang w:eastAsia="en-US"/>
        </w:rPr>
        <w:t xml:space="preserve"> </w:t>
      </w:r>
      <w:proofErr w:type="spellStart"/>
      <w:r w:rsidRPr="008106C5">
        <w:rPr>
          <w:rFonts w:ascii="Arial" w:eastAsia="Times New Roman" w:hAnsi="Arial" w:cs="Arial"/>
          <w:color w:val="000000"/>
          <w:sz w:val="22"/>
          <w:szCs w:val="22"/>
          <w:lang w:eastAsia="en-US"/>
        </w:rPr>
        <w:t>Technique</w:t>
      </w:r>
      <w:proofErr w:type="spellEnd"/>
      <w:r w:rsidRPr="008106C5">
        <w:rPr>
          <w:rFonts w:ascii="Arial" w:eastAsia="Times New Roman" w:hAnsi="Arial" w:cs="Arial"/>
          <w:color w:val="000000"/>
          <w:sz w:val="22"/>
          <w:szCs w:val="22"/>
          <w:lang w:eastAsia="en-US"/>
        </w:rPr>
        <w:t xml:space="preserve">, </w:t>
      </w:r>
      <w:proofErr w:type="spellStart"/>
      <w:r w:rsidRPr="008106C5">
        <w:rPr>
          <w:rFonts w:ascii="Arial" w:eastAsia="Times New Roman" w:hAnsi="Arial" w:cs="Arial"/>
          <w:color w:val="000000"/>
          <w:sz w:val="22"/>
          <w:szCs w:val="22"/>
          <w:lang w:eastAsia="en-US"/>
        </w:rPr>
        <w:t>check</w:t>
      </w:r>
      <w:proofErr w:type="spellEnd"/>
      <w:r w:rsidRPr="008106C5">
        <w:rPr>
          <w:rFonts w:ascii="Arial" w:eastAsia="Times New Roman" w:hAnsi="Arial" w:cs="Arial"/>
          <w:color w:val="000000"/>
          <w:sz w:val="22"/>
          <w:szCs w:val="22"/>
          <w:lang w:eastAsia="en-US"/>
        </w:rPr>
        <w:t>-list, Social</w:t>
      </w:r>
      <w:r>
        <w:rPr>
          <w:rFonts w:ascii="Arial" w:eastAsia="Times New Roman" w:hAnsi="Arial" w:cs="Arial"/>
          <w:color w:val="000000"/>
          <w:sz w:val="22"/>
          <w:szCs w:val="22"/>
          <w:lang w:eastAsia="en-US"/>
        </w:rPr>
        <w:t xml:space="preserve"> </w:t>
      </w:r>
      <w:r w:rsidRPr="008106C5">
        <w:rPr>
          <w:rFonts w:ascii="Arial" w:hAnsi="Arial" w:cs="Arial"/>
          <w:sz w:val="22"/>
          <w:szCs w:val="22"/>
          <w:lang w:eastAsia="en-US"/>
        </w:rPr>
        <w:t>network analysis</w:t>
      </w:r>
    </w:p>
    <w:p w14:paraId="2F60CD3E" w14:textId="77777777" w:rsidR="000D4306" w:rsidRPr="008106C5" w:rsidRDefault="000D4306" w:rsidP="000D4306">
      <w:pPr>
        <w:widowControl w:val="0"/>
        <w:autoSpaceDE w:val="0"/>
        <w:autoSpaceDN w:val="0"/>
        <w:adjustRightInd w:val="0"/>
        <w:rPr>
          <w:rFonts w:ascii="Arial" w:eastAsia="Times New Roman" w:hAnsi="Arial" w:cs="Arial"/>
          <w:color w:val="000000"/>
          <w:sz w:val="22"/>
          <w:szCs w:val="22"/>
          <w:lang w:eastAsia="en-US"/>
        </w:rPr>
      </w:pPr>
      <w:r>
        <w:rPr>
          <w:rFonts w:ascii="Arial" w:hAnsi="Arial" w:cs="Arial"/>
          <w:sz w:val="22"/>
          <w:szCs w:val="22"/>
          <w:lang w:eastAsia="en-US"/>
        </w:rPr>
        <w:t>- Casi studio</w:t>
      </w:r>
    </w:p>
    <w:p w14:paraId="2FAE8A55" w14:textId="77777777" w:rsidR="000D4306" w:rsidRDefault="000D4306" w:rsidP="000D4306">
      <w:pPr>
        <w:pStyle w:val="Default"/>
        <w:spacing w:after="120"/>
        <w:contextualSpacing/>
        <w:jc w:val="both"/>
        <w:rPr>
          <w:b/>
          <w:sz w:val="22"/>
          <w:szCs w:val="22"/>
          <w:lang w:eastAsia="en-US"/>
        </w:rPr>
      </w:pPr>
    </w:p>
    <w:p w14:paraId="55FDAB4E" w14:textId="77777777" w:rsidR="000D4306" w:rsidRPr="00BF19D7" w:rsidRDefault="000D4306" w:rsidP="000D4306">
      <w:pPr>
        <w:pStyle w:val="Default"/>
        <w:spacing w:after="120"/>
        <w:contextualSpacing/>
        <w:jc w:val="both"/>
        <w:rPr>
          <w:b/>
          <w:sz w:val="22"/>
          <w:szCs w:val="22"/>
          <w:lang w:eastAsia="en-US"/>
        </w:rPr>
      </w:pPr>
      <w:r>
        <w:rPr>
          <w:b/>
          <w:sz w:val="22"/>
          <w:szCs w:val="22"/>
          <w:lang w:eastAsia="en-US"/>
        </w:rPr>
        <w:t>Metodi econometrici</w:t>
      </w:r>
      <w:r>
        <w:rPr>
          <w:b/>
          <w:sz w:val="22"/>
          <w:szCs w:val="22"/>
          <w:lang w:eastAsia="en-US"/>
        </w:rPr>
        <w:tab/>
      </w:r>
      <w:r>
        <w:rPr>
          <w:b/>
          <w:sz w:val="22"/>
          <w:szCs w:val="22"/>
          <w:lang w:eastAsia="en-US"/>
        </w:rPr>
        <w:br/>
      </w:r>
      <w:r w:rsidRPr="00A60C58">
        <w:rPr>
          <w:sz w:val="22"/>
          <w:szCs w:val="22"/>
          <w:lang w:eastAsia="en-US"/>
        </w:rPr>
        <w:t>Applica</w:t>
      </w:r>
      <w:r>
        <w:rPr>
          <w:sz w:val="22"/>
          <w:szCs w:val="22"/>
          <w:lang w:eastAsia="en-US"/>
        </w:rPr>
        <w:t>zione di tecniche tra le quali:</w:t>
      </w:r>
      <w:r w:rsidRPr="00A60C58">
        <w:rPr>
          <w:sz w:val="22"/>
          <w:szCs w:val="22"/>
          <w:lang w:eastAsia="en-US"/>
        </w:rPr>
        <w:t xml:space="preserve"> AMC; ACB; analisi di scenario; tecniche di data </w:t>
      </w:r>
      <w:proofErr w:type="spellStart"/>
      <w:r w:rsidRPr="00A60C58">
        <w:rPr>
          <w:sz w:val="22"/>
          <w:szCs w:val="22"/>
          <w:lang w:eastAsia="en-US"/>
        </w:rPr>
        <w:t>mining</w:t>
      </w:r>
      <w:proofErr w:type="spellEnd"/>
      <w:r w:rsidRPr="00A60C58">
        <w:rPr>
          <w:sz w:val="22"/>
          <w:szCs w:val="22"/>
          <w:lang w:eastAsia="en-US"/>
        </w:rPr>
        <w:t xml:space="preserve">; model drive agent; </w:t>
      </w:r>
      <w:proofErr w:type="spellStart"/>
      <w:r w:rsidRPr="00A60C58">
        <w:rPr>
          <w:sz w:val="22"/>
          <w:szCs w:val="22"/>
          <w:lang w:eastAsia="en-US"/>
        </w:rPr>
        <w:t>spatial</w:t>
      </w:r>
      <w:proofErr w:type="spellEnd"/>
      <w:r w:rsidRPr="00A60C58">
        <w:rPr>
          <w:sz w:val="22"/>
          <w:szCs w:val="22"/>
          <w:lang w:eastAsia="en-US"/>
        </w:rPr>
        <w:t xml:space="preserve"> </w:t>
      </w:r>
      <w:proofErr w:type="spellStart"/>
      <w:r w:rsidRPr="00A60C58">
        <w:rPr>
          <w:sz w:val="22"/>
          <w:szCs w:val="22"/>
          <w:lang w:eastAsia="en-US"/>
        </w:rPr>
        <w:t>analysis</w:t>
      </w:r>
      <w:proofErr w:type="spellEnd"/>
      <w:r>
        <w:rPr>
          <w:sz w:val="22"/>
          <w:szCs w:val="22"/>
          <w:lang w:eastAsia="en-US"/>
        </w:rPr>
        <w:t>.</w:t>
      </w:r>
    </w:p>
    <w:p w14:paraId="7FA1B3A9" w14:textId="77777777" w:rsidR="000D4306" w:rsidRDefault="000D4306" w:rsidP="000D4306">
      <w:pPr>
        <w:pStyle w:val="Default"/>
        <w:spacing w:after="120"/>
        <w:contextualSpacing/>
        <w:jc w:val="both"/>
        <w:rPr>
          <w:b/>
          <w:sz w:val="22"/>
          <w:szCs w:val="22"/>
          <w:lang w:eastAsia="en-US"/>
        </w:rPr>
      </w:pPr>
    </w:p>
    <w:p w14:paraId="797662E9" w14:textId="77777777" w:rsidR="000D4306" w:rsidRPr="00DC3121" w:rsidRDefault="000D4306" w:rsidP="000D4306">
      <w:pPr>
        <w:pStyle w:val="Default"/>
        <w:spacing w:after="120"/>
        <w:contextualSpacing/>
        <w:jc w:val="both"/>
        <w:rPr>
          <w:b/>
          <w:sz w:val="22"/>
          <w:szCs w:val="22"/>
          <w:lang w:eastAsia="en-US"/>
        </w:rPr>
      </w:pPr>
      <w:r>
        <w:rPr>
          <w:b/>
          <w:sz w:val="22"/>
          <w:szCs w:val="22"/>
          <w:lang w:eastAsia="en-US"/>
        </w:rPr>
        <w:t>Metodi c</w:t>
      </w:r>
      <w:r w:rsidRPr="00670B9A">
        <w:rPr>
          <w:b/>
          <w:sz w:val="22"/>
          <w:szCs w:val="22"/>
          <w:lang w:eastAsia="en-US"/>
        </w:rPr>
        <w:t>ontrofattuali</w:t>
      </w:r>
      <w:r>
        <w:rPr>
          <w:b/>
          <w:sz w:val="22"/>
          <w:szCs w:val="22"/>
          <w:lang w:eastAsia="en-US"/>
        </w:rPr>
        <w:tab/>
      </w:r>
      <w:r>
        <w:rPr>
          <w:b/>
          <w:sz w:val="22"/>
          <w:szCs w:val="22"/>
          <w:lang w:eastAsia="en-US"/>
        </w:rPr>
        <w:br/>
      </w:r>
      <w:r w:rsidRPr="00DC3121">
        <w:rPr>
          <w:sz w:val="22"/>
          <w:szCs w:val="22"/>
          <w:lang w:eastAsia="en-US"/>
        </w:rPr>
        <w:t xml:space="preserve">Disegno dell’indagine ed applicazione tecniche basate su metodi non sperimentali (prevalenti): </w:t>
      </w:r>
      <w:proofErr w:type="spellStart"/>
      <w:r w:rsidRPr="00DC3121">
        <w:rPr>
          <w:sz w:val="22"/>
          <w:szCs w:val="22"/>
          <w:lang w:eastAsia="en-US"/>
        </w:rPr>
        <w:t>difference</w:t>
      </w:r>
      <w:proofErr w:type="spellEnd"/>
      <w:r w:rsidRPr="00DC3121">
        <w:rPr>
          <w:sz w:val="22"/>
          <w:szCs w:val="22"/>
          <w:lang w:eastAsia="en-US"/>
        </w:rPr>
        <w:t>-in-</w:t>
      </w:r>
      <w:proofErr w:type="spellStart"/>
      <w:r w:rsidRPr="00DC3121">
        <w:rPr>
          <w:sz w:val="22"/>
          <w:szCs w:val="22"/>
          <w:lang w:eastAsia="en-US"/>
        </w:rPr>
        <w:t>difference</w:t>
      </w:r>
      <w:proofErr w:type="spellEnd"/>
      <w:r w:rsidRPr="00DC3121">
        <w:rPr>
          <w:sz w:val="22"/>
          <w:szCs w:val="22"/>
          <w:lang w:eastAsia="en-US"/>
        </w:rPr>
        <w:t xml:space="preserve">; analisi di regressione; </w:t>
      </w:r>
      <w:proofErr w:type="spellStart"/>
      <w:r w:rsidRPr="00DC3121">
        <w:rPr>
          <w:sz w:val="22"/>
          <w:szCs w:val="22"/>
          <w:lang w:eastAsia="en-US"/>
        </w:rPr>
        <w:t>statistical</w:t>
      </w:r>
      <w:proofErr w:type="spellEnd"/>
      <w:r w:rsidRPr="00DC3121">
        <w:rPr>
          <w:sz w:val="22"/>
          <w:szCs w:val="22"/>
          <w:lang w:eastAsia="en-US"/>
        </w:rPr>
        <w:t xml:space="preserve"> </w:t>
      </w:r>
      <w:proofErr w:type="spellStart"/>
      <w:r w:rsidRPr="00DC3121">
        <w:rPr>
          <w:sz w:val="22"/>
          <w:szCs w:val="22"/>
          <w:lang w:eastAsia="en-US"/>
        </w:rPr>
        <w:t>matching</w:t>
      </w:r>
      <w:proofErr w:type="spellEnd"/>
      <w:r>
        <w:rPr>
          <w:sz w:val="22"/>
          <w:szCs w:val="22"/>
          <w:lang w:eastAsia="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4"/>
        <w:gridCol w:w="2410"/>
        <w:gridCol w:w="2836"/>
        <w:gridCol w:w="2472"/>
      </w:tblGrid>
      <w:tr w:rsidR="000D4306" w:rsidRPr="00F065C8" w14:paraId="1C5EF1F3" w14:textId="77777777" w:rsidTr="00EA0375">
        <w:trPr>
          <w:trHeight w:val="300"/>
        </w:trPr>
        <w:tc>
          <w:tcPr>
            <w:tcW w:w="1051" w:type="pct"/>
            <w:shd w:val="clear" w:color="auto" w:fill="auto"/>
            <w:noWrap/>
            <w:vAlign w:val="bottom"/>
          </w:tcPr>
          <w:p w14:paraId="4DBD830C" w14:textId="77777777" w:rsidR="000D4306" w:rsidRPr="00F065C8" w:rsidRDefault="000D4306" w:rsidP="00EA0375">
            <w:pPr>
              <w:jc w:val="center"/>
              <w:rPr>
                <w:rFonts w:ascii="Arial" w:eastAsia="Times New Roman" w:hAnsi="Arial" w:cs="Arial"/>
                <w:color w:val="000000"/>
                <w:sz w:val="16"/>
                <w:szCs w:val="16"/>
              </w:rPr>
            </w:pPr>
            <w:r>
              <w:rPr>
                <w:rFonts w:ascii="Arial" w:eastAsia="Times New Roman" w:hAnsi="Arial" w:cs="Arial"/>
                <w:color w:val="000000"/>
                <w:sz w:val="16"/>
                <w:szCs w:val="16"/>
              </w:rPr>
              <w:t>Prodotto</w:t>
            </w:r>
          </w:p>
        </w:tc>
        <w:tc>
          <w:tcPr>
            <w:tcW w:w="1233" w:type="pct"/>
            <w:shd w:val="clear" w:color="auto" w:fill="auto"/>
            <w:vAlign w:val="bottom"/>
          </w:tcPr>
          <w:p w14:paraId="7A594DAE" w14:textId="77777777" w:rsidR="000D4306" w:rsidRPr="00F065C8" w:rsidRDefault="000D4306" w:rsidP="00EA0375">
            <w:pPr>
              <w:jc w:val="center"/>
              <w:rPr>
                <w:rFonts w:ascii="Arial" w:eastAsia="Times New Roman" w:hAnsi="Arial" w:cs="Arial"/>
                <w:color w:val="000000"/>
                <w:sz w:val="16"/>
                <w:szCs w:val="16"/>
              </w:rPr>
            </w:pPr>
            <w:r>
              <w:rPr>
                <w:rFonts w:ascii="Arial" w:eastAsia="Times New Roman" w:hAnsi="Arial" w:cs="Arial"/>
                <w:color w:val="000000"/>
                <w:sz w:val="16"/>
                <w:szCs w:val="16"/>
              </w:rPr>
              <w:t>Contenuti</w:t>
            </w:r>
          </w:p>
        </w:tc>
        <w:tc>
          <w:tcPr>
            <w:tcW w:w="1451" w:type="pct"/>
            <w:shd w:val="clear" w:color="auto" w:fill="auto"/>
            <w:vAlign w:val="bottom"/>
          </w:tcPr>
          <w:p w14:paraId="4F0602BF" w14:textId="77777777" w:rsidR="000D4306" w:rsidRPr="00F065C8" w:rsidRDefault="000D4306" w:rsidP="00EA0375">
            <w:pPr>
              <w:jc w:val="center"/>
              <w:rPr>
                <w:rFonts w:ascii="Arial" w:eastAsia="Times New Roman" w:hAnsi="Arial" w:cs="Arial"/>
                <w:color w:val="000000"/>
                <w:sz w:val="16"/>
                <w:szCs w:val="16"/>
              </w:rPr>
            </w:pPr>
            <w:r>
              <w:rPr>
                <w:rFonts w:ascii="Arial" w:eastAsia="Times New Roman" w:hAnsi="Arial" w:cs="Arial"/>
                <w:color w:val="000000"/>
                <w:sz w:val="16"/>
                <w:szCs w:val="16"/>
              </w:rPr>
              <w:t>Metodi</w:t>
            </w:r>
          </w:p>
        </w:tc>
        <w:tc>
          <w:tcPr>
            <w:tcW w:w="1265" w:type="pct"/>
            <w:shd w:val="clear" w:color="auto" w:fill="auto"/>
            <w:noWrap/>
            <w:vAlign w:val="bottom"/>
          </w:tcPr>
          <w:p w14:paraId="34A44103" w14:textId="77777777" w:rsidR="000D4306" w:rsidRPr="00F065C8" w:rsidRDefault="000D4306" w:rsidP="00EA0375">
            <w:pPr>
              <w:jc w:val="center"/>
              <w:rPr>
                <w:rFonts w:ascii="Arial" w:eastAsia="Times New Roman" w:hAnsi="Arial" w:cs="Arial"/>
                <w:color w:val="000000"/>
                <w:sz w:val="16"/>
                <w:szCs w:val="16"/>
              </w:rPr>
            </w:pPr>
            <w:r>
              <w:rPr>
                <w:rFonts w:ascii="Arial" w:eastAsia="Times New Roman" w:hAnsi="Arial" w:cs="Arial"/>
                <w:color w:val="000000"/>
                <w:sz w:val="16"/>
                <w:szCs w:val="16"/>
              </w:rPr>
              <w:t>Tecniche</w:t>
            </w:r>
          </w:p>
        </w:tc>
      </w:tr>
      <w:tr w:rsidR="000D4306" w:rsidRPr="00F065C8" w14:paraId="0744D14A" w14:textId="77777777" w:rsidTr="00EA0375">
        <w:trPr>
          <w:trHeight w:val="300"/>
        </w:trPr>
        <w:tc>
          <w:tcPr>
            <w:tcW w:w="1051" w:type="pct"/>
            <w:shd w:val="clear" w:color="auto" w:fill="auto"/>
            <w:noWrap/>
            <w:vAlign w:val="bottom"/>
            <w:hideMark/>
          </w:tcPr>
          <w:p w14:paraId="0174B34D"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Disegno di valutazione</w:t>
            </w:r>
          </w:p>
        </w:tc>
        <w:tc>
          <w:tcPr>
            <w:tcW w:w="1233" w:type="pct"/>
            <w:shd w:val="clear" w:color="auto" w:fill="auto"/>
            <w:vAlign w:val="bottom"/>
            <w:hideMark/>
          </w:tcPr>
          <w:p w14:paraId="750F310A" w14:textId="757F1791" w:rsidR="000D4306" w:rsidRPr="00F065C8" w:rsidRDefault="000D4306" w:rsidP="00B539DF">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 xml:space="preserve">Redazione del </w:t>
            </w:r>
            <w:r w:rsidR="00B539DF">
              <w:rPr>
                <w:rFonts w:ascii="Arial" w:eastAsia="Times New Roman" w:hAnsi="Arial" w:cs="Arial"/>
                <w:color w:val="000000"/>
                <w:sz w:val="16"/>
                <w:szCs w:val="16"/>
              </w:rPr>
              <w:t>piano</w:t>
            </w:r>
            <w:r w:rsidR="00B539DF" w:rsidRPr="00F065C8">
              <w:rPr>
                <w:rFonts w:ascii="Arial" w:eastAsia="Times New Roman" w:hAnsi="Arial" w:cs="Arial"/>
                <w:color w:val="000000"/>
                <w:sz w:val="16"/>
                <w:szCs w:val="16"/>
              </w:rPr>
              <w:t xml:space="preserve"> </w:t>
            </w:r>
            <w:r w:rsidRPr="00F065C8">
              <w:rPr>
                <w:rFonts w:ascii="Arial" w:eastAsia="Times New Roman" w:hAnsi="Arial" w:cs="Arial"/>
                <w:color w:val="000000"/>
                <w:sz w:val="16"/>
                <w:szCs w:val="16"/>
              </w:rPr>
              <w:t>di Valutazione</w:t>
            </w:r>
          </w:p>
        </w:tc>
        <w:tc>
          <w:tcPr>
            <w:tcW w:w="1451" w:type="pct"/>
            <w:shd w:val="clear" w:color="auto" w:fill="auto"/>
            <w:vAlign w:val="bottom"/>
            <w:hideMark/>
          </w:tcPr>
          <w:p w14:paraId="62D942F2"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Metodo </w:t>
            </w:r>
          </w:p>
        </w:tc>
        <w:tc>
          <w:tcPr>
            <w:tcW w:w="1265" w:type="pct"/>
            <w:shd w:val="clear" w:color="auto" w:fill="auto"/>
            <w:noWrap/>
            <w:vAlign w:val="bottom"/>
            <w:hideMark/>
          </w:tcPr>
          <w:p w14:paraId="43EA1C19"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Tecnica</w:t>
            </w:r>
          </w:p>
        </w:tc>
      </w:tr>
      <w:tr w:rsidR="000D4306" w:rsidRPr="00F065C8" w14:paraId="19C530B8" w14:textId="77777777" w:rsidTr="00EA0375">
        <w:trPr>
          <w:trHeight w:val="460"/>
        </w:trPr>
        <w:tc>
          <w:tcPr>
            <w:tcW w:w="1051" w:type="pct"/>
            <w:vMerge w:val="restart"/>
            <w:shd w:val="clear" w:color="auto" w:fill="auto"/>
            <w:noWrap/>
            <w:vAlign w:val="center"/>
            <w:hideMark/>
          </w:tcPr>
          <w:p w14:paraId="11D2D109"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Rapporto rafforzato 2018</w:t>
            </w:r>
          </w:p>
        </w:tc>
        <w:tc>
          <w:tcPr>
            <w:tcW w:w="1233" w:type="pct"/>
            <w:shd w:val="clear" w:color="auto" w:fill="auto"/>
            <w:vAlign w:val="bottom"/>
            <w:hideMark/>
          </w:tcPr>
          <w:p w14:paraId="5FAA043C"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Aggiornamento analisi contesto e verifica dei trend proposti</w:t>
            </w:r>
          </w:p>
        </w:tc>
        <w:tc>
          <w:tcPr>
            <w:tcW w:w="1451" w:type="pct"/>
            <w:shd w:val="clear" w:color="auto" w:fill="auto"/>
            <w:vAlign w:val="center"/>
            <w:hideMark/>
          </w:tcPr>
          <w:p w14:paraId="187153F5"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Analitico con ricorso a fonti documentali</w:t>
            </w:r>
          </w:p>
        </w:tc>
        <w:tc>
          <w:tcPr>
            <w:tcW w:w="1265" w:type="pct"/>
            <w:shd w:val="clear" w:color="auto" w:fill="auto"/>
            <w:vAlign w:val="bottom"/>
            <w:hideMark/>
          </w:tcPr>
          <w:p w14:paraId="4EAE8F88"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Raccolta di dati secondari</w:t>
            </w:r>
          </w:p>
        </w:tc>
      </w:tr>
      <w:tr w:rsidR="000D4306" w:rsidRPr="00F065C8" w14:paraId="49DEA93E" w14:textId="77777777" w:rsidTr="00EA0375">
        <w:trPr>
          <w:trHeight w:val="300"/>
        </w:trPr>
        <w:tc>
          <w:tcPr>
            <w:tcW w:w="1051" w:type="pct"/>
            <w:vMerge/>
            <w:vAlign w:val="center"/>
            <w:hideMark/>
          </w:tcPr>
          <w:p w14:paraId="3CEAD44B" w14:textId="77777777" w:rsidR="000D4306" w:rsidRPr="00F065C8" w:rsidRDefault="000D4306" w:rsidP="00EA0375">
            <w:pPr>
              <w:rPr>
                <w:rFonts w:ascii="Arial" w:eastAsia="Times New Roman" w:hAnsi="Arial" w:cs="Arial"/>
                <w:color w:val="000000"/>
                <w:sz w:val="16"/>
                <w:szCs w:val="16"/>
              </w:rPr>
            </w:pPr>
          </w:p>
        </w:tc>
        <w:tc>
          <w:tcPr>
            <w:tcW w:w="1233" w:type="pct"/>
            <w:shd w:val="clear" w:color="auto" w:fill="auto"/>
            <w:vAlign w:val="bottom"/>
            <w:hideMark/>
          </w:tcPr>
          <w:p w14:paraId="17DF05BC"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Stime sui risultati del PSR e contributo alle FA</w:t>
            </w:r>
          </w:p>
        </w:tc>
        <w:tc>
          <w:tcPr>
            <w:tcW w:w="1451" w:type="pct"/>
            <w:shd w:val="clear" w:color="auto" w:fill="auto"/>
            <w:vAlign w:val="center"/>
            <w:hideMark/>
          </w:tcPr>
          <w:p w14:paraId="61EBB185"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Analitico con ricorso a fonti documentali</w:t>
            </w:r>
          </w:p>
        </w:tc>
        <w:tc>
          <w:tcPr>
            <w:tcW w:w="1265" w:type="pct"/>
            <w:shd w:val="clear" w:color="auto" w:fill="auto"/>
            <w:vAlign w:val="bottom"/>
            <w:hideMark/>
          </w:tcPr>
          <w:p w14:paraId="2A062C4F"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Raccolta di dati secondari</w:t>
            </w:r>
          </w:p>
        </w:tc>
      </w:tr>
      <w:tr w:rsidR="000D4306" w:rsidRPr="00F065C8" w14:paraId="13B5F2C6" w14:textId="77777777" w:rsidTr="00EA0375">
        <w:trPr>
          <w:trHeight w:val="300"/>
        </w:trPr>
        <w:tc>
          <w:tcPr>
            <w:tcW w:w="1051" w:type="pct"/>
            <w:vMerge/>
            <w:vAlign w:val="center"/>
            <w:hideMark/>
          </w:tcPr>
          <w:p w14:paraId="7E0F817E" w14:textId="77777777" w:rsidR="000D4306" w:rsidRPr="00F065C8" w:rsidRDefault="000D4306" w:rsidP="00EA0375">
            <w:pPr>
              <w:rPr>
                <w:rFonts w:ascii="Arial" w:eastAsia="Times New Roman" w:hAnsi="Arial" w:cs="Arial"/>
                <w:color w:val="000000"/>
                <w:sz w:val="16"/>
                <w:szCs w:val="16"/>
              </w:rPr>
            </w:pPr>
          </w:p>
        </w:tc>
        <w:tc>
          <w:tcPr>
            <w:tcW w:w="1233" w:type="pct"/>
            <w:shd w:val="clear" w:color="auto" w:fill="auto"/>
            <w:vAlign w:val="bottom"/>
            <w:hideMark/>
          </w:tcPr>
          <w:p w14:paraId="33E7B40A"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Contributo PSR ai temi orizzontali</w:t>
            </w:r>
          </w:p>
        </w:tc>
        <w:tc>
          <w:tcPr>
            <w:tcW w:w="1451" w:type="pct"/>
            <w:shd w:val="clear" w:color="auto" w:fill="auto"/>
            <w:vAlign w:val="center"/>
            <w:hideMark/>
          </w:tcPr>
          <w:p w14:paraId="5AF2A173"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Analitico con ricorso a fonti documentali</w:t>
            </w:r>
          </w:p>
        </w:tc>
        <w:tc>
          <w:tcPr>
            <w:tcW w:w="1265" w:type="pct"/>
            <w:shd w:val="clear" w:color="auto" w:fill="auto"/>
            <w:vAlign w:val="bottom"/>
            <w:hideMark/>
          </w:tcPr>
          <w:p w14:paraId="29288D00"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Raccolta di dati secondari</w:t>
            </w:r>
          </w:p>
        </w:tc>
      </w:tr>
      <w:tr w:rsidR="000D4306" w:rsidRPr="00F065C8" w14:paraId="2CEB6E18" w14:textId="77777777" w:rsidTr="00EA0375">
        <w:trPr>
          <w:trHeight w:val="300"/>
        </w:trPr>
        <w:tc>
          <w:tcPr>
            <w:tcW w:w="1051" w:type="pct"/>
            <w:vMerge/>
            <w:vAlign w:val="center"/>
            <w:hideMark/>
          </w:tcPr>
          <w:p w14:paraId="462F4B21" w14:textId="77777777" w:rsidR="000D4306" w:rsidRPr="00F065C8" w:rsidRDefault="000D4306" w:rsidP="00EA0375">
            <w:pPr>
              <w:rPr>
                <w:rFonts w:ascii="Arial" w:eastAsia="Times New Roman" w:hAnsi="Arial" w:cs="Arial"/>
                <w:color w:val="000000"/>
                <w:sz w:val="16"/>
                <w:szCs w:val="16"/>
              </w:rPr>
            </w:pPr>
          </w:p>
        </w:tc>
        <w:tc>
          <w:tcPr>
            <w:tcW w:w="1233" w:type="pct"/>
            <w:shd w:val="clear" w:color="auto" w:fill="auto"/>
            <w:vAlign w:val="bottom"/>
            <w:hideMark/>
          </w:tcPr>
          <w:p w14:paraId="1F62097B"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Misurazione impatti</w:t>
            </w:r>
          </w:p>
        </w:tc>
        <w:tc>
          <w:tcPr>
            <w:tcW w:w="1451" w:type="pct"/>
            <w:shd w:val="clear" w:color="auto" w:fill="auto"/>
            <w:vAlign w:val="center"/>
            <w:hideMark/>
          </w:tcPr>
          <w:p w14:paraId="0F127B05"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Analitico con ricorso a fonti documentali</w:t>
            </w:r>
          </w:p>
        </w:tc>
        <w:tc>
          <w:tcPr>
            <w:tcW w:w="1265" w:type="pct"/>
            <w:shd w:val="clear" w:color="auto" w:fill="auto"/>
            <w:vAlign w:val="bottom"/>
            <w:hideMark/>
          </w:tcPr>
          <w:p w14:paraId="53061F4B"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Raccolta di dati secondari</w:t>
            </w:r>
          </w:p>
        </w:tc>
      </w:tr>
      <w:tr w:rsidR="000D4306" w:rsidRPr="00F065C8" w14:paraId="1D024B65" w14:textId="77777777" w:rsidTr="00EA0375">
        <w:trPr>
          <w:trHeight w:val="300"/>
        </w:trPr>
        <w:tc>
          <w:tcPr>
            <w:tcW w:w="1051" w:type="pct"/>
            <w:vMerge/>
            <w:vAlign w:val="center"/>
            <w:hideMark/>
          </w:tcPr>
          <w:p w14:paraId="5EEB4D22" w14:textId="77777777" w:rsidR="000D4306" w:rsidRPr="00F065C8" w:rsidRDefault="000D4306" w:rsidP="00EA0375">
            <w:pPr>
              <w:rPr>
                <w:rFonts w:ascii="Arial" w:eastAsia="Times New Roman" w:hAnsi="Arial" w:cs="Arial"/>
                <w:color w:val="000000"/>
                <w:sz w:val="16"/>
                <w:szCs w:val="16"/>
              </w:rPr>
            </w:pPr>
          </w:p>
        </w:tc>
        <w:tc>
          <w:tcPr>
            <w:tcW w:w="1233" w:type="pct"/>
            <w:shd w:val="clear" w:color="auto" w:fill="auto"/>
            <w:vAlign w:val="bottom"/>
            <w:hideMark/>
          </w:tcPr>
          <w:p w14:paraId="03FAF6F5"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Risposta al QVC</w:t>
            </w:r>
          </w:p>
        </w:tc>
        <w:tc>
          <w:tcPr>
            <w:tcW w:w="1451" w:type="pct"/>
            <w:shd w:val="clear" w:color="auto" w:fill="auto"/>
            <w:vAlign w:val="center"/>
            <w:hideMark/>
          </w:tcPr>
          <w:p w14:paraId="4DE0D42B"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Analitico con ricorso a fonti documentali</w:t>
            </w:r>
          </w:p>
        </w:tc>
        <w:tc>
          <w:tcPr>
            <w:tcW w:w="1265" w:type="pct"/>
            <w:shd w:val="clear" w:color="auto" w:fill="auto"/>
            <w:vAlign w:val="bottom"/>
            <w:hideMark/>
          </w:tcPr>
          <w:p w14:paraId="4538542E"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Raccolta di dati secondari</w:t>
            </w:r>
          </w:p>
        </w:tc>
      </w:tr>
      <w:tr w:rsidR="000D4306" w:rsidRPr="00F065C8" w14:paraId="37925E64" w14:textId="77777777" w:rsidTr="00EA0375">
        <w:trPr>
          <w:trHeight w:val="680"/>
        </w:trPr>
        <w:tc>
          <w:tcPr>
            <w:tcW w:w="1051" w:type="pct"/>
            <w:vMerge/>
            <w:vAlign w:val="center"/>
            <w:hideMark/>
          </w:tcPr>
          <w:p w14:paraId="7C131DA1" w14:textId="77777777" w:rsidR="000D4306" w:rsidRPr="00F065C8" w:rsidRDefault="000D4306" w:rsidP="00EA0375">
            <w:pPr>
              <w:rPr>
                <w:rFonts w:ascii="Arial" w:eastAsia="Times New Roman" w:hAnsi="Arial" w:cs="Arial"/>
                <w:color w:val="000000"/>
                <w:sz w:val="16"/>
                <w:szCs w:val="16"/>
              </w:rPr>
            </w:pPr>
          </w:p>
        </w:tc>
        <w:tc>
          <w:tcPr>
            <w:tcW w:w="1233" w:type="pct"/>
            <w:shd w:val="clear" w:color="auto" w:fill="auto"/>
            <w:vAlign w:val="bottom"/>
            <w:hideMark/>
          </w:tcPr>
          <w:p w14:paraId="0464B5AF"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Verifica del contributo del PSR agli obiettivi ed ai principi generali dell’implementazione dei Fondi previsti dal QSC</w:t>
            </w:r>
          </w:p>
        </w:tc>
        <w:tc>
          <w:tcPr>
            <w:tcW w:w="1451" w:type="pct"/>
            <w:shd w:val="clear" w:color="auto" w:fill="auto"/>
            <w:vAlign w:val="center"/>
            <w:hideMark/>
          </w:tcPr>
          <w:p w14:paraId="269AA85B"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Analitico con ricorso a fonti dirette</w:t>
            </w:r>
          </w:p>
        </w:tc>
        <w:tc>
          <w:tcPr>
            <w:tcW w:w="1265" w:type="pct"/>
            <w:shd w:val="clear" w:color="auto" w:fill="auto"/>
            <w:vAlign w:val="bottom"/>
            <w:hideMark/>
          </w:tcPr>
          <w:p w14:paraId="1639843A"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Tecniche basate sulla raccolta di dati primari di tipo campionario</w:t>
            </w:r>
          </w:p>
        </w:tc>
      </w:tr>
      <w:tr w:rsidR="000D4306" w:rsidRPr="00F065C8" w14:paraId="132F2152" w14:textId="77777777" w:rsidTr="00EA0375">
        <w:trPr>
          <w:trHeight w:val="460"/>
        </w:trPr>
        <w:tc>
          <w:tcPr>
            <w:tcW w:w="1051" w:type="pct"/>
            <w:vMerge/>
            <w:vAlign w:val="center"/>
            <w:hideMark/>
          </w:tcPr>
          <w:p w14:paraId="053BFA73" w14:textId="77777777" w:rsidR="000D4306" w:rsidRPr="00F065C8" w:rsidRDefault="000D4306" w:rsidP="00EA0375">
            <w:pPr>
              <w:rPr>
                <w:rFonts w:ascii="Arial" w:eastAsia="Times New Roman" w:hAnsi="Arial" w:cs="Arial"/>
                <w:color w:val="000000"/>
                <w:sz w:val="16"/>
                <w:szCs w:val="16"/>
              </w:rPr>
            </w:pPr>
          </w:p>
        </w:tc>
        <w:tc>
          <w:tcPr>
            <w:tcW w:w="1233" w:type="pct"/>
            <w:shd w:val="clear" w:color="auto" w:fill="auto"/>
            <w:vAlign w:val="bottom"/>
            <w:hideMark/>
          </w:tcPr>
          <w:p w14:paraId="6903B244"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Valutazione dell’uso dei fondi per l’assistenza tecnica</w:t>
            </w:r>
          </w:p>
        </w:tc>
        <w:tc>
          <w:tcPr>
            <w:tcW w:w="1451" w:type="pct"/>
            <w:shd w:val="clear" w:color="auto" w:fill="auto"/>
            <w:vAlign w:val="center"/>
            <w:hideMark/>
          </w:tcPr>
          <w:p w14:paraId="4DDAC626"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Analitico con ricorso a fonti documentali</w:t>
            </w:r>
          </w:p>
        </w:tc>
        <w:tc>
          <w:tcPr>
            <w:tcW w:w="1265" w:type="pct"/>
            <w:shd w:val="clear" w:color="auto" w:fill="auto"/>
            <w:vAlign w:val="bottom"/>
            <w:hideMark/>
          </w:tcPr>
          <w:p w14:paraId="5CF08BC6"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Raccolta di dati secondari</w:t>
            </w:r>
          </w:p>
        </w:tc>
      </w:tr>
      <w:tr w:rsidR="000D4306" w:rsidRPr="00F065C8" w14:paraId="2A7B9EBD" w14:textId="77777777" w:rsidTr="00EA0375">
        <w:trPr>
          <w:trHeight w:val="300"/>
        </w:trPr>
        <w:tc>
          <w:tcPr>
            <w:tcW w:w="1051" w:type="pct"/>
            <w:vMerge/>
            <w:vAlign w:val="center"/>
            <w:hideMark/>
          </w:tcPr>
          <w:p w14:paraId="121DF9F8" w14:textId="77777777" w:rsidR="000D4306" w:rsidRPr="00F065C8" w:rsidRDefault="000D4306" w:rsidP="00EA0375">
            <w:pPr>
              <w:rPr>
                <w:rFonts w:ascii="Arial" w:eastAsia="Times New Roman" w:hAnsi="Arial" w:cs="Arial"/>
                <w:color w:val="000000"/>
                <w:sz w:val="16"/>
                <w:szCs w:val="16"/>
              </w:rPr>
            </w:pPr>
          </w:p>
        </w:tc>
        <w:tc>
          <w:tcPr>
            <w:tcW w:w="1233" w:type="pct"/>
            <w:shd w:val="clear" w:color="auto" w:fill="auto"/>
            <w:vAlign w:val="bottom"/>
            <w:hideMark/>
          </w:tcPr>
          <w:p w14:paraId="230B54E5"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Aggiornamento VAS</w:t>
            </w:r>
          </w:p>
        </w:tc>
        <w:tc>
          <w:tcPr>
            <w:tcW w:w="1451" w:type="pct"/>
            <w:shd w:val="clear" w:color="auto" w:fill="auto"/>
            <w:vAlign w:val="center"/>
            <w:hideMark/>
          </w:tcPr>
          <w:p w14:paraId="04C498B5"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Analitico con ricorso a fonti documentali</w:t>
            </w:r>
          </w:p>
        </w:tc>
        <w:tc>
          <w:tcPr>
            <w:tcW w:w="1265" w:type="pct"/>
            <w:shd w:val="clear" w:color="auto" w:fill="auto"/>
            <w:vAlign w:val="bottom"/>
            <w:hideMark/>
          </w:tcPr>
          <w:p w14:paraId="0522FE1F"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Raccolta di dati secondari</w:t>
            </w:r>
          </w:p>
        </w:tc>
      </w:tr>
      <w:tr w:rsidR="000D4306" w:rsidRPr="00F065C8" w14:paraId="5BD6B60D" w14:textId="77777777" w:rsidTr="00EA0375">
        <w:trPr>
          <w:trHeight w:val="1340"/>
        </w:trPr>
        <w:tc>
          <w:tcPr>
            <w:tcW w:w="1051" w:type="pct"/>
            <w:vMerge/>
            <w:vAlign w:val="center"/>
            <w:hideMark/>
          </w:tcPr>
          <w:p w14:paraId="63858A55" w14:textId="77777777" w:rsidR="000D4306" w:rsidRPr="00F065C8" w:rsidRDefault="000D4306" w:rsidP="00EA0375">
            <w:pPr>
              <w:rPr>
                <w:rFonts w:ascii="Arial" w:eastAsia="Times New Roman" w:hAnsi="Arial" w:cs="Arial"/>
                <w:color w:val="000000"/>
                <w:sz w:val="16"/>
                <w:szCs w:val="16"/>
              </w:rPr>
            </w:pPr>
          </w:p>
        </w:tc>
        <w:tc>
          <w:tcPr>
            <w:tcW w:w="1233" w:type="pct"/>
            <w:shd w:val="clear" w:color="auto" w:fill="auto"/>
            <w:vAlign w:val="bottom"/>
            <w:hideMark/>
          </w:tcPr>
          <w:p w14:paraId="1518B845"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Contributo PSR ai temi orizzontali</w:t>
            </w:r>
          </w:p>
        </w:tc>
        <w:tc>
          <w:tcPr>
            <w:tcW w:w="1451" w:type="pct"/>
            <w:shd w:val="clear" w:color="auto" w:fill="auto"/>
            <w:vAlign w:val="center"/>
            <w:hideMark/>
          </w:tcPr>
          <w:p w14:paraId="7061FD4A"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Controfattuali</w:t>
            </w:r>
          </w:p>
        </w:tc>
        <w:tc>
          <w:tcPr>
            <w:tcW w:w="1265" w:type="pct"/>
            <w:shd w:val="clear" w:color="auto" w:fill="auto"/>
            <w:vAlign w:val="bottom"/>
            <w:hideMark/>
          </w:tcPr>
          <w:p w14:paraId="7A3EF1FF" w14:textId="6B577FD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 xml:space="preserve">Disegno dell'indagine ed applicazione </w:t>
            </w:r>
            <w:r w:rsidR="00492440">
              <w:rPr>
                <w:rFonts w:ascii="Arial" w:eastAsia="Times New Roman" w:hAnsi="Arial" w:cs="Arial"/>
                <w:color w:val="000000"/>
                <w:sz w:val="16"/>
                <w:szCs w:val="16"/>
              </w:rPr>
              <w:t>t</w:t>
            </w:r>
            <w:r w:rsidRPr="00F065C8">
              <w:rPr>
                <w:rFonts w:ascii="Arial" w:eastAsia="Times New Roman" w:hAnsi="Arial" w:cs="Arial"/>
                <w:color w:val="000000"/>
                <w:sz w:val="16"/>
                <w:szCs w:val="16"/>
              </w:rPr>
              <w:t xml:space="preserve">ecniche basate su metodi non sperimentali (prevalenti): </w:t>
            </w:r>
            <w:proofErr w:type="spellStart"/>
            <w:r w:rsidRPr="00F065C8">
              <w:rPr>
                <w:rFonts w:ascii="Arial" w:eastAsia="Times New Roman" w:hAnsi="Arial" w:cs="Arial"/>
                <w:color w:val="000000"/>
                <w:sz w:val="16"/>
                <w:szCs w:val="16"/>
              </w:rPr>
              <w:t>difference</w:t>
            </w:r>
            <w:proofErr w:type="spellEnd"/>
            <w:r w:rsidRPr="00F065C8">
              <w:rPr>
                <w:rFonts w:ascii="Arial" w:eastAsia="Times New Roman" w:hAnsi="Arial" w:cs="Arial"/>
                <w:color w:val="000000"/>
                <w:sz w:val="16"/>
                <w:szCs w:val="16"/>
              </w:rPr>
              <w:t>-in-</w:t>
            </w:r>
            <w:proofErr w:type="spellStart"/>
            <w:r w:rsidRPr="00F065C8">
              <w:rPr>
                <w:rFonts w:ascii="Arial" w:eastAsia="Times New Roman" w:hAnsi="Arial" w:cs="Arial"/>
                <w:color w:val="000000"/>
                <w:sz w:val="16"/>
                <w:szCs w:val="16"/>
              </w:rPr>
              <w:t>difference</w:t>
            </w:r>
            <w:proofErr w:type="spellEnd"/>
            <w:r w:rsidRPr="00F065C8">
              <w:rPr>
                <w:rFonts w:ascii="Arial" w:eastAsia="Times New Roman" w:hAnsi="Arial" w:cs="Arial"/>
                <w:color w:val="000000"/>
                <w:sz w:val="16"/>
                <w:szCs w:val="16"/>
              </w:rPr>
              <w:t xml:space="preserve">; analisi di regressione; </w:t>
            </w:r>
            <w:proofErr w:type="spellStart"/>
            <w:r w:rsidRPr="00F065C8">
              <w:rPr>
                <w:rFonts w:ascii="Arial" w:eastAsia="Times New Roman" w:hAnsi="Arial" w:cs="Arial"/>
                <w:color w:val="000000"/>
                <w:sz w:val="16"/>
                <w:szCs w:val="16"/>
              </w:rPr>
              <w:t>statistical</w:t>
            </w:r>
            <w:proofErr w:type="spellEnd"/>
            <w:r w:rsidRPr="00F065C8">
              <w:rPr>
                <w:rFonts w:ascii="Arial" w:eastAsia="Times New Roman" w:hAnsi="Arial" w:cs="Arial"/>
                <w:color w:val="000000"/>
                <w:sz w:val="16"/>
                <w:szCs w:val="16"/>
              </w:rPr>
              <w:t xml:space="preserve"> </w:t>
            </w:r>
            <w:proofErr w:type="spellStart"/>
            <w:r w:rsidRPr="00F065C8">
              <w:rPr>
                <w:rFonts w:ascii="Arial" w:eastAsia="Times New Roman" w:hAnsi="Arial" w:cs="Arial"/>
                <w:color w:val="000000"/>
                <w:sz w:val="16"/>
                <w:szCs w:val="16"/>
              </w:rPr>
              <w:t>matching</w:t>
            </w:r>
            <w:proofErr w:type="spellEnd"/>
          </w:p>
        </w:tc>
      </w:tr>
      <w:tr w:rsidR="000D4306" w:rsidRPr="00F065C8" w14:paraId="4B43E7A2" w14:textId="77777777" w:rsidTr="00EA0375">
        <w:trPr>
          <w:trHeight w:val="460"/>
        </w:trPr>
        <w:tc>
          <w:tcPr>
            <w:tcW w:w="1051" w:type="pct"/>
            <w:vMerge/>
            <w:vAlign w:val="center"/>
            <w:hideMark/>
          </w:tcPr>
          <w:p w14:paraId="5712F8A6" w14:textId="77777777" w:rsidR="000D4306" w:rsidRPr="00F065C8" w:rsidRDefault="000D4306" w:rsidP="00EA0375">
            <w:pPr>
              <w:rPr>
                <w:rFonts w:ascii="Arial" w:eastAsia="Times New Roman" w:hAnsi="Arial" w:cs="Arial"/>
                <w:color w:val="000000"/>
                <w:sz w:val="16"/>
                <w:szCs w:val="16"/>
              </w:rPr>
            </w:pPr>
          </w:p>
        </w:tc>
        <w:tc>
          <w:tcPr>
            <w:tcW w:w="1233" w:type="pct"/>
            <w:shd w:val="clear" w:color="auto" w:fill="auto"/>
            <w:vAlign w:val="bottom"/>
            <w:hideMark/>
          </w:tcPr>
          <w:p w14:paraId="0DD9CFAD"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Valutazione del piano di comunicazione PSR</w:t>
            </w:r>
          </w:p>
        </w:tc>
        <w:tc>
          <w:tcPr>
            <w:tcW w:w="1451" w:type="pct"/>
            <w:shd w:val="clear" w:color="auto" w:fill="auto"/>
            <w:vAlign w:val="center"/>
            <w:hideMark/>
          </w:tcPr>
          <w:p w14:paraId="7800CB61"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Analitico con ricorso a fonti dirette</w:t>
            </w:r>
          </w:p>
        </w:tc>
        <w:tc>
          <w:tcPr>
            <w:tcW w:w="1265" w:type="pct"/>
            <w:shd w:val="clear" w:color="auto" w:fill="auto"/>
            <w:vAlign w:val="bottom"/>
            <w:hideMark/>
          </w:tcPr>
          <w:p w14:paraId="51873688"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Tecniche basate sulla raccolta di dati primari di tipo campionario</w:t>
            </w:r>
          </w:p>
        </w:tc>
      </w:tr>
      <w:tr w:rsidR="000D4306" w:rsidRPr="00F065C8" w14:paraId="533A865D" w14:textId="77777777" w:rsidTr="00EA0375">
        <w:trPr>
          <w:trHeight w:val="780"/>
        </w:trPr>
        <w:tc>
          <w:tcPr>
            <w:tcW w:w="1051" w:type="pct"/>
            <w:vMerge/>
            <w:vAlign w:val="center"/>
            <w:hideMark/>
          </w:tcPr>
          <w:p w14:paraId="0719FEBB" w14:textId="77777777" w:rsidR="000D4306" w:rsidRPr="00F065C8" w:rsidRDefault="000D4306" w:rsidP="00EA0375">
            <w:pPr>
              <w:rPr>
                <w:rFonts w:ascii="Arial" w:eastAsia="Times New Roman" w:hAnsi="Arial" w:cs="Arial"/>
                <w:color w:val="000000"/>
                <w:sz w:val="16"/>
                <w:szCs w:val="16"/>
              </w:rPr>
            </w:pPr>
          </w:p>
        </w:tc>
        <w:tc>
          <w:tcPr>
            <w:tcW w:w="1233" w:type="pct"/>
            <w:shd w:val="clear" w:color="auto" w:fill="auto"/>
            <w:vAlign w:val="bottom"/>
            <w:hideMark/>
          </w:tcPr>
          <w:p w14:paraId="0B4E0D59"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Approfondimento tematico</w:t>
            </w:r>
          </w:p>
        </w:tc>
        <w:tc>
          <w:tcPr>
            <w:tcW w:w="1451" w:type="pct"/>
            <w:shd w:val="clear" w:color="auto" w:fill="auto"/>
            <w:vAlign w:val="center"/>
            <w:hideMark/>
          </w:tcPr>
          <w:p w14:paraId="4C62D8C3"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Econometrico</w:t>
            </w:r>
          </w:p>
        </w:tc>
        <w:tc>
          <w:tcPr>
            <w:tcW w:w="1265" w:type="pct"/>
            <w:shd w:val="clear" w:color="auto" w:fill="auto"/>
            <w:vAlign w:val="bottom"/>
            <w:hideMark/>
          </w:tcPr>
          <w:p w14:paraId="07228AFB" w14:textId="0E9CDE19" w:rsidR="000D4306" w:rsidRPr="00F065C8" w:rsidRDefault="000D4306" w:rsidP="00A04F8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 xml:space="preserve">Tra le altre AMC; ACB; analisi di scenario; tecniche di data </w:t>
            </w:r>
            <w:proofErr w:type="spellStart"/>
            <w:r w:rsidRPr="00F065C8">
              <w:rPr>
                <w:rFonts w:ascii="Arial" w:eastAsia="Times New Roman" w:hAnsi="Arial" w:cs="Arial"/>
                <w:color w:val="000000"/>
                <w:sz w:val="16"/>
                <w:szCs w:val="16"/>
              </w:rPr>
              <w:t>mining</w:t>
            </w:r>
            <w:proofErr w:type="spellEnd"/>
            <w:r w:rsidRPr="00F065C8">
              <w:rPr>
                <w:rFonts w:ascii="Arial" w:eastAsia="Times New Roman" w:hAnsi="Arial" w:cs="Arial"/>
                <w:color w:val="000000"/>
                <w:sz w:val="16"/>
                <w:szCs w:val="16"/>
              </w:rPr>
              <w:t xml:space="preserve">; model drive agent; </w:t>
            </w:r>
            <w:proofErr w:type="spellStart"/>
            <w:r w:rsidRPr="00F065C8">
              <w:rPr>
                <w:rFonts w:ascii="Arial" w:eastAsia="Times New Roman" w:hAnsi="Arial" w:cs="Arial"/>
                <w:color w:val="000000"/>
                <w:sz w:val="16"/>
                <w:szCs w:val="16"/>
              </w:rPr>
              <w:t>spatial</w:t>
            </w:r>
            <w:proofErr w:type="spellEnd"/>
            <w:r w:rsidRPr="00F065C8">
              <w:rPr>
                <w:rFonts w:ascii="Arial" w:eastAsia="Times New Roman" w:hAnsi="Arial" w:cs="Arial"/>
                <w:color w:val="000000"/>
                <w:sz w:val="16"/>
                <w:szCs w:val="16"/>
              </w:rPr>
              <w:t xml:space="preserve"> </w:t>
            </w:r>
            <w:proofErr w:type="spellStart"/>
            <w:r w:rsidRPr="00F065C8">
              <w:rPr>
                <w:rFonts w:ascii="Arial" w:eastAsia="Times New Roman" w:hAnsi="Arial" w:cs="Arial"/>
                <w:color w:val="000000"/>
                <w:sz w:val="16"/>
                <w:szCs w:val="16"/>
              </w:rPr>
              <w:t>analysis</w:t>
            </w:r>
            <w:proofErr w:type="spellEnd"/>
          </w:p>
        </w:tc>
      </w:tr>
      <w:tr w:rsidR="000D4306" w:rsidRPr="00F065C8" w14:paraId="0F9BD3CE" w14:textId="77777777" w:rsidTr="00EA0375">
        <w:trPr>
          <w:trHeight w:val="600"/>
        </w:trPr>
        <w:tc>
          <w:tcPr>
            <w:tcW w:w="1051" w:type="pct"/>
            <w:vMerge w:val="restart"/>
            <w:shd w:val="clear" w:color="auto" w:fill="auto"/>
            <w:noWrap/>
            <w:vAlign w:val="center"/>
            <w:hideMark/>
          </w:tcPr>
          <w:p w14:paraId="07418D0F" w14:textId="324C39F6" w:rsidR="000D4306" w:rsidRPr="00F065C8" w:rsidRDefault="000D4306" w:rsidP="00EA0375">
            <w:pPr>
              <w:jc w:val="center"/>
              <w:rPr>
                <w:rFonts w:ascii="Arial" w:eastAsia="Times New Roman" w:hAnsi="Arial" w:cs="Arial"/>
                <w:color w:val="000000"/>
                <w:sz w:val="16"/>
                <w:szCs w:val="16"/>
              </w:rPr>
            </w:pPr>
            <w:r w:rsidRPr="00600934">
              <w:rPr>
                <w:rFonts w:ascii="Arial" w:eastAsia="Times New Roman" w:hAnsi="Arial" w:cs="Arial"/>
                <w:sz w:val="16"/>
                <w:szCs w:val="16"/>
              </w:rPr>
              <w:t>Rapporto di esecuzione 2019</w:t>
            </w:r>
            <w:r w:rsidR="00600934" w:rsidRPr="00600934">
              <w:rPr>
                <w:rFonts w:ascii="Arial" w:eastAsia="Times New Roman" w:hAnsi="Arial" w:cs="Arial"/>
                <w:sz w:val="16"/>
                <w:szCs w:val="16"/>
              </w:rPr>
              <w:t xml:space="preserve"> e</w:t>
            </w:r>
            <w:r w:rsidR="004105BB" w:rsidRPr="00600934">
              <w:rPr>
                <w:rFonts w:ascii="Arial" w:eastAsia="Times New Roman" w:hAnsi="Arial" w:cs="Arial"/>
                <w:sz w:val="16"/>
                <w:szCs w:val="16"/>
              </w:rPr>
              <w:t xml:space="preserve"> Valutazione ex-ante e Valutazione Ambientale Strategica (VAS) relativi al Programma di Sviluppo Rurale (</w:t>
            </w:r>
            <w:r w:rsidR="004105BB" w:rsidRPr="00600934">
              <w:rPr>
                <w:rFonts w:ascii="Arial" w:eastAsia="Times New Roman" w:hAnsi="Arial" w:cs="Arial"/>
                <w:color w:val="000000"/>
                <w:sz w:val="16"/>
                <w:szCs w:val="16"/>
              </w:rPr>
              <w:t>PSR) della Regione Umbria 2021-2028</w:t>
            </w:r>
          </w:p>
        </w:tc>
        <w:tc>
          <w:tcPr>
            <w:tcW w:w="1233" w:type="pct"/>
            <w:shd w:val="clear" w:color="auto" w:fill="auto"/>
            <w:vAlign w:val="bottom"/>
            <w:hideMark/>
          </w:tcPr>
          <w:p w14:paraId="78CD21CE"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Monitoraggio rispetto indicatori Prodotto e target</w:t>
            </w:r>
          </w:p>
        </w:tc>
        <w:tc>
          <w:tcPr>
            <w:tcW w:w="1451" w:type="pct"/>
            <w:shd w:val="clear" w:color="auto" w:fill="auto"/>
            <w:vAlign w:val="center"/>
            <w:hideMark/>
          </w:tcPr>
          <w:p w14:paraId="7096E63A"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Analitico con ricorso a fonti documentali</w:t>
            </w:r>
          </w:p>
        </w:tc>
        <w:tc>
          <w:tcPr>
            <w:tcW w:w="1265" w:type="pct"/>
            <w:shd w:val="clear" w:color="auto" w:fill="auto"/>
            <w:vAlign w:val="bottom"/>
            <w:hideMark/>
          </w:tcPr>
          <w:p w14:paraId="680B2BCA"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Raccolta di dati secondari</w:t>
            </w:r>
          </w:p>
        </w:tc>
      </w:tr>
      <w:tr w:rsidR="000D4306" w:rsidRPr="00F065C8" w14:paraId="670630E7" w14:textId="77777777" w:rsidTr="00EA0375">
        <w:trPr>
          <w:trHeight w:val="600"/>
        </w:trPr>
        <w:tc>
          <w:tcPr>
            <w:tcW w:w="1051" w:type="pct"/>
            <w:vMerge/>
            <w:vAlign w:val="center"/>
            <w:hideMark/>
          </w:tcPr>
          <w:p w14:paraId="68193D22" w14:textId="77777777" w:rsidR="000D4306" w:rsidRPr="00F065C8" w:rsidRDefault="000D4306" w:rsidP="00EA0375">
            <w:pPr>
              <w:rPr>
                <w:rFonts w:ascii="Arial" w:eastAsia="Times New Roman" w:hAnsi="Arial" w:cs="Arial"/>
                <w:color w:val="000000"/>
                <w:sz w:val="16"/>
                <w:szCs w:val="16"/>
              </w:rPr>
            </w:pPr>
          </w:p>
        </w:tc>
        <w:tc>
          <w:tcPr>
            <w:tcW w:w="1233" w:type="pct"/>
            <w:shd w:val="clear" w:color="auto" w:fill="auto"/>
            <w:vAlign w:val="bottom"/>
            <w:hideMark/>
          </w:tcPr>
          <w:p w14:paraId="2B4B1D24"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Contributo PSR ai temi orizzontali</w:t>
            </w:r>
          </w:p>
        </w:tc>
        <w:tc>
          <w:tcPr>
            <w:tcW w:w="1451" w:type="pct"/>
            <w:shd w:val="clear" w:color="auto" w:fill="auto"/>
            <w:vAlign w:val="center"/>
            <w:hideMark/>
          </w:tcPr>
          <w:p w14:paraId="7BA9B51B"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Analitico con ricorso a fonti documentali</w:t>
            </w:r>
          </w:p>
        </w:tc>
        <w:tc>
          <w:tcPr>
            <w:tcW w:w="1265" w:type="pct"/>
            <w:shd w:val="clear" w:color="auto" w:fill="auto"/>
            <w:vAlign w:val="bottom"/>
            <w:hideMark/>
          </w:tcPr>
          <w:p w14:paraId="3895D481"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Raccolta di dati secondari</w:t>
            </w:r>
          </w:p>
        </w:tc>
      </w:tr>
      <w:tr w:rsidR="000D4306" w:rsidRPr="00F065C8" w14:paraId="1A5D39C9" w14:textId="77777777" w:rsidTr="00EA0375">
        <w:trPr>
          <w:trHeight w:val="700"/>
        </w:trPr>
        <w:tc>
          <w:tcPr>
            <w:tcW w:w="1051" w:type="pct"/>
            <w:shd w:val="clear" w:color="auto" w:fill="auto"/>
            <w:noWrap/>
            <w:vAlign w:val="center"/>
            <w:hideMark/>
          </w:tcPr>
          <w:p w14:paraId="738EF82A"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Rapporto di esecuzione 2020</w:t>
            </w:r>
          </w:p>
        </w:tc>
        <w:tc>
          <w:tcPr>
            <w:tcW w:w="1233" w:type="pct"/>
            <w:shd w:val="clear" w:color="auto" w:fill="auto"/>
            <w:vAlign w:val="bottom"/>
            <w:hideMark/>
          </w:tcPr>
          <w:p w14:paraId="4ED352D3"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Monitoraggio rispetto indicatori Prodotto e target</w:t>
            </w:r>
          </w:p>
        </w:tc>
        <w:tc>
          <w:tcPr>
            <w:tcW w:w="1451" w:type="pct"/>
            <w:shd w:val="clear" w:color="auto" w:fill="auto"/>
            <w:vAlign w:val="center"/>
            <w:hideMark/>
          </w:tcPr>
          <w:p w14:paraId="1C1D5454"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Analitico con ricorso a fonti documentali</w:t>
            </w:r>
          </w:p>
        </w:tc>
        <w:tc>
          <w:tcPr>
            <w:tcW w:w="1265" w:type="pct"/>
            <w:shd w:val="clear" w:color="auto" w:fill="auto"/>
            <w:vAlign w:val="bottom"/>
            <w:hideMark/>
          </w:tcPr>
          <w:p w14:paraId="2C38CEAB"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Raccolta di dati secondari</w:t>
            </w:r>
          </w:p>
        </w:tc>
      </w:tr>
      <w:tr w:rsidR="000D4306" w:rsidRPr="00F065C8" w14:paraId="656E4770" w14:textId="77777777" w:rsidTr="00EA0375">
        <w:trPr>
          <w:trHeight w:val="680"/>
        </w:trPr>
        <w:tc>
          <w:tcPr>
            <w:tcW w:w="1051" w:type="pct"/>
            <w:vMerge w:val="restart"/>
            <w:shd w:val="clear" w:color="auto" w:fill="auto"/>
            <w:noWrap/>
            <w:vAlign w:val="center"/>
            <w:hideMark/>
          </w:tcPr>
          <w:p w14:paraId="057E8853"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Rapporto di esecuzione 2021</w:t>
            </w:r>
          </w:p>
        </w:tc>
        <w:tc>
          <w:tcPr>
            <w:tcW w:w="1233" w:type="pct"/>
            <w:shd w:val="clear" w:color="auto" w:fill="auto"/>
            <w:vAlign w:val="bottom"/>
            <w:hideMark/>
          </w:tcPr>
          <w:p w14:paraId="62408362"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Monitoraggio rispetto indicatori Prodotto e target</w:t>
            </w:r>
          </w:p>
        </w:tc>
        <w:tc>
          <w:tcPr>
            <w:tcW w:w="1451" w:type="pct"/>
            <w:shd w:val="clear" w:color="auto" w:fill="auto"/>
            <w:vAlign w:val="center"/>
            <w:hideMark/>
          </w:tcPr>
          <w:p w14:paraId="5FFD3F62"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Analitico con ricorso a fonti documentali</w:t>
            </w:r>
          </w:p>
        </w:tc>
        <w:tc>
          <w:tcPr>
            <w:tcW w:w="1265" w:type="pct"/>
            <w:shd w:val="clear" w:color="auto" w:fill="auto"/>
            <w:vAlign w:val="bottom"/>
            <w:hideMark/>
          </w:tcPr>
          <w:p w14:paraId="11758B50"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Raccolta di dati secondari</w:t>
            </w:r>
          </w:p>
        </w:tc>
      </w:tr>
      <w:tr w:rsidR="000D4306" w:rsidRPr="00F065C8" w14:paraId="4080AEEB" w14:textId="77777777" w:rsidTr="00EA0375">
        <w:trPr>
          <w:trHeight w:val="680"/>
        </w:trPr>
        <w:tc>
          <w:tcPr>
            <w:tcW w:w="1051" w:type="pct"/>
            <w:vMerge/>
            <w:vAlign w:val="center"/>
            <w:hideMark/>
          </w:tcPr>
          <w:p w14:paraId="52B7898D" w14:textId="77777777" w:rsidR="000D4306" w:rsidRPr="00F065C8" w:rsidRDefault="000D4306" w:rsidP="00EA0375">
            <w:pPr>
              <w:rPr>
                <w:rFonts w:ascii="Arial" w:eastAsia="Times New Roman" w:hAnsi="Arial" w:cs="Arial"/>
                <w:color w:val="000000"/>
                <w:sz w:val="16"/>
                <w:szCs w:val="16"/>
              </w:rPr>
            </w:pPr>
          </w:p>
        </w:tc>
        <w:tc>
          <w:tcPr>
            <w:tcW w:w="1233" w:type="pct"/>
            <w:shd w:val="clear" w:color="auto" w:fill="auto"/>
            <w:vAlign w:val="bottom"/>
            <w:hideMark/>
          </w:tcPr>
          <w:p w14:paraId="6624B558"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Aggiornamento VAS</w:t>
            </w:r>
          </w:p>
        </w:tc>
        <w:tc>
          <w:tcPr>
            <w:tcW w:w="1451" w:type="pct"/>
            <w:shd w:val="clear" w:color="auto" w:fill="auto"/>
            <w:vAlign w:val="center"/>
            <w:hideMark/>
          </w:tcPr>
          <w:p w14:paraId="294DE9FB"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Analitico con ricorso a fonti documentali</w:t>
            </w:r>
          </w:p>
        </w:tc>
        <w:tc>
          <w:tcPr>
            <w:tcW w:w="1265" w:type="pct"/>
            <w:shd w:val="clear" w:color="auto" w:fill="auto"/>
            <w:vAlign w:val="bottom"/>
            <w:hideMark/>
          </w:tcPr>
          <w:p w14:paraId="2D160313"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Raccolta di dati secondari</w:t>
            </w:r>
          </w:p>
        </w:tc>
      </w:tr>
      <w:tr w:rsidR="000D4306" w:rsidRPr="00F065C8" w14:paraId="46E0B166" w14:textId="77777777" w:rsidTr="00EA0375">
        <w:trPr>
          <w:trHeight w:val="600"/>
        </w:trPr>
        <w:tc>
          <w:tcPr>
            <w:tcW w:w="1051" w:type="pct"/>
            <w:vMerge w:val="restart"/>
            <w:shd w:val="clear" w:color="auto" w:fill="auto"/>
            <w:noWrap/>
            <w:vAlign w:val="center"/>
            <w:hideMark/>
          </w:tcPr>
          <w:p w14:paraId="23C33DFF"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Rapporto di esecuzione 2022</w:t>
            </w:r>
          </w:p>
        </w:tc>
        <w:tc>
          <w:tcPr>
            <w:tcW w:w="1233" w:type="pct"/>
            <w:shd w:val="clear" w:color="auto" w:fill="auto"/>
            <w:vAlign w:val="bottom"/>
            <w:hideMark/>
          </w:tcPr>
          <w:p w14:paraId="142E2433"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Monitoraggio rispetto indicatori Prodotto e target</w:t>
            </w:r>
          </w:p>
        </w:tc>
        <w:tc>
          <w:tcPr>
            <w:tcW w:w="1451" w:type="pct"/>
            <w:shd w:val="clear" w:color="auto" w:fill="auto"/>
            <w:vAlign w:val="center"/>
            <w:hideMark/>
          </w:tcPr>
          <w:p w14:paraId="492F73B8"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Analitico con ricorso a fonti documentali</w:t>
            </w:r>
          </w:p>
        </w:tc>
        <w:tc>
          <w:tcPr>
            <w:tcW w:w="1265" w:type="pct"/>
            <w:shd w:val="clear" w:color="auto" w:fill="auto"/>
            <w:vAlign w:val="bottom"/>
            <w:hideMark/>
          </w:tcPr>
          <w:p w14:paraId="3C7746B7"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Raccolta di dati secondari</w:t>
            </w:r>
          </w:p>
        </w:tc>
      </w:tr>
      <w:tr w:rsidR="000D4306" w:rsidRPr="00F065C8" w14:paraId="59F6EB91" w14:textId="77777777" w:rsidTr="00EA0375">
        <w:trPr>
          <w:trHeight w:val="640"/>
        </w:trPr>
        <w:tc>
          <w:tcPr>
            <w:tcW w:w="1051" w:type="pct"/>
            <w:vMerge/>
            <w:vAlign w:val="center"/>
            <w:hideMark/>
          </w:tcPr>
          <w:p w14:paraId="35026481" w14:textId="77777777" w:rsidR="000D4306" w:rsidRPr="00F065C8" w:rsidRDefault="000D4306" w:rsidP="00EA0375">
            <w:pPr>
              <w:rPr>
                <w:rFonts w:ascii="Arial" w:eastAsia="Times New Roman" w:hAnsi="Arial" w:cs="Arial"/>
                <w:color w:val="000000"/>
                <w:sz w:val="16"/>
                <w:szCs w:val="16"/>
              </w:rPr>
            </w:pPr>
          </w:p>
        </w:tc>
        <w:tc>
          <w:tcPr>
            <w:tcW w:w="1233" w:type="pct"/>
            <w:shd w:val="clear" w:color="auto" w:fill="auto"/>
            <w:vAlign w:val="bottom"/>
            <w:hideMark/>
          </w:tcPr>
          <w:p w14:paraId="37D68986"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Approfondimento tematico</w:t>
            </w:r>
          </w:p>
        </w:tc>
        <w:tc>
          <w:tcPr>
            <w:tcW w:w="1451" w:type="pct"/>
            <w:shd w:val="clear" w:color="auto" w:fill="auto"/>
            <w:vAlign w:val="center"/>
            <w:hideMark/>
          </w:tcPr>
          <w:p w14:paraId="3C66994B"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Econometrico</w:t>
            </w:r>
          </w:p>
        </w:tc>
        <w:tc>
          <w:tcPr>
            <w:tcW w:w="1265" w:type="pct"/>
            <w:shd w:val="clear" w:color="auto" w:fill="auto"/>
            <w:vAlign w:val="bottom"/>
            <w:hideMark/>
          </w:tcPr>
          <w:p w14:paraId="4713B441" w14:textId="4F98CF45" w:rsidR="000D4306" w:rsidRPr="00F065C8" w:rsidRDefault="000D4306" w:rsidP="00A04F8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 xml:space="preserve">Tra le altre AMC; ACB; analisi di scenario; tecniche di data </w:t>
            </w:r>
            <w:proofErr w:type="spellStart"/>
            <w:r w:rsidRPr="00F065C8">
              <w:rPr>
                <w:rFonts w:ascii="Arial" w:eastAsia="Times New Roman" w:hAnsi="Arial" w:cs="Arial"/>
                <w:color w:val="000000"/>
                <w:sz w:val="16"/>
                <w:szCs w:val="16"/>
              </w:rPr>
              <w:t>mining</w:t>
            </w:r>
            <w:proofErr w:type="spellEnd"/>
            <w:r w:rsidRPr="00F065C8">
              <w:rPr>
                <w:rFonts w:ascii="Arial" w:eastAsia="Times New Roman" w:hAnsi="Arial" w:cs="Arial"/>
                <w:color w:val="000000"/>
                <w:sz w:val="16"/>
                <w:szCs w:val="16"/>
              </w:rPr>
              <w:t xml:space="preserve">; model drive agent; </w:t>
            </w:r>
            <w:proofErr w:type="spellStart"/>
            <w:r w:rsidRPr="00F065C8">
              <w:rPr>
                <w:rFonts w:ascii="Arial" w:eastAsia="Times New Roman" w:hAnsi="Arial" w:cs="Arial"/>
                <w:color w:val="000000"/>
                <w:sz w:val="16"/>
                <w:szCs w:val="16"/>
              </w:rPr>
              <w:t>spati</w:t>
            </w:r>
            <w:bookmarkStart w:id="0" w:name="_GoBack"/>
            <w:r w:rsidRPr="00F065C8">
              <w:rPr>
                <w:rFonts w:ascii="Arial" w:eastAsia="Times New Roman" w:hAnsi="Arial" w:cs="Arial"/>
                <w:color w:val="000000"/>
                <w:sz w:val="16"/>
                <w:szCs w:val="16"/>
              </w:rPr>
              <w:t>a</w:t>
            </w:r>
            <w:bookmarkEnd w:id="0"/>
            <w:r w:rsidRPr="00F065C8">
              <w:rPr>
                <w:rFonts w:ascii="Arial" w:eastAsia="Times New Roman" w:hAnsi="Arial" w:cs="Arial"/>
                <w:color w:val="000000"/>
                <w:sz w:val="16"/>
                <w:szCs w:val="16"/>
              </w:rPr>
              <w:t>l</w:t>
            </w:r>
            <w:proofErr w:type="spellEnd"/>
            <w:r w:rsidRPr="00F065C8">
              <w:rPr>
                <w:rFonts w:ascii="Arial" w:eastAsia="Times New Roman" w:hAnsi="Arial" w:cs="Arial"/>
                <w:color w:val="000000"/>
                <w:sz w:val="16"/>
                <w:szCs w:val="16"/>
              </w:rPr>
              <w:t xml:space="preserve"> </w:t>
            </w:r>
            <w:proofErr w:type="spellStart"/>
            <w:r w:rsidRPr="00F065C8">
              <w:rPr>
                <w:rFonts w:ascii="Arial" w:eastAsia="Times New Roman" w:hAnsi="Arial" w:cs="Arial"/>
                <w:color w:val="000000"/>
                <w:sz w:val="16"/>
                <w:szCs w:val="16"/>
              </w:rPr>
              <w:t>analysis</w:t>
            </w:r>
            <w:proofErr w:type="spellEnd"/>
          </w:p>
        </w:tc>
      </w:tr>
      <w:tr w:rsidR="000D4306" w:rsidRPr="00F065C8" w14:paraId="5E1AF11F" w14:textId="77777777" w:rsidTr="00EA0375">
        <w:trPr>
          <w:trHeight w:val="640"/>
        </w:trPr>
        <w:tc>
          <w:tcPr>
            <w:tcW w:w="1051" w:type="pct"/>
            <w:shd w:val="clear" w:color="auto" w:fill="auto"/>
            <w:noWrap/>
            <w:vAlign w:val="center"/>
            <w:hideMark/>
          </w:tcPr>
          <w:p w14:paraId="70B7FE3A"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Rapporto di esecuzione 2023</w:t>
            </w:r>
          </w:p>
        </w:tc>
        <w:tc>
          <w:tcPr>
            <w:tcW w:w="1233" w:type="pct"/>
            <w:shd w:val="clear" w:color="auto" w:fill="auto"/>
            <w:vAlign w:val="bottom"/>
            <w:hideMark/>
          </w:tcPr>
          <w:p w14:paraId="5DA0EE21"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Monitoraggio rispetto indicatori Prodotto e target</w:t>
            </w:r>
          </w:p>
        </w:tc>
        <w:tc>
          <w:tcPr>
            <w:tcW w:w="1451" w:type="pct"/>
            <w:shd w:val="clear" w:color="auto" w:fill="auto"/>
            <w:vAlign w:val="center"/>
            <w:hideMark/>
          </w:tcPr>
          <w:p w14:paraId="01DC59F5"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Analitico con ricorso a fonti documentali</w:t>
            </w:r>
          </w:p>
        </w:tc>
        <w:tc>
          <w:tcPr>
            <w:tcW w:w="1265" w:type="pct"/>
            <w:shd w:val="clear" w:color="auto" w:fill="auto"/>
            <w:vAlign w:val="bottom"/>
            <w:hideMark/>
          </w:tcPr>
          <w:p w14:paraId="7D73CA0B"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Raccolta di dati secondari</w:t>
            </w:r>
          </w:p>
        </w:tc>
      </w:tr>
      <w:tr w:rsidR="000D4306" w:rsidRPr="00F065C8" w14:paraId="33EBC752" w14:textId="77777777" w:rsidTr="00EA0375">
        <w:trPr>
          <w:trHeight w:val="300"/>
        </w:trPr>
        <w:tc>
          <w:tcPr>
            <w:tcW w:w="1051" w:type="pct"/>
            <w:vMerge w:val="restart"/>
            <w:shd w:val="clear" w:color="auto" w:fill="auto"/>
            <w:noWrap/>
            <w:vAlign w:val="center"/>
            <w:hideMark/>
          </w:tcPr>
          <w:p w14:paraId="4AA11D09"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Valutazione ex-post**</w:t>
            </w:r>
          </w:p>
        </w:tc>
        <w:tc>
          <w:tcPr>
            <w:tcW w:w="1233" w:type="pct"/>
            <w:shd w:val="clear" w:color="auto" w:fill="auto"/>
            <w:vAlign w:val="bottom"/>
            <w:hideMark/>
          </w:tcPr>
          <w:p w14:paraId="21E3B5E4"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Verifica trend analisi di contesto</w:t>
            </w:r>
          </w:p>
        </w:tc>
        <w:tc>
          <w:tcPr>
            <w:tcW w:w="1451" w:type="pct"/>
            <w:shd w:val="clear" w:color="auto" w:fill="auto"/>
            <w:vAlign w:val="center"/>
            <w:hideMark/>
          </w:tcPr>
          <w:p w14:paraId="37C5BA94"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Analitico con ricorso a fonti documentali</w:t>
            </w:r>
          </w:p>
        </w:tc>
        <w:tc>
          <w:tcPr>
            <w:tcW w:w="1265" w:type="pct"/>
            <w:shd w:val="clear" w:color="auto" w:fill="auto"/>
            <w:vAlign w:val="bottom"/>
            <w:hideMark/>
          </w:tcPr>
          <w:p w14:paraId="379395EF"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Raccolta di dati secondari</w:t>
            </w:r>
          </w:p>
        </w:tc>
      </w:tr>
      <w:tr w:rsidR="000D4306" w:rsidRPr="00F065C8" w14:paraId="36E27A93" w14:textId="77777777" w:rsidTr="00EA0375">
        <w:trPr>
          <w:trHeight w:val="300"/>
        </w:trPr>
        <w:tc>
          <w:tcPr>
            <w:tcW w:w="1051" w:type="pct"/>
            <w:vMerge/>
            <w:vAlign w:val="center"/>
            <w:hideMark/>
          </w:tcPr>
          <w:p w14:paraId="774A51ED" w14:textId="77777777" w:rsidR="000D4306" w:rsidRPr="00F065C8" w:rsidRDefault="000D4306" w:rsidP="00EA0375">
            <w:pPr>
              <w:rPr>
                <w:rFonts w:ascii="Arial" w:eastAsia="Times New Roman" w:hAnsi="Arial" w:cs="Arial"/>
                <w:color w:val="000000"/>
                <w:sz w:val="16"/>
                <w:szCs w:val="16"/>
              </w:rPr>
            </w:pPr>
          </w:p>
        </w:tc>
        <w:tc>
          <w:tcPr>
            <w:tcW w:w="1233" w:type="pct"/>
            <w:shd w:val="clear" w:color="auto" w:fill="auto"/>
            <w:vAlign w:val="bottom"/>
            <w:hideMark/>
          </w:tcPr>
          <w:p w14:paraId="7935F9B0"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Stime sui risultati del PSR e contributo alle FA</w:t>
            </w:r>
          </w:p>
        </w:tc>
        <w:tc>
          <w:tcPr>
            <w:tcW w:w="1451" w:type="pct"/>
            <w:shd w:val="clear" w:color="auto" w:fill="auto"/>
            <w:vAlign w:val="center"/>
            <w:hideMark/>
          </w:tcPr>
          <w:p w14:paraId="26B8DA3D"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Analitico con ricorso a fonti documentali</w:t>
            </w:r>
          </w:p>
        </w:tc>
        <w:tc>
          <w:tcPr>
            <w:tcW w:w="1265" w:type="pct"/>
            <w:shd w:val="clear" w:color="auto" w:fill="auto"/>
            <w:vAlign w:val="bottom"/>
            <w:hideMark/>
          </w:tcPr>
          <w:p w14:paraId="1C990F09"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Raccolta di dati secondari</w:t>
            </w:r>
          </w:p>
        </w:tc>
      </w:tr>
      <w:tr w:rsidR="000D4306" w:rsidRPr="00F065C8" w14:paraId="52215428" w14:textId="77777777" w:rsidTr="00EA0375">
        <w:trPr>
          <w:trHeight w:val="300"/>
        </w:trPr>
        <w:tc>
          <w:tcPr>
            <w:tcW w:w="1051" w:type="pct"/>
            <w:vMerge/>
            <w:vAlign w:val="center"/>
            <w:hideMark/>
          </w:tcPr>
          <w:p w14:paraId="29853CFC" w14:textId="77777777" w:rsidR="000D4306" w:rsidRPr="00F065C8" w:rsidRDefault="000D4306" w:rsidP="00EA0375">
            <w:pPr>
              <w:rPr>
                <w:rFonts w:ascii="Arial" w:eastAsia="Times New Roman" w:hAnsi="Arial" w:cs="Arial"/>
                <w:color w:val="000000"/>
                <w:sz w:val="16"/>
                <w:szCs w:val="16"/>
              </w:rPr>
            </w:pPr>
          </w:p>
        </w:tc>
        <w:tc>
          <w:tcPr>
            <w:tcW w:w="1233" w:type="pct"/>
            <w:shd w:val="clear" w:color="auto" w:fill="auto"/>
            <w:vAlign w:val="bottom"/>
            <w:hideMark/>
          </w:tcPr>
          <w:p w14:paraId="77815261"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Contributo PSR ai temi orizzontali</w:t>
            </w:r>
          </w:p>
        </w:tc>
        <w:tc>
          <w:tcPr>
            <w:tcW w:w="1451" w:type="pct"/>
            <w:shd w:val="clear" w:color="auto" w:fill="auto"/>
            <w:vAlign w:val="center"/>
            <w:hideMark/>
          </w:tcPr>
          <w:p w14:paraId="37425457"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Analitico con ricorso a fonti documentali</w:t>
            </w:r>
          </w:p>
        </w:tc>
        <w:tc>
          <w:tcPr>
            <w:tcW w:w="1265" w:type="pct"/>
            <w:shd w:val="clear" w:color="auto" w:fill="auto"/>
            <w:vAlign w:val="bottom"/>
            <w:hideMark/>
          </w:tcPr>
          <w:p w14:paraId="06AA6640"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Raccolta di dati secondari</w:t>
            </w:r>
          </w:p>
        </w:tc>
      </w:tr>
      <w:tr w:rsidR="000D4306" w:rsidRPr="00F065C8" w14:paraId="2B749FC8" w14:textId="77777777" w:rsidTr="00EA0375">
        <w:trPr>
          <w:trHeight w:val="460"/>
        </w:trPr>
        <w:tc>
          <w:tcPr>
            <w:tcW w:w="1051" w:type="pct"/>
            <w:vMerge/>
            <w:vAlign w:val="center"/>
            <w:hideMark/>
          </w:tcPr>
          <w:p w14:paraId="63A65121" w14:textId="77777777" w:rsidR="000D4306" w:rsidRPr="00F065C8" w:rsidRDefault="000D4306" w:rsidP="00EA0375">
            <w:pPr>
              <w:rPr>
                <w:rFonts w:ascii="Arial" w:eastAsia="Times New Roman" w:hAnsi="Arial" w:cs="Arial"/>
                <w:color w:val="000000"/>
                <w:sz w:val="16"/>
                <w:szCs w:val="16"/>
              </w:rPr>
            </w:pPr>
          </w:p>
        </w:tc>
        <w:tc>
          <w:tcPr>
            <w:tcW w:w="1233" w:type="pct"/>
            <w:shd w:val="clear" w:color="auto" w:fill="auto"/>
            <w:vAlign w:val="bottom"/>
            <w:hideMark/>
          </w:tcPr>
          <w:p w14:paraId="7E834D94"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Misurazione impatti</w:t>
            </w:r>
          </w:p>
        </w:tc>
        <w:tc>
          <w:tcPr>
            <w:tcW w:w="1451" w:type="pct"/>
            <w:shd w:val="clear" w:color="auto" w:fill="auto"/>
            <w:vAlign w:val="center"/>
            <w:hideMark/>
          </w:tcPr>
          <w:p w14:paraId="0E442ADE"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Analitico con ricorso a fonti dirette</w:t>
            </w:r>
          </w:p>
        </w:tc>
        <w:tc>
          <w:tcPr>
            <w:tcW w:w="1265" w:type="pct"/>
            <w:shd w:val="clear" w:color="auto" w:fill="auto"/>
            <w:vAlign w:val="bottom"/>
            <w:hideMark/>
          </w:tcPr>
          <w:p w14:paraId="682D431D"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Tecniche basate sulla raccolta di dati primari di tipo campionario</w:t>
            </w:r>
          </w:p>
        </w:tc>
      </w:tr>
      <w:tr w:rsidR="000D4306" w:rsidRPr="00F065C8" w14:paraId="7BD1C7E7" w14:textId="77777777" w:rsidTr="00EA0375">
        <w:trPr>
          <w:trHeight w:val="300"/>
        </w:trPr>
        <w:tc>
          <w:tcPr>
            <w:tcW w:w="1051" w:type="pct"/>
            <w:vMerge/>
            <w:vAlign w:val="center"/>
            <w:hideMark/>
          </w:tcPr>
          <w:p w14:paraId="342272E1" w14:textId="77777777" w:rsidR="000D4306" w:rsidRPr="00F065C8" w:rsidRDefault="000D4306" w:rsidP="00EA0375">
            <w:pPr>
              <w:rPr>
                <w:rFonts w:ascii="Arial" w:eastAsia="Times New Roman" w:hAnsi="Arial" w:cs="Arial"/>
                <w:color w:val="000000"/>
                <w:sz w:val="16"/>
                <w:szCs w:val="16"/>
              </w:rPr>
            </w:pPr>
          </w:p>
        </w:tc>
        <w:tc>
          <w:tcPr>
            <w:tcW w:w="1233" w:type="pct"/>
            <w:shd w:val="clear" w:color="auto" w:fill="auto"/>
            <w:vAlign w:val="bottom"/>
            <w:hideMark/>
          </w:tcPr>
          <w:p w14:paraId="289DF68F"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Risposta al QVC</w:t>
            </w:r>
          </w:p>
        </w:tc>
        <w:tc>
          <w:tcPr>
            <w:tcW w:w="1451" w:type="pct"/>
            <w:shd w:val="clear" w:color="auto" w:fill="auto"/>
            <w:vAlign w:val="center"/>
            <w:hideMark/>
          </w:tcPr>
          <w:p w14:paraId="4F08971A"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Analitico con ricorso a fonti documentali</w:t>
            </w:r>
          </w:p>
        </w:tc>
        <w:tc>
          <w:tcPr>
            <w:tcW w:w="1265" w:type="pct"/>
            <w:shd w:val="clear" w:color="auto" w:fill="auto"/>
            <w:vAlign w:val="bottom"/>
            <w:hideMark/>
          </w:tcPr>
          <w:p w14:paraId="1799A168"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Raccolta di dati secondari</w:t>
            </w:r>
          </w:p>
        </w:tc>
      </w:tr>
      <w:tr w:rsidR="000D4306" w:rsidRPr="00F065C8" w14:paraId="47CEB81F" w14:textId="77777777" w:rsidTr="00EA0375">
        <w:trPr>
          <w:trHeight w:val="680"/>
        </w:trPr>
        <w:tc>
          <w:tcPr>
            <w:tcW w:w="1051" w:type="pct"/>
            <w:vMerge/>
            <w:vAlign w:val="center"/>
            <w:hideMark/>
          </w:tcPr>
          <w:p w14:paraId="39EEE0CE" w14:textId="77777777" w:rsidR="000D4306" w:rsidRPr="00F065C8" w:rsidRDefault="000D4306" w:rsidP="00EA0375">
            <w:pPr>
              <w:rPr>
                <w:rFonts w:ascii="Arial" w:eastAsia="Times New Roman" w:hAnsi="Arial" w:cs="Arial"/>
                <w:color w:val="000000"/>
                <w:sz w:val="16"/>
                <w:szCs w:val="16"/>
              </w:rPr>
            </w:pPr>
          </w:p>
        </w:tc>
        <w:tc>
          <w:tcPr>
            <w:tcW w:w="1233" w:type="pct"/>
            <w:shd w:val="clear" w:color="auto" w:fill="auto"/>
            <w:vAlign w:val="bottom"/>
            <w:hideMark/>
          </w:tcPr>
          <w:p w14:paraId="1C330A4B"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 xml:space="preserve">Verifica del contributo del PSR agli obiettivi ed ai principi generali dell’implementazione dei </w:t>
            </w:r>
            <w:proofErr w:type="gramStart"/>
            <w:r w:rsidRPr="00F065C8">
              <w:rPr>
                <w:rFonts w:ascii="Arial" w:eastAsia="Times New Roman" w:hAnsi="Arial" w:cs="Arial"/>
                <w:color w:val="000000"/>
                <w:sz w:val="16"/>
                <w:szCs w:val="16"/>
              </w:rPr>
              <w:t>Fondi  previsti</w:t>
            </w:r>
            <w:proofErr w:type="gramEnd"/>
            <w:r w:rsidRPr="00F065C8">
              <w:rPr>
                <w:rFonts w:ascii="Arial" w:eastAsia="Times New Roman" w:hAnsi="Arial" w:cs="Arial"/>
                <w:color w:val="000000"/>
                <w:sz w:val="16"/>
                <w:szCs w:val="16"/>
              </w:rPr>
              <w:t xml:space="preserve"> dal QSC</w:t>
            </w:r>
          </w:p>
        </w:tc>
        <w:tc>
          <w:tcPr>
            <w:tcW w:w="1451" w:type="pct"/>
            <w:shd w:val="clear" w:color="auto" w:fill="auto"/>
            <w:vAlign w:val="center"/>
            <w:hideMark/>
          </w:tcPr>
          <w:p w14:paraId="6D1E8F59"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Analitico con ricorso a fonti dirette</w:t>
            </w:r>
          </w:p>
        </w:tc>
        <w:tc>
          <w:tcPr>
            <w:tcW w:w="1265" w:type="pct"/>
            <w:shd w:val="clear" w:color="auto" w:fill="auto"/>
            <w:vAlign w:val="bottom"/>
            <w:hideMark/>
          </w:tcPr>
          <w:p w14:paraId="486E3AB3"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Tecniche basate sulla raccolta di dati primari di tipo campionario</w:t>
            </w:r>
          </w:p>
        </w:tc>
      </w:tr>
      <w:tr w:rsidR="000D4306" w:rsidRPr="00F065C8" w14:paraId="50DE2AF3" w14:textId="77777777" w:rsidTr="00EA0375">
        <w:trPr>
          <w:trHeight w:val="460"/>
        </w:trPr>
        <w:tc>
          <w:tcPr>
            <w:tcW w:w="1051" w:type="pct"/>
            <w:shd w:val="clear" w:color="auto" w:fill="auto"/>
            <w:noWrap/>
            <w:vAlign w:val="bottom"/>
            <w:hideMark/>
          </w:tcPr>
          <w:p w14:paraId="607A67F5"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Catalogo delle buone prassi</w:t>
            </w:r>
          </w:p>
        </w:tc>
        <w:tc>
          <w:tcPr>
            <w:tcW w:w="1233" w:type="pct"/>
            <w:shd w:val="clear" w:color="auto" w:fill="auto"/>
            <w:vAlign w:val="bottom"/>
            <w:hideMark/>
          </w:tcPr>
          <w:p w14:paraId="52F31505"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 </w:t>
            </w:r>
          </w:p>
        </w:tc>
        <w:tc>
          <w:tcPr>
            <w:tcW w:w="1451" w:type="pct"/>
            <w:shd w:val="clear" w:color="auto" w:fill="auto"/>
            <w:vAlign w:val="bottom"/>
            <w:hideMark/>
          </w:tcPr>
          <w:p w14:paraId="527A33B0"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Analitici con ricorso a fonti dirette</w:t>
            </w:r>
          </w:p>
        </w:tc>
        <w:tc>
          <w:tcPr>
            <w:tcW w:w="1265" w:type="pct"/>
            <w:shd w:val="clear" w:color="auto" w:fill="auto"/>
            <w:vAlign w:val="bottom"/>
            <w:hideMark/>
          </w:tcPr>
          <w:p w14:paraId="351DBCBB"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Tecniche basate sulla raccolta di dati primari di tipo campionario</w:t>
            </w:r>
          </w:p>
        </w:tc>
      </w:tr>
      <w:tr w:rsidR="000D4306" w:rsidRPr="00F065C8" w14:paraId="2C2F3408" w14:textId="77777777" w:rsidTr="00600934">
        <w:trPr>
          <w:trHeight w:val="1245"/>
        </w:trPr>
        <w:tc>
          <w:tcPr>
            <w:tcW w:w="1051" w:type="pct"/>
            <w:shd w:val="clear" w:color="auto" w:fill="auto"/>
            <w:noWrap/>
            <w:vAlign w:val="center"/>
            <w:hideMark/>
          </w:tcPr>
          <w:p w14:paraId="76227E05"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Attività di coordinamento</w:t>
            </w:r>
          </w:p>
        </w:tc>
        <w:tc>
          <w:tcPr>
            <w:tcW w:w="1233" w:type="pct"/>
            <w:shd w:val="clear" w:color="auto" w:fill="auto"/>
            <w:vAlign w:val="center"/>
            <w:hideMark/>
          </w:tcPr>
          <w:p w14:paraId="24498C8A"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 </w:t>
            </w:r>
          </w:p>
        </w:tc>
        <w:tc>
          <w:tcPr>
            <w:tcW w:w="2716" w:type="pct"/>
            <w:gridSpan w:val="2"/>
            <w:shd w:val="clear" w:color="auto" w:fill="auto"/>
            <w:vAlign w:val="bottom"/>
            <w:hideMark/>
          </w:tcPr>
          <w:p w14:paraId="34A15463" w14:textId="77777777" w:rsidR="000D4306" w:rsidRPr="00F065C8" w:rsidRDefault="000D4306" w:rsidP="00EA0375">
            <w:pPr>
              <w:jc w:val="center"/>
              <w:rPr>
                <w:rFonts w:ascii="Arial" w:eastAsia="Times New Roman" w:hAnsi="Arial" w:cs="Arial"/>
                <w:color w:val="000000"/>
                <w:sz w:val="16"/>
                <w:szCs w:val="16"/>
              </w:rPr>
            </w:pPr>
            <w:r w:rsidRPr="00F065C8">
              <w:rPr>
                <w:rFonts w:ascii="Arial" w:eastAsia="Times New Roman" w:hAnsi="Arial" w:cs="Arial"/>
                <w:color w:val="000000"/>
                <w:sz w:val="16"/>
                <w:szCs w:val="16"/>
              </w:rPr>
              <w:t>Include, attività di coordinamento e networking con l’amministrazione, la partecipazione del valutatore a eventi organizzati dall’AdG, dalle Reti per lo sviluppo rurale nazionale ed europea, ai Comitato di Sorveglianza e agli incontri bilaterali con i Servizi della Commissione europea. Include, inoltre, le attività di coordinamento con l’Autorità Ambientale regionale e con i valutatori dei PO FESR e FSE</w:t>
            </w:r>
          </w:p>
        </w:tc>
      </w:tr>
    </w:tbl>
    <w:p w14:paraId="5E4D314A" w14:textId="77777777" w:rsidR="000D4306" w:rsidRDefault="000D4306" w:rsidP="000D4306">
      <w:pPr>
        <w:pStyle w:val="Titolo1"/>
      </w:pPr>
      <w:r>
        <w:t xml:space="preserve">Varianti migliorative </w:t>
      </w:r>
    </w:p>
    <w:p w14:paraId="5268D373" w14:textId="77777777" w:rsidR="000D4306" w:rsidRPr="001074CC" w:rsidRDefault="000D4306" w:rsidP="000D4306">
      <w:pPr>
        <w:jc w:val="both"/>
        <w:rPr>
          <w:rFonts w:ascii="Arial" w:hAnsi="Arial" w:cs="Arial"/>
          <w:sz w:val="22"/>
          <w:szCs w:val="22"/>
        </w:rPr>
      </w:pPr>
      <w:r>
        <w:rPr>
          <w:rFonts w:ascii="Arial" w:hAnsi="Arial" w:cs="Arial"/>
          <w:sz w:val="22"/>
          <w:szCs w:val="22"/>
        </w:rPr>
        <w:t xml:space="preserve">Gli </w:t>
      </w:r>
      <w:r w:rsidRPr="00F97363">
        <w:rPr>
          <w:rFonts w:ascii="Arial" w:hAnsi="Arial" w:cs="Arial"/>
          <w:sz w:val="22"/>
          <w:szCs w:val="22"/>
        </w:rPr>
        <w:t xml:space="preserve">aspetti che </w:t>
      </w:r>
      <w:r>
        <w:rPr>
          <w:rFonts w:ascii="Arial" w:hAnsi="Arial" w:cs="Arial"/>
          <w:sz w:val="22"/>
          <w:szCs w:val="22"/>
        </w:rPr>
        <w:t>sono</w:t>
      </w:r>
      <w:r w:rsidRPr="00F97363">
        <w:rPr>
          <w:rFonts w:ascii="Arial" w:hAnsi="Arial" w:cs="Arial"/>
          <w:sz w:val="22"/>
          <w:szCs w:val="22"/>
        </w:rPr>
        <w:t xml:space="preserve"> oggetto di variante migliorativa e i</w:t>
      </w:r>
      <w:r>
        <w:rPr>
          <w:rFonts w:ascii="Arial" w:hAnsi="Arial" w:cs="Arial"/>
          <w:sz w:val="22"/>
          <w:szCs w:val="22"/>
        </w:rPr>
        <w:t xml:space="preserve"> relativi</w:t>
      </w:r>
      <w:r w:rsidRPr="00F97363">
        <w:rPr>
          <w:rFonts w:ascii="Arial" w:hAnsi="Arial" w:cs="Arial"/>
          <w:sz w:val="22"/>
          <w:szCs w:val="22"/>
        </w:rPr>
        <w:t xml:space="preserve"> criteri premiali da applicare alla valutazione delle offerte in sede di gara </w:t>
      </w:r>
      <w:r>
        <w:rPr>
          <w:rFonts w:ascii="Arial" w:hAnsi="Arial" w:cs="Arial"/>
          <w:sz w:val="22"/>
          <w:szCs w:val="22"/>
        </w:rPr>
        <w:t>riguardano il ricorso a metodi e tecniche analitiche con ricorso a fonti dirette migliorative rispetto a quelle descritte nel presente capitolato. Tali metodi e tecniche riguardano l’adozione di t</w:t>
      </w:r>
      <w:r w:rsidRPr="00CB2A14">
        <w:rPr>
          <w:rFonts w:ascii="Arial" w:hAnsi="Arial" w:cs="Arial"/>
          <w:sz w:val="22"/>
          <w:szCs w:val="22"/>
        </w:rPr>
        <w:t xml:space="preserve">ecniche basate sulla raccolta di dati primari (di tipo campionario, come </w:t>
      </w:r>
      <w:proofErr w:type="spellStart"/>
      <w:r w:rsidRPr="00CB2A14">
        <w:rPr>
          <w:rFonts w:ascii="Arial" w:hAnsi="Arial" w:cs="Arial"/>
          <w:sz w:val="22"/>
          <w:szCs w:val="22"/>
        </w:rPr>
        <w:t>survey</w:t>
      </w:r>
      <w:proofErr w:type="spellEnd"/>
      <w:r w:rsidRPr="00CB2A14">
        <w:rPr>
          <w:rFonts w:ascii="Arial" w:hAnsi="Arial" w:cs="Arial"/>
          <w:sz w:val="22"/>
          <w:szCs w:val="22"/>
        </w:rPr>
        <w:t xml:space="preserve"> con questionario strutturato o </w:t>
      </w:r>
      <w:proofErr w:type="spellStart"/>
      <w:r w:rsidRPr="00CB2A14">
        <w:rPr>
          <w:rFonts w:ascii="Arial" w:hAnsi="Arial" w:cs="Arial"/>
          <w:sz w:val="22"/>
          <w:szCs w:val="22"/>
        </w:rPr>
        <w:t>semistrutturato</w:t>
      </w:r>
      <w:proofErr w:type="spellEnd"/>
      <w:r w:rsidRPr="00CB2A14">
        <w:rPr>
          <w:rFonts w:ascii="Arial" w:hAnsi="Arial" w:cs="Arial"/>
          <w:sz w:val="22"/>
          <w:szCs w:val="22"/>
        </w:rPr>
        <w:t xml:space="preserve"> da svolgere con metodo CATI, CASI o CAWI) al posto di tecniche basate sulla raccolta di dati primari e/o di tipo partecipativo (tra cui: focus </w:t>
      </w:r>
      <w:proofErr w:type="spellStart"/>
      <w:r w:rsidRPr="00CB2A14">
        <w:rPr>
          <w:rFonts w:ascii="Arial" w:hAnsi="Arial" w:cs="Arial"/>
          <w:sz w:val="22"/>
          <w:szCs w:val="22"/>
        </w:rPr>
        <w:t>group</w:t>
      </w:r>
      <w:proofErr w:type="spellEnd"/>
      <w:r w:rsidRPr="00CB2A14">
        <w:rPr>
          <w:rFonts w:ascii="Arial" w:hAnsi="Arial" w:cs="Arial"/>
          <w:sz w:val="22"/>
          <w:szCs w:val="22"/>
        </w:rPr>
        <w:t xml:space="preserve">, brainstorming valutativo, </w:t>
      </w:r>
      <w:proofErr w:type="spellStart"/>
      <w:r w:rsidRPr="00CB2A14">
        <w:rPr>
          <w:rFonts w:ascii="Arial" w:hAnsi="Arial" w:cs="Arial"/>
          <w:sz w:val="22"/>
          <w:szCs w:val="22"/>
        </w:rPr>
        <w:t>Delphi</w:t>
      </w:r>
      <w:proofErr w:type="spellEnd"/>
      <w:r w:rsidRPr="00CB2A14">
        <w:rPr>
          <w:rFonts w:ascii="Arial" w:hAnsi="Arial" w:cs="Arial"/>
          <w:sz w:val="22"/>
          <w:szCs w:val="22"/>
        </w:rPr>
        <w:t xml:space="preserve">, </w:t>
      </w:r>
      <w:proofErr w:type="spellStart"/>
      <w:r w:rsidRPr="00CB2A14">
        <w:rPr>
          <w:rFonts w:ascii="Arial" w:hAnsi="Arial" w:cs="Arial"/>
          <w:sz w:val="22"/>
          <w:szCs w:val="22"/>
        </w:rPr>
        <w:t>Nominal</w:t>
      </w:r>
      <w:proofErr w:type="spellEnd"/>
      <w:r w:rsidRPr="00CB2A14">
        <w:rPr>
          <w:rFonts w:ascii="Arial" w:hAnsi="Arial" w:cs="Arial"/>
          <w:sz w:val="22"/>
          <w:szCs w:val="22"/>
        </w:rPr>
        <w:t xml:space="preserve"> Group </w:t>
      </w:r>
      <w:proofErr w:type="spellStart"/>
      <w:r w:rsidRPr="00CB2A14">
        <w:rPr>
          <w:rFonts w:ascii="Arial" w:hAnsi="Arial" w:cs="Arial"/>
          <w:sz w:val="22"/>
          <w:szCs w:val="22"/>
        </w:rPr>
        <w:t>Technique</w:t>
      </w:r>
      <w:proofErr w:type="spellEnd"/>
      <w:r w:rsidRPr="00CB2A14">
        <w:rPr>
          <w:rFonts w:ascii="Arial" w:hAnsi="Arial" w:cs="Arial"/>
          <w:sz w:val="22"/>
          <w:szCs w:val="22"/>
        </w:rPr>
        <w:t xml:space="preserve">, </w:t>
      </w:r>
      <w:proofErr w:type="spellStart"/>
      <w:r w:rsidRPr="00CB2A14">
        <w:rPr>
          <w:rFonts w:ascii="Arial" w:hAnsi="Arial" w:cs="Arial"/>
          <w:sz w:val="22"/>
          <w:szCs w:val="22"/>
        </w:rPr>
        <w:t>check</w:t>
      </w:r>
      <w:proofErr w:type="spellEnd"/>
      <w:r w:rsidRPr="00CB2A14">
        <w:rPr>
          <w:rFonts w:ascii="Arial" w:hAnsi="Arial" w:cs="Arial"/>
          <w:sz w:val="22"/>
          <w:szCs w:val="22"/>
        </w:rPr>
        <w:t>-list, Social network analysis)</w:t>
      </w:r>
      <w:r>
        <w:rPr>
          <w:rFonts w:ascii="Arial" w:hAnsi="Arial" w:cs="Arial"/>
          <w:sz w:val="22"/>
          <w:szCs w:val="22"/>
        </w:rPr>
        <w:t xml:space="preserve">. </w:t>
      </w:r>
      <w:r>
        <w:rPr>
          <w:rFonts w:ascii="Arial" w:hAnsi="Arial" w:cs="Arial"/>
          <w:sz w:val="22"/>
          <w:szCs w:val="22"/>
        </w:rPr>
        <w:br/>
        <w:t xml:space="preserve">Tali varianti migliorative saranno prese in considerazione nella valutazione dell’offerta tecnica (alla voce </w:t>
      </w:r>
      <w:r w:rsidRPr="001074CC">
        <w:rPr>
          <w:rFonts w:ascii="Arial" w:hAnsi="Arial" w:cs="Arial"/>
          <w:sz w:val="22"/>
          <w:szCs w:val="22"/>
        </w:rPr>
        <w:t>metodologie e tecniche utilizzate per la valuta</w:t>
      </w:r>
      <w:r>
        <w:rPr>
          <w:rFonts w:ascii="Arial" w:hAnsi="Arial" w:cs="Arial"/>
          <w:sz w:val="22"/>
          <w:szCs w:val="22"/>
        </w:rPr>
        <w:t xml:space="preserve">zione - </w:t>
      </w:r>
      <w:r w:rsidRPr="001074CC">
        <w:rPr>
          <w:rFonts w:ascii="Arial" w:hAnsi="Arial" w:cs="Arial"/>
          <w:sz w:val="22"/>
          <w:szCs w:val="22"/>
        </w:rPr>
        <w:t>metodologia, strumenti di valutazione previsti e soluzioni tecniche adottate)</w:t>
      </w:r>
      <w:r>
        <w:rPr>
          <w:rFonts w:ascii="Arial" w:hAnsi="Arial" w:cs="Arial"/>
          <w:sz w:val="22"/>
          <w:szCs w:val="22"/>
        </w:rPr>
        <w:t xml:space="preserve">. </w:t>
      </w:r>
    </w:p>
    <w:p w14:paraId="1A84CE61" w14:textId="77777777" w:rsidR="000D4306" w:rsidRPr="00CB2A14" w:rsidRDefault="000D4306" w:rsidP="000D4306">
      <w:pPr>
        <w:jc w:val="both"/>
        <w:rPr>
          <w:rFonts w:ascii="Arial" w:hAnsi="Arial" w:cs="Arial"/>
          <w:sz w:val="22"/>
          <w:szCs w:val="22"/>
        </w:rPr>
      </w:pPr>
    </w:p>
    <w:p w14:paraId="75FE296F" w14:textId="77777777" w:rsidR="00D51BF5" w:rsidRDefault="000D4306" w:rsidP="000D4306">
      <w:pPr>
        <w:autoSpaceDE w:val="0"/>
        <w:autoSpaceDN w:val="0"/>
        <w:spacing w:before="100" w:beforeAutospacing="1" w:after="100" w:afterAutospacing="1"/>
        <w:contextualSpacing/>
        <w:jc w:val="both"/>
        <w:rPr>
          <w:rFonts w:asciiTheme="majorHAnsi" w:eastAsiaTheme="majorEastAsia" w:hAnsiTheme="majorHAnsi" w:cstheme="majorBidi"/>
          <w:b/>
          <w:bCs/>
          <w:color w:val="345A8A" w:themeColor="accent1" w:themeShade="B5"/>
          <w:sz w:val="32"/>
          <w:szCs w:val="32"/>
        </w:rPr>
      </w:pPr>
      <w:r w:rsidRPr="001F1F5C">
        <w:rPr>
          <w:rFonts w:asciiTheme="majorHAnsi" w:eastAsiaTheme="majorEastAsia" w:hAnsiTheme="majorHAnsi" w:cstheme="majorBidi"/>
          <w:b/>
          <w:bCs/>
          <w:color w:val="345A8A" w:themeColor="accent1" w:themeShade="B5"/>
          <w:sz w:val="32"/>
          <w:szCs w:val="32"/>
        </w:rPr>
        <w:t>Sicurezza</w:t>
      </w:r>
    </w:p>
    <w:p w14:paraId="0E5F5305" w14:textId="32886D87" w:rsidR="000D4306" w:rsidRPr="00F00FDE" w:rsidRDefault="000D4306" w:rsidP="000D4306">
      <w:pPr>
        <w:autoSpaceDE w:val="0"/>
        <w:autoSpaceDN w:val="0"/>
        <w:spacing w:before="100" w:beforeAutospacing="1" w:after="100" w:afterAutospacing="1"/>
        <w:contextualSpacing/>
        <w:jc w:val="both"/>
        <w:rPr>
          <w:rFonts w:ascii="Arial" w:hAnsi="Arial" w:cs="Arial"/>
          <w:sz w:val="22"/>
          <w:szCs w:val="22"/>
        </w:rPr>
      </w:pPr>
      <w:r w:rsidRPr="00F00FDE">
        <w:rPr>
          <w:rFonts w:ascii="Arial" w:hAnsi="Arial" w:cs="Arial"/>
          <w:sz w:val="22"/>
          <w:szCs w:val="22"/>
        </w:rPr>
        <w:t>Ai sensi di quanto disposto dall’Autorità per la Vigilanza sui contratti pubblici con determinazione n. 3 del 05.03.2008 per l’affidamento di cui si tratta è possibile escludere preventivamente la predisposizione del D.U.V.R.I. e la conseguente stima dei costi della sicurezza, trattandosi di servizi di natura intellettuale, di conseguenza l’importo della s</w:t>
      </w:r>
      <w:r>
        <w:rPr>
          <w:rFonts w:ascii="Arial" w:hAnsi="Arial" w:cs="Arial"/>
          <w:sz w:val="22"/>
          <w:szCs w:val="22"/>
        </w:rPr>
        <w:t xml:space="preserve">icurezza è pari a 0 (zero) Euro. </w:t>
      </w:r>
    </w:p>
    <w:p w14:paraId="7A009AE3" w14:textId="77777777" w:rsidR="000D4306" w:rsidRPr="00F00FDE" w:rsidRDefault="000D4306" w:rsidP="000D4306">
      <w:pPr>
        <w:spacing w:before="100" w:beforeAutospacing="1" w:after="100" w:afterAutospacing="1"/>
        <w:rPr>
          <w:rFonts w:cs="Times New Roman"/>
        </w:rPr>
      </w:pPr>
      <w:r w:rsidRPr="00F00FDE">
        <w:rPr>
          <w:rFonts w:cs="Times New Roman"/>
        </w:rPr>
        <w:t> </w:t>
      </w:r>
    </w:p>
    <w:p w14:paraId="0442FFE3" w14:textId="77777777" w:rsidR="00B477CD" w:rsidRDefault="00B477CD"/>
    <w:sectPr w:rsidR="00B477CD" w:rsidSect="00B477CD">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C1AEF"/>
    <w:multiLevelType w:val="hybridMultilevel"/>
    <w:tmpl w:val="14602F66"/>
    <w:lvl w:ilvl="0" w:tplc="0410000F">
      <w:start w:val="1"/>
      <w:numFmt w:val="decimal"/>
      <w:lvlText w:val="%1."/>
      <w:lvlJc w:val="left"/>
      <w:pPr>
        <w:tabs>
          <w:tab w:val="num" w:pos="360"/>
        </w:tabs>
        <w:ind w:left="360" w:hanging="360"/>
      </w:pPr>
    </w:lvl>
    <w:lvl w:ilvl="1" w:tplc="04100005">
      <w:start w:val="1"/>
      <w:numFmt w:val="bullet"/>
      <w:lvlText w:val=""/>
      <w:lvlJc w:val="left"/>
      <w:pPr>
        <w:tabs>
          <w:tab w:val="num" w:pos="1080"/>
        </w:tabs>
        <w:ind w:left="1080" w:hanging="360"/>
      </w:pPr>
      <w:rPr>
        <w:rFonts w:ascii="Wingdings" w:hAnsi="Wingding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nsid w:val="20884879"/>
    <w:multiLevelType w:val="hybridMultilevel"/>
    <w:tmpl w:val="0F1AB4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14C24FE"/>
    <w:multiLevelType w:val="hybridMultilevel"/>
    <w:tmpl w:val="DACA06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6EB48B7"/>
    <w:multiLevelType w:val="hybridMultilevel"/>
    <w:tmpl w:val="BE7AC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145359B"/>
    <w:multiLevelType w:val="hybridMultilevel"/>
    <w:tmpl w:val="89B8B7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15D5761"/>
    <w:multiLevelType w:val="hybridMultilevel"/>
    <w:tmpl w:val="C742C6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4BD46F0"/>
    <w:multiLevelType w:val="hybridMultilevel"/>
    <w:tmpl w:val="4FAA87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AC1200B"/>
    <w:multiLevelType w:val="hybridMultilevel"/>
    <w:tmpl w:val="D87C8E04"/>
    <w:lvl w:ilvl="0" w:tplc="04100017">
      <w:start w:val="1"/>
      <w:numFmt w:val="lowerLetter"/>
      <w:lvlText w:val="%1)"/>
      <w:lvlJc w:val="left"/>
      <w:pPr>
        <w:ind w:left="781" w:hanging="360"/>
      </w:pPr>
    </w:lvl>
    <w:lvl w:ilvl="1" w:tplc="04100019" w:tentative="1">
      <w:start w:val="1"/>
      <w:numFmt w:val="lowerLetter"/>
      <w:lvlText w:val="%2."/>
      <w:lvlJc w:val="left"/>
      <w:pPr>
        <w:ind w:left="1501" w:hanging="360"/>
      </w:pPr>
    </w:lvl>
    <w:lvl w:ilvl="2" w:tplc="0410001B" w:tentative="1">
      <w:start w:val="1"/>
      <w:numFmt w:val="lowerRoman"/>
      <w:lvlText w:val="%3."/>
      <w:lvlJc w:val="right"/>
      <w:pPr>
        <w:ind w:left="2221" w:hanging="180"/>
      </w:pPr>
    </w:lvl>
    <w:lvl w:ilvl="3" w:tplc="0410000F" w:tentative="1">
      <w:start w:val="1"/>
      <w:numFmt w:val="decimal"/>
      <w:lvlText w:val="%4."/>
      <w:lvlJc w:val="left"/>
      <w:pPr>
        <w:ind w:left="2941" w:hanging="360"/>
      </w:pPr>
    </w:lvl>
    <w:lvl w:ilvl="4" w:tplc="04100019" w:tentative="1">
      <w:start w:val="1"/>
      <w:numFmt w:val="lowerLetter"/>
      <w:lvlText w:val="%5."/>
      <w:lvlJc w:val="left"/>
      <w:pPr>
        <w:ind w:left="3661" w:hanging="360"/>
      </w:pPr>
    </w:lvl>
    <w:lvl w:ilvl="5" w:tplc="0410001B" w:tentative="1">
      <w:start w:val="1"/>
      <w:numFmt w:val="lowerRoman"/>
      <w:lvlText w:val="%6."/>
      <w:lvlJc w:val="right"/>
      <w:pPr>
        <w:ind w:left="4381" w:hanging="180"/>
      </w:pPr>
    </w:lvl>
    <w:lvl w:ilvl="6" w:tplc="0410000F" w:tentative="1">
      <w:start w:val="1"/>
      <w:numFmt w:val="decimal"/>
      <w:lvlText w:val="%7."/>
      <w:lvlJc w:val="left"/>
      <w:pPr>
        <w:ind w:left="5101" w:hanging="360"/>
      </w:pPr>
    </w:lvl>
    <w:lvl w:ilvl="7" w:tplc="04100019" w:tentative="1">
      <w:start w:val="1"/>
      <w:numFmt w:val="lowerLetter"/>
      <w:lvlText w:val="%8."/>
      <w:lvlJc w:val="left"/>
      <w:pPr>
        <w:ind w:left="5821" w:hanging="360"/>
      </w:pPr>
    </w:lvl>
    <w:lvl w:ilvl="8" w:tplc="0410001B" w:tentative="1">
      <w:start w:val="1"/>
      <w:numFmt w:val="lowerRoman"/>
      <w:lvlText w:val="%9."/>
      <w:lvlJc w:val="right"/>
      <w:pPr>
        <w:ind w:left="6541" w:hanging="180"/>
      </w:pPr>
    </w:lvl>
  </w:abstractNum>
  <w:abstractNum w:abstractNumId="8">
    <w:nsid w:val="65BD4841"/>
    <w:multiLevelType w:val="hybridMultilevel"/>
    <w:tmpl w:val="709EDF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7B065639"/>
    <w:multiLevelType w:val="hybridMultilevel"/>
    <w:tmpl w:val="FDD209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CE2418A"/>
    <w:multiLevelType w:val="hybridMultilevel"/>
    <w:tmpl w:val="F40E7DF0"/>
    <w:lvl w:ilvl="0" w:tplc="FFFFFFFF">
      <w:start w:val="1"/>
      <w:numFmt w:val="lowerLetter"/>
      <w:lvlText w:val="%1)"/>
      <w:lvlJc w:val="left"/>
      <w:pPr>
        <w:tabs>
          <w:tab w:val="num" w:pos="1080"/>
        </w:tabs>
        <w:ind w:left="720"/>
      </w:pPr>
      <w:rPr>
        <w:rFont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2"/>
  </w:num>
  <w:num w:numId="3">
    <w:abstractNumId w:val="9"/>
  </w:num>
  <w:num w:numId="4">
    <w:abstractNumId w:val="5"/>
  </w:num>
  <w:num w:numId="5">
    <w:abstractNumId w:val="6"/>
  </w:num>
  <w:num w:numId="6">
    <w:abstractNumId w:val="7"/>
  </w:num>
  <w:num w:numId="7">
    <w:abstractNumId w:val="4"/>
  </w:num>
  <w:num w:numId="8">
    <w:abstractNumId w:val="3"/>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306"/>
    <w:rsid w:val="000630C6"/>
    <w:rsid w:val="000D4306"/>
    <w:rsid w:val="001B4885"/>
    <w:rsid w:val="001F0BAA"/>
    <w:rsid w:val="001F2E19"/>
    <w:rsid w:val="00231170"/>
    <w:rsid w:val="00286164"/>
    <w:rsid w:val="003374E2"/>
    <w:rsid w:val="00391763"/>
    <w:rsid w:val="004105BB"/>
    <w:rsid w:val="004226FC"/>
    <w:rsid w:val="00492440"/>
    <w:rsid w:val="00547368"/>
    <w:rsid w:val="00600934"/>
    <w:rsid w:val="006049D1"/>
    <w:rsid w:val="00630C62"/>
    <w:rsid w:val="00640CF0"/>
    <w:rsid w:val="0067640A"/>
    <w:rsid w:val="00782327"/>
    <w:rsid w:val="008048D9"/>
    <w:rsid w:val="00832E57"/>
    <w:rsid w:val="009C6055"/>
    <w:rsid w:val="00A04F85"/>
    <w:rsid w:val="00A06B31"/>
    <w:rsid w:val="00A6674E"/>
    <w:rsid w:val="00B243DF"/>
    <w:rsid w:val="00B26346"/>
    <w:rsid w:val="00B477CD"/>
    <w:rsid w:val="00B539DF"/>
    <w:rsid w:val="00C04AC2"/>
    <w:rsid w:val="00D51BF5"/>
    <w:rsid w:val="00DD0C57"/>
    <w:rsid w:val="00DF1D0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F4186D"/>
  <w14:defaultImageDpi w14:val="300"/>
  <w15:docId w15:val="{0C6E2D48-C304-471D-93D4-59E08F51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D4306"/>
    <w:rPr>
      <w:rFonts w:ascii="Times" w:hAnsi="Times"/>
      <w:sz w:val="20"/>
      <w:szCs w:val="20"/>
    </w:rPr>
  </w:style>
  <w:style w:type="paragraph" w:styleId="Titolo1">
    <w:name w:val="heading 1"/>
    <w:basedOn w:val="Normale"/>
    <w:next w:val="Normale"/>
    <w:link w:val="Titolo1Carattere"/>
    <w:uiPriority w:val="9"/>
    <w:qFormat/>
    <w:rsid w:val="000D430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D4306"/>
    <w:rPr>
      <w:rFonts w:asciiTheme="majorHAnsi" w:eastAsiaTheme="majorEastAsia" w:hAnsiTheme="majorHAnsi" w:cstheme="majorBidi"/>
      <w:b/>
      <w:bCs/>
      <w:color w:val="345A8A" w:themeColor="accent1" w:themeShade="B5"/>
      <w:sz w:val="32"/>
      <w:szCs w:val="32"/>
    </w:rPr>
  </w:style>
  <w:style w:type="paragraph" w:customStyle="1" w:styleId="Default">
    <w:name w:val="Default"/>
    <w:link w:val="DefaultCarattere"/>
    <w:rsid w:val="000D4306"/>
    <w:pPr>
      <w:autoSpaceDE w:val="0"/>
      <w:autoSpaceDN w:val="0"/>
      <w:adjustRightInd w:val="0"/>
    </w:pPr>
    <w:rPr>
      <w:rFonts w:ascii="Arial" w:eastAsia="Times New Roman" w:hAnsi="Arial" w:cs="Arial"/>
      <w:color w:val="000000"/>
    </w:rPr>
  </w:style>
  <w:style w:type="character" w:customStyle="1" w:styleId="DefaultCarattere">
    <w:name w:val="Default Carattere"/>
    <w:link w:val="Default"/>
    <w:rsid w:val="000D4306"/>
    <w:rPr>
      <w:rFonts w:ascii="Arial" w:eastAsia="Times New Roman" w:hAnsi="Arial" w:cs="Arial"/>
      <w:color w:val="000000"/>
    </w:rPr>
  </w:style>
  <w:style w:type="paragraph" w:styleId="Paragrafoelenco">
    <w:name w:val="List Paragraph"/>
    <w:basedOn w:val="Normale"/>
    <w:uiPriority w:val="34"/>
    <w:qFormat/>
    <w:rsid w:val="000D4306"/>
    <w:pPr>
      <w:ind w:left="720"/>
      <w:contextualSpacing/>
    </w:pPr>
    <w:rPr>
      <w:rFonts w:asciiTheme="minorHAnsi" w:hAnsiTheme="minorHAnsi"/>
      <w:sz w:val="24"/>
      <w:szCs w:val="24"/>
    </w:rPr>
  </w:style>
  <w:style w:type="paragraph" w:styleId="Testofumetto">
    <w:name w:val="Balloon Text"/>
    <w:basedOn w:val="Normale"/>
    <w:link w:val="TestofumettoCarattere"/>
    <w:uiPriority w:val="99"/>
    <w:semiHidden/>
    <w:unhideWhenUsed/>
    <w:rsid w:val="000D4306"/>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D4306"/>
    <w:rPr>
      <w:rFonts w:ascii="Lucida Grande" w:hAnsi="Lucida Grande" w:cs="Lucida Grande"/>
      <w:sz w:val="18"/>
      <w:szCs w:val="18"/>
    </w:rPr>
  </w:style>
  <w:style w:type="paragraph" w:styleId="Corpodeltesto3">
    <w:name w:val="Body Text 3"/>
    <w:basedOn w:val="Normale"/>
    <w:link w:val="Corpodeltesto3Carattere"/>
    <w:uiPriority w:val="99"/>
    <w:unhideWhenUsed/>
    <w:rsid w:val="000D4306"/>
    <w:pPr>
      <w:spacing w:after="120"/>
    </w:pPr>
    <w:rPr>
      <w:sz w:val="16"/>
      <w:szCs w:val="16"/>
    </w:rPr>
  </w:style>
  <w:style w:type="character" w:customStyle="1" w:styleId="Corpodeltesto3Carattere">
    <w:name w:val="Corpo del testo 3 Carattere"/>
    <w:basedOn w:val="Carpredefinitoparagrafo"/>
    <w:link w:val="Corpodeltesto3"/>
    <w:uiPriority w:val="99"/>
    <w:rsid w:val="000D4306"/>
    <w:rPr>
      <w:rFonts w:ascii="Times" w:hAnsi="Times"/>
      <w:sz w:val="16"/>
      <w:szCs w:val="16"/>
    </w:rPr>
  </w:style>
  <w:style w:type="paragraph" w:styleId="Revisione">
    <w:name w:val="Revision"/>
    <w:hidden/>
    <w:uiPriority w:val="99"/>
    <w:semiHidden/>
    <w:rsid w:val="000D4306"/>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303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3588</Words>
  <Characters>20458</Characters>
  <Application>Microsoft Office Word</Application>
  <DocSecurity>0</DocSecurity>
  <Lines>170</Lines>
  <Paragraphs>47</Paragraphs>
  <ScaleCrop>false</ScaleCrop>
  <HeadingPairs>
    <vt:vector size="4" baseType="variant">
      <vt:variant>
        <vt:lpstr>Titolo</vt:lpstr>
      </vt:variant>
      <vt:variant>
        <vt:i4>1</vt:i4>
      </vt:variant>
      <vt:variant>
        <vt:lpstr>Intestazioni</vt:lpstr>
      </vt:variant>
      <vt:variant>
        <vt:i4>5</vt:i4>
      </vt:variant>
    </vt:vector>
  </HeadingPairs>
  <TitlesOfParts>
    <vt:vector size="6" baseType="lpstr">
      <vt:lpstr/>
      <vt:lpstr>Premessa</vt:lpstr>
      <vt:lpstr>Il contesto della valutazione del Programma di Sviluppo Rurale della Regione Umb</vt:lpstr>
      <vt:lpstr>Gli importi per l'acquisizione dei servizi </vt:lpstr>
      <vt:lpstr>Capitolato speciale descrittivo e prestazionale</vt:lpstr>
      <vt:lpstr>Varianti migliorative </vt:lpstr>
    </vt:vector>
  </TitlesOfParts>
  <Company/>
  <LinksUpToDate>false</LinksUpToDate>
  <CharactersWithSpaces>23999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Mariano</dc:creator>
  <cp:keywords/>
  <dc:description/>
  <cp:lastModifiedBy>Paola Cappelletti</cp:lastModifiedBy>
  <cp:revision>3</cp:revision>
  <cp:lastPrinted>2016-11-07T10:31:00Z</cp:lastPrinted>
  <dcterms:created xsi:type="dcterms:W3CDTF">2017-08-01T10:03:00Z</dcterms:created>
  <dcterms:modified xsi:type="dcterms:W3CDTF">2017-08-01T14:10:00Z</dcterms:modified>
</cp:coreProperties>
</file>