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A7F50" w14:textId="77777777" w:rsidR="00066159" w:rsidRDefault="00AE3032" w:rsidP="007B38CB">
      <w:pPr>
        <w:jc w:val="center"/>
        <w:rPr>
          <w:rFonts w:ascii="Arial" w:eastAsia="Times New Roman" w:hAnsi="Arial" w:cs="Arial"/>
          <w:b/>
          <w:sz w:val="28"/>
          <w:szCs w:val="28"/>
        </w:rPr>
      </w:pPr>
      <w:r w:rsidRPr="00D82264">
        <w:rPr>
          <w:rFonts w:ascii="Arial" w:hAnsi="Arial" w:cs="Arial"/>
          <w:noProof/>
          <w:color w:val="0000FF"/>
        </w:rPr>
        <w:drawing>
          <wp:inline distT="0" distB="0" distL="0" distR="0" wp14:anchorId="1E59F300" wp14:editId="5B81D6A9">
            <wp:extent cx="4047214" cy="961390"/>
            <wp:effectExtent l="0" t="0" r="0" b="0"/>
            <wp:docPr id="1" name="Immagine 1" descr="C:\Users\pcappelletti\AppData\Local\Microsoft\Windows\INetCache\Content.Outlook\LCOKKV4M\stringa_loghi1_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elletti\AppData\Local\Microsoft\Windows\INetCache\Content.Outlook\LCOKKV4M\stringa_loghi1_01.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7214" cy="961390"/>
                    </a:xfrm>
                    <a:prstGeom prst="rect">
                      <a:avLst/>
                    </a:prstGeom>
                    <a:noFill/>
                    <a:ln>
                      <a:noFill/>
                    </a:ln>
                  </pic:spPr>
                </pic:pic>
              </a:graphicData>
            </a:graphic>
          </wp:inline>
        </w:drawing>
      </w:r>
      <w:r w:rsidR="00066159">
        <w:rPr>
          <w:rFonts w:ascii="Arial" w:eastAsia="Times New Roman" w:hAnsi="Arial" w:cs="Arial"/>
          <w:b/>
          <w:sz w:val="28"/>
          <w:szCs w:val="28"/>
        </w:rPr>
        <w:tab/>
      </w:r>
      <w:r w:rsidR="00066159">
        <w:rPr>
          <w:rFonts w:ascii="Arial" w:eastAsia="Times New Roman" w:hAnsi="Arial" w:cs="Arial"/>
          <w:b/>
          <w:sz w:val="28"/>
          <w:szCs w:val="28"/>
        </w:rPr>
        <w:tab/>
      </w:r>
    </w:p>
    <w:p w14:paraId="215848F2" w14:textId="6E0975E3" w:rsidR="00214F4F" w:rsidRDefault="00066159" w:rsidP="00066159">
      <w:pPr>
        <w:ind w:left="6372" w:firstLine="708"/>
        <w:jc w:val="center"/>
        <w:rPr>
          <w:rFonts w:ascii="Arial" w:eastAsia="Times New Roman" w:hAnsi="Arial" w:cs="Arial"/>
          <w:b/>
          <w:sz w:val="28"/>
          <w:szCs w:val="28"/>
        </w:rPr>
      </w:pPr>
      <w:r>
        <w:rPr>
          <w:rFonts w:ascii="Arial" w:eastAsia="Times New Roman" w:hAnsi="Arial" w:cs="Arial"/>
          <w:b/>
          <w:sz w:val="28"/>
          <w:szCs w:val="28"/>
        </w:rPr>
        <w:t>A</w:t>
      </w:r>
      <w:r w:rsidR="00E14F33">
        <w:rPr>
          <w:rFonts w:ascii="Arial" w:eastAsia="Times New Roman" w:hAnsi="Arial" w:cs="Arial"/>
          <w:b/>
          <w:sz w:val="28"/>
          <w:szCs w:val="28"/>
        </w:rPr>
        <w:t>llegato</w:t>
      </w:r>
      <w:r>
        <w:rPr>
          <w:rFonts w:ascii="Arial" w:eastAsia="Times New Roman" w:hAnsi="Arial" w:cs="Arial"/>
          <w:b/>
          <w:sz w:val="28"/>
          <w:szCs w:val="28"/>
        </w:rPr>
        <w:t xml:space="preserve"> A)</w:t>
      </w:r>
    </w:p>
    <w:p w14:paraId="78C19B45" w14:textId="77777777" w:rsidR="00066159" w:rsidRPr="003A3829" w:rsidRDefault="00066159" w:rsidP="007B38CB">
      <w:pPr>
        <w:jc w:val="center"/>
        <w:rPr>
          <w:rFonts w:ascii="Arial" w:eastAsia="Times New Roman" w:hAnsi="Arial" w:cs="Arial"/>
          <w:b/>
          <w:sz w:val="28"/>
          <w:szCs w:val="28"/>
        </w:rPr>
      </w:pPr>
    </w:p>
    <w:p w14:paraId="52F33245" w14:textId="77777777" w:rsidR="00214F4F" w:rsidRPr="003A3829" w:rsidRDefault="00214F4F" w:rsidP="007B38CB">
      <w:pPr>
        <w:jc w:val="center"/>
        <w:rPr>
          <w:rFonts w:ascii="Arial" w:eastAsia="Times New Roman" w:hAnsi="Arial" w:cs="Arial"/>
          <w:b/>
          <w:sz w:val="28"/>
          <w:szCs w:val="28"/>
        </w:rPr>
      </w:pPr>
      <w:r w:rsidRPr="003A3829">
        <w:rPr>
          <w:rFonts w:ascii="Arial" w:eastAsia="Times New Roman" w:hAnsi="Arial" w:cs="Arial"/>
          <w:b/>
          <w:sz w:val="28"/>
          <w:szCs w:val="28"/>
        </w:rPr>
        <w:t>CAPITOLATO D’ONERI PER L’APPALTO DEL SERVIZIO DI VALUTAZIONE DEL</w:t>
      </w:r>
    </w:p>
    <w:p w14:paraId="56DC7069" w14:textId="77777777" w:rsidR="00214F4F" w:rsidRPr="003A3829" w:rsidRDefault="00214F4F" w:rsidP="007B38CB">
      <w:pPr>
        <w:jc w:val="center"/>
        <w:rPr>
          <w:rFonts w:ascii="Arial" w:eastAsia="Times New Roman" w:hAnsi="Arial" w:cs="Arial"/>
          <w:b/>
          <w:sz w:val="28"/>
          <w:szCs w:val="28"/>
        </w:rPr>
      </w:pPr>
      <w:r w:rsidRPr="003A3829">
        <w:rPr>
          <w:rFonts w:ascii="Arial" w:eastAsia="Times New Roman" w:hAnsi="Arial" w:cs="Arial"/>
          <w:b/>
          <w:sz w:val="28"/>
          <w:szCs w:val="28"/>
        </w:rPr>
        <w:t>PROGRAMMA DI SVILUPPO RURALE DELLA REGIONE UMBRIA</w:t>
      </w:r>
    </w:p>
    <w:p w14:paraId="61D142D6" w14:textId="77777777" w:rsidR="00214F4F" w:rsidRPr="003A3829" w:rsidRDefault="00214F4F" w:rsidP="007B38CB">
      <w:pPr>
        <w:jc w:val="center"/>
        <w:rPr>
          <w:rFonts w:ascii="Arial" w:eastAsia="Times New Roman" w:hAnsi="Arial" w:cs="Arial"/>
          <w:b/>
          <w:sz w:val="28"/>
          <w:szCs w:val="28"/>
        </w:rPr>
      </w:pPr>
    </w:p>
    <w:p w14:paraId="33FDEBA7" w14:textId="77777777" w:rsidR="00214F4F" w:rsidRPr="003A3829" w:rsidRDefault="00214F4F" w:rsidP="007B38CB">
      <w:pPr>
        <w:jc w:val="center"/>
        <w:rPr>
          <w:rFonts w:ascii="Arial" w:eastAsia="Times New Roman" w:hAnsi="Arial" w:cs="Arial"/>
          <w:b/>
          <w:sz w:val="28"/>
          <w:szCs w:val="28"/>
        </w:rPr>
      </w:pPr>
      <w:r w:rsidRPr="003A3829">
        <w:rPr>
          <w:rFonts w:ascii="Arial" w:eastAsia="Times New Roman" w:hAnsi="Arial" w:cs="Arial"/>
          <w:b/>
          <w:sz w:val="28"/>
          <w:szCs w:val="28"/>
        </w:rPr>
        <w:t>PER IL PERIODO 2014-2020</w:t>
      </w:r>
    </w:p>
    <w:p w14:paraId="2F462C54" w14:textId="77777777" w:rsidR="00214F4F" w:rsidRPr="003A3829" w:rsidRDefault="00214F4F" w:rsidP="007B38CB">
      <w:pPr>
        <w:jc w:val="both"/>
        <w:rPr>
          <w:rFonts w:ascii="Arial" w:hAnsi="Arial" w:cs="Arial"/>
        </w:rPr>
      </w:pPr>
    </w:p>
    <w:p w14:paraId="26939F2B" w14:textId="77777777" w:rsidR="002F1B52" w:rsidRDefault="002F1B52" w:rsidP="002F1B52">
      <w:pPr>
        <w:pStyle w:val="Titolo1"/>
      </w:pPr>
      <w:r>
        <w:t>Art. 1</w:t>
      </w:r>
      <w:r w:rsidRPr="003A3829">
        <w:t xml:space="preserve"> Regolamentazione ed indirizzi di riferimento </w:t>
      </w:r>
    </w:p>
    <w:p w14:paraId="7E7D1A3C" w14:textId="77777777" w:rsidR="00273386" w:rsidRPr="00273386" w:rsidRDefault="00273386" w:rsidP="00273386"/>
    <w:p w14:paraId="512C3D8C" w14:textId="0EA43D71" w:rsidR="002F1B52" w:rsidRPr="003A3829" w:rsidRDefault="002F1B52" w:rsidP="002F1B52">
      <w:pPr>
        <w:jc w:val="both"/>
        <w:rPr>
          <w:rFonts w:ascii="Arial" w:hAnsi="Arial" w:cs="Arial"/>
          <w:sz w:val="22"/>
          <w:szCs w:val="22"/>
        </w:rPr>
      </w:pPr>
      <w:r w:rsidRPr="003A3829">
        <w:rPr>
          <w:rFonts w:ascii="Arial" w:hAnsi="Arial" w:cs="Arial"/>
          <w:sz w:val="22"/>
          <w:szCs w:val="22"/>
        </w:rPr>
        <w:t xml:space="preserve">Il servizio </w:t>
      </w:r>
      <w:r w:rsidR="00FA259C">
        <w:rPr>
          <w:rFonts w:ascii="Arial" w:hAnsi="Arial" w:cs="Arial"/>
          <w:sz w:val="22"/>
          <w:szCs w:val="22"/>
        </w:rPr>
        <w:t>oggetto del presente capitolato</w:t>
      </w:r>
      <w:r w:rsidRPr="003A3829">
        <w:rPr>
          <w:rFonts w:ascii="Arial" w:hAnsi="Arial" w:cs="Arial"/>
          <w:sz w:val="22"/>
          <w:szCs w:val="22"/>
        </w:rPr>
        <w:t xml:space="preserve"> è subordinato alla seguente regolamentazione ed indirizzi di riferimento: </w:t>
      </w:r>
    </w:p>
    <w:p w14:paraId="7039EB9E" w14:textId="791110F2" w:rsidR="003A3813" w:rsidRPr="00B97AF0" w:rsidRDefault="002F1B52" w:rsidP="003A3813">
      <w:pPr>
        <w:numPr>
          <w:ilvl w:val="0"/>
          <w:numId w:val="33"/>
        </w:numPr>
        <w:adjustRightInd w:val="0"/>
        <w:jc w:val="both"/>
        <w:rPr>
          <w:rFonts w:eastAsia="Times New Roman"/>
        </w:rPr>
      </w:pPr>
      <w:r w:rsidRPr="003A3813">
        <w:rPr>
          <w:rFonts w:ascii="Arial" w:hAnsi="Arial" w:cs="Arial"/>
          <w:sz w:val="22"/>
          <w:szCs w:val="22"/>
        </w:rPr>
        <w:t xml:space="preserve">Regolamento </w:t>
      </w:r>
      <w:r w:rsidR="003A3813" w:rsidRPr="003A3813">
        <w:rPr>
          <w:rFonts w:ascii="Arial" w:hAnsi="Arial" w:cs="Arial"/>
          <w:sz w:val="22"/>
          <w:szCs w:val="22"/>
        </w:rPr>
        <w:t>(UE) n. 1303/2013 del Parlamento Europeo e del Consiglio del 17 dicembre 2013 recante disposizioni comuni sul Fondo europeo di sviluppo regionale, sul Fondo sociale europeo, sul Fondo di coesione, sul Fondo europeo agricolo per lo sviluppo rurale e sul Fondo europeo per gli affari marittimi e la pesca e disposizioni generali sul Fondo europeo di sviluppo regionale, sul Fondo sociale europeo, sul Fondo di coesione e sul Fondo europeo per gli affari marittimi e la pesca, e che abroga il regolamento (CE) n. 1083/2006 del Consiglio</w:t>
      </w:r>
      <w:r w:rsidR="003A3813" w:rsidRPr="00B97AF0">
        <w:rPr>
          <w:rFonts w:eastAsia="Times New Roman"/>
        </w:rPr>
        <w:t>;</w:t>
      </w:r>
    </w:p>
    <w:p w14:paraId="37C2CB46" w14:textId="559FD84D" w:rsidR="003A3813" w:rsidRPr="003A3813" w:rsidRDefault="003A3813" w:rsidP="0049548C">
      <w:pPr>
        <w:pStyle w:val="Paragrafoelenco"/>
        <w:numPr>
          <w:ilvl w:val="0"/>
          <w:numId w:val="18"/>
        </w:numPr>
        <w:adjustRightInd w:val="0"/>
        <w:jc w:val="both"/>
        <w:rPr>
          <w:rFonts w:ascii="Arial" w:hAnsi="Arial" w:cs="Arial"/>
          <w:sz w:val="22"/>
          <w:szCs w:val="22"/>
        </w:rPr>
      </w:pPr>
      <w:r w:rsidRPr="003A3813">
        <w:rPr>
          <w:rFonts w:ascii="Arial" w:hAnsi="Arial" w:cs="Arial"/>
          <w:sz w:val="22"/>
          <w:szCs w:val="22"/>
        </w:rPr>
        <w:t>il Regolamento  (UE) n. 1305/2013 del Parlamento Europeo e del Consiglio del 17 dicembre 2013  sul sostegno allo sviluppo rurale da parte del Fondo europeo agricolo per lo sviluppo rurale (FEASR) e che abroga il regolamento (CE) n. 1698/2005 del Consiglio;</w:t>
      </w:r>
    </w:p>
    <w:p w14:paraId="34E1B043" w14:textId="004A12FD" w:rsidR="003A3813" w:rsidRPr="003A3813" w:rsidRDefault="003A3813" w:rsidP="003A3813">
      <w:pPr>
        <w:numPr>
          <w:ilvl w:val="0"/>
          <w:numId w:val="18"/>
        </w:numPr>
        <w:adjustRightInd w:val="0"/>
        <w:jc w:val="both"/>
        <w:rPr>
          <w:rFonts w:ascii="Arial" w:hAnsi="Arial" w:cs="Arial"/>
          <w:sz w:val="22"/>
          <w:szCs w:val="22"/>
        </w:rPr>
      </w:pPr>
      <w:r w:rsidRPr="003A3813">
        <w:rPr>
          <w:rFonts w:ascii="Arial" w:hAnsi="Arial" w:cs="Arial"/>
          <w:sz w:val="22"/>
          <w:szCs w:val="22"/>
        </w:rPr>
        <w:t>Regolamento  (UE) n. 1306/2013 Parlamento Europeo e del Consiglio del 17 dicembre 2013  sul finanziamento, sulla gestione e sul monitoraggio della politica agricola comune e che abroga i regolamenti del Consiglio (CEE) n. 352/78, (CE) n. 165/94, (CE) n. 2799/98, (CE) n. 814/2000, (CE) n. 1290/2005 e (CE) n. 485/2008;</w:t>
      </w:r>
    </w:p>
    <w:p w14:paraId="2402C74A" w14:textId="77777777" w:rsidR="002F1B52" w:rsidRPr="003A3829" w:rsidRDefault="002F1B52" w:rsidP="001241A7">
      <w:pPr>
        <w:pStyle w:val="Paragrafoelenco"/>
        <w:numPr>
          <w:ilvl w:val="0"/>
          <w:numId w:val="18"/>
        </w:numPr>
        <w:jc w:val="both"/>
        <w:rPr>
          <w:rFonts w:ascii="Arial" w:hAnsi="Arial" w:cs="Arial"/>
          <w:sz w:val="22"/>
          <w:szCs w:val="22"/>
        </w:rPr>
      </w:pPr>
      <w:r w:rsidRPr="003A3829">
        <w:rPr>
          <w:rFonts w:ascii="Arial" w:hAnsi="Arial" w:cs="Arial"/>
          <w:sz w:val="22"/>
          <w:szCs w:val="22"/>
        </w:rPr>
        <w:t>Regolamento di esecuzione (UE) n.215/2014 della Commissione del 7 marzo 2014;</w:t>
      </w:r>
    </w:p>
    <w:p w14:paraId="76127B73" w14:textId="77777777" w:rsidR="00E51B16" w:rsidRPr="00E51B16" w:rsidRDefault="00E51B16" w:rsidP="00E51B16">
      <w:pPr>
        <w:numPr>
          <w:ilvl w:val="0"/>
          <w:numId w:val="18"/>
        </w:numPr>
        <w:adjustRightInd w:val="0"/>
        <w:jc w:val="both"/>
        <w:rPr>
          <w:rFonts w:ascii="Arial" w:hAnsi="Arial" w:cs="Arial"/>
          <w:sz w:val="22"/>
          <w:szCs w:val="22"/>
        </w:rPr>
      </w:pPr>
      <w:r w:rsidRPr="00E51B16">
        <w:rPr>
          <w:rFonts w:ascii="Arial" w:hAnsi="Arial" w:cs="Arial"/>
          <w:sz w:val="22"/>
          <w:szCs w:val="22"/>
        </w:rPr>
        <w:t>Regolamento  di esecuzione (UE) N. 808/2014 della Commissione del 17 luglio 2014 recante modalità di applicazione del regolamento (UE) n. 1305/2013 del Parlamento europeo e del Consiglio sul sostegno allo sviluppo rurale da parte del Fondo Europeo Agricolo per lo Sviluppo Rurale (FEASR);</w:t>
      </w:r>
    </w:p>
    <w:p w14:paraId="3E16E642" w14:textId="138CA6F5" w:rsidR="00E51B16" w:rsidRDefault="00E51B16" w:rsidP="00E51B16">
      <w:pPr>
        <w:numPr>
          <w:ilvl w:val="0"/>
          <w:numId w:val="18"/>
        </w:numPr>
        <w:adjustRightInd w:val="0"/>
        <w:jc w:val="both"/>
        <w:rPr>
          <w:rFonts w:ascii="Arial" w:hAnsi="Arial" w:cs="Arial"/>
          <w:sz w:val="22"/>
          <w:szCs w:val="22"/>
        </w:rPr>
      </w:pPr>
      <w:r w:rsidRPr="00E51B16">
        <w:rPr>
          <w:rFonts w:ascii="Arial" w:hAnsi="Arial" w:cs="Arial"/>
          <w:sz w:val="22"/>
          <w:szCs w:val="22"/>
        </w:rPr>
        <w:t>Regolamento  di esecuzione (UE) n. 809/2014 della Commissione, del 17 luglio 2014, recante modalità di applicazione del regolamento (UE) n. 1306/2013 del Parlamento europeo e del Consiglio per quanto riguarda il sistema integrato di gestione e di controllo, le misure di sviluppo rurale e la condizionalità;</w:t>
      </w:r>
    </w:p>
    <w:p w14:paraId="46D44798" w14:textId="3950E324" w:rsidR="002F1B52" w:rsidRPr="00E51B16" w:rsidRDefault="002F1B52" w:rsidP="00E51B16">
      <w:pPr>
        <w:numPr>
          <w:ilvl w:val="0"/>
          <w:numId w:val="18"/>
        </w:numPr>
        <w:adjustRightInd w:val="0"/>
        <w:jc w:val="both"/>
        <w:rPr>
          <w:rFonts w:ascii="Arial" w:hAnsi="Arial" w:cs="Arial"/>
          <w:sz w:val="22"/>
          <w:szCs w:val="22"/>
        </w:rPr>
      </w:pPr>
      <w:r w:rsidRPr="00E51B16">
        <w:rPr>
          <w:rFonts w:ascii="Arial" w:hAnsi="Arial" w:cs="Arial"/>
          <w:sz w:val="22"/>
          <w:szCs w:val="22"/>
        </w:rPr>
        <w:t>Regolamento di esecuzione (UE) n.834/2014 della Commissione del 22 luglio 2014</w:t>
      </w:r>
      <w:r w:rsidR="00E51B16" w:rsidRPr="00E51B16">
        <w:rPr>
          <w:rFonts w:ascii="Arial" w:hAnsi="Arial" w:cs="Arial"/>
          <w:sz w:val="22"/>
          <w:szCs w:val="22"/>
        </w:rPr>
        <w:t xml:space="preserve">  che stabilisce norme per l'applicazione del quadro comune di monitoraggio e valutazione della politica agricola comune</w:t>
      </w:r>
      <w:r w:rsidRPr="00E51B16">
        <w:rPr>
          <w:rFonts w:ascii="Arial" w:hAnsi="Arial" w:cs="Arial"/>
          <w:sz w:val="22"/>
          <w:szCs w:val="22"/>
        </w:rPr>
        <w:t>;</w:t>
      </w:r>
    </w:p>
    <w:p w14:paraId="58CB7A41" w14:textId="77777777" w:rsidR="002F1B52" w:rsidRDefault="002F1B52" w:rsidP="001241A7">
      <w:pPr>
        <w:pStyle w:val="Paragrafoelenco"/>
        <w:numPr>
          <w:ilvl w:val="0"/>
          <w:numId w:val="18"/>
        </w:numPr>
        <w:jc w:val="both"/>
        <w:rPr>
          <w:rFonts w:ascii="Arial" w:hAnsi="Arial" w:cs="Arial"/>
          <w:sz w:val="22"/>
          <w:szCs w:val="22"/>
        </w:rPr>
      </w:pPr>
      <w:r w:rsidRPr="003A3829">
        <w:rPr>
          <w:rFonts w:ascii="Arial" w:hAnsi="Arial" w:cs="Arial"/>
          <w:sz w:val="22"/>
          <w:szCs w:val="22"/>
        </w:rPr>
        <w:t>Decreto legislativo 18 aprile 2016, n.50. Attuazione delle direttive 2014/23/UE, 2014/24/UE e 2014/25/UE sull'aggiudicazione dei contratti di concessione, sugli appalti pubblici e sulle procedure d'appalto degli enti erogatori nei settori dell'acqua, dell'energia, dei trasporti e dei servizi postali, nonché per il riordino della disciplina vigente in materia di contratti pubblici relativi a lavori, servizi e forniture;</w:t>
      </w:r>
    </w:p>
    <w:p w14:paraId="2E31F29F" w14:textId="45D4CB60" w:rsidR="00985A56" w:rsidRPr="003A3829" w:rsidRDefault="00985A56" w:rsidP="001241A7">
      <w:pPr>
        <w:pStyle w:val="Paragrafoelenco"/>
        <w:numPr>
          <w:ilvl w:val="0"/>
          <w:numId w:val="18"/>
        </w:numPr>
        <w:jc w:val="both"/>
        <w:rPr>
          <w:rFonts w:ascii="Arial" w:hAnsi="Arial" w:cs="Arial"/>
          <w:sz w:val="22"/>
          <w:szCs w:val="22"/>
        </w:rPr>
      </w:pPr>
      <w:r w:rsidRPr="003A3829">
        <w:rPr>
          <w:rFonts w:ascii="Arial" w:hAnsi="Arial" w:cs="Arial"/>
          <w:sz w:val="22"/>
          <w:szCs w:val="22"/>
        </w:rPr>
        <w:t>Decreto legislativo</w:t>
      </w:r>
      <w:r w:rsidR="000254FA">
        <w:rPr>
          <w:rFonts w:ascii="Arial" w:hAnsi="Arial" w:cs="Arial"/>
          <w:sz w:val="22"/>
          <w:szCs w:val="22"/>
        </w:rPr>
        <w:t xml:space="preserve"> n.</w:t>
      </w:r>
      <w:r w:rsidRPr="003A3829">
        <w:rPr>
          <w:rFonts w:ascii="Arial" w:hAnsi="Arial" w:cs="Arial"/>
          <w:sz w:val="22"/>
          <w:szCs w:val="22"/>
        </w:rPr>
        <w:t xml:space="preserve"> </w:t>
      </w:r>
      <w:r>
        <w:rPr>
          <w:rFonts w:ascii="Arial" w:hAnsi="Arial" w:cs="Arial"/>
          <w:sz w:val="22"/>
          <w:szCs w:val="22"/>
        </w:rPr>
        <w:t xml:space="preserve">56/2017 “correttivo del </w:t>
      </w:r>
      <w:r w:rsidRPr="003A3829">
        <w:rPr>
          <w:rFonts w:ascii="Arial" w:hAnsi="Arial" w:cs="Arial"/>
          <w:sz w:val="22"/>
          <w:szCs w:val="22"/>
        </w:rPr>
        <w:t>Decreto legislativo 18 aprile 2016, n.50</w:t>
      </w:r>
      <w:r>
        <w:rPr>
          <w:rFonts w:ascii="Arial" w:hAnsi="Arial" w:cs="Arial"/>
          <w:sz w:val="22"/>
          <w:szCs w:val="22"/>
        </w:rPr>
        <w:t>”;</w:t>
      </w:r>
    </w:p>
    <w:p w14:paraId="111E04A8" w14:textId="77777777" w:rsidR="002F1B52" w:rsidRPr="003A3829" w:rsidRDefault="002F1B52" w:rsidP="001241A7">
      <w:pPr>
        <w:pStyle w:val="Paragrafoelenco"/>
        <w:numPr>
          <w:ilvl w:val="0"/>
          <w:numId w:val="18"/>
        </w:numPr>
        <w:jc w:val="both"/>
        <w:rPr>
          <w:rFonts w:ascii="Arial" w:hAnsi="Arial" w:cs="Arial"/>
          <w:sz w:val="22"/>
          <w:szCs w:val="22"/>
        </w:rPr>
      </w:pPr>
      <w:r w:rsidRPr="003A3829">
        <w:rPr>
          <w:rFonts w:ascii="Arial" w:hAnsi="Arial" w:cs="Arial"/>
          <w:sz w:val="22"/>
          <w:szCs w:val="22"/>
        </w:rPr>
        <w:t>Direttiva 2001/42/CE del Parlamento Europeo e del Consiglio del 27 giugno 2001 - Valutazione degli effetti di determinati piani e programmi sull'ambiente;</w:t>
      </w:r>
    </w:p>
    <w:p w14:paraId="47A549DE" w14:textId="77777777" w:rsidR="002F1B52" w:rsidRPr="003A3829" w:rsidRDefault="002F1B52" w:rsidP="001241A7">
      <w:pPr>
        <w:pStyle w:val="Paragrafoelenco"/>
        <w:numPr>
          <w:ilvl w:val="0"/>
          <w:numId w:val="18"/>
        </w:numPr>
        <w:jc w:val="both"/>
        <w:rPr>
          <w:rFonts w:ascii="Arial" w:hAnsi="Arial" w:cs="Arial"/>
          <w:sz w:val="22"/>
          <w:szCs w:val="22"/>
        </w:rPr>
      </w:pPr>
      <w:r w:rsidRPr="003A3829">
        <w:rPr>
          <w:rFonts w:ascii="Arial" w:hAnsi="Arial" w:cs="Arial"/>
          <w:sz w:val="22"/>
          <w:szCs w:val="22"/>
        </w:rPr>
        <w:lastRenderedPageBreak/>
        <w:t>Regolamento delegato (UE) n. 240/2014 della Commissione, del 7 gennaio 2014, recante un codice europeo di condotta sul partenariato nell’ambito dei fondi strutturali e d'investimento europei;</w:t>
      </w:r>
    </w:p>
    <w:p w14:paraId="2B0FA344" w14:textId="77777777" w:rsidR="002F1B52" w:rsidRPr="003A3829" w:rsidRDefault="002F1B52" w:rsidP="001241A7">
      <w:pPr>
        <w:pStyle w:val="Paragrafoelenco"/>
        <w:numPr>
          <w:ilvl w:val="0"/>
          <w:numId w:val="18"/>
        </w:numPr>
        <w:jc w:val="both"/>
        <w:rPr>
          <w:rFonts w:ascii="Arial" w:hAnsi="Arial" w:cs="Arial"/>
          <w:sz w:val="22"/>
          <w:szCs w:val="22"/>
        </w:rPr>
      </w:pPr>
      <w:r w:rsidRPr="003A3829">
        <w:rPr>
          <w:rFonts w:ascii="Arial" w:hAnsi="Arial" w:cs="Arial"/>
          <w:sz w:val="22"/>
          <w:szCs w:val="22"/>
        </w:rPr>
        <w:t>Accordo di Partenariato 2014-2020 Italia. Settembre 2014, Dipartimento per lo Sviluppo e la Coesione Economica;</w:t>
      </w:r>
    </w:p>
    <w:p w14:paraId="11F72479" w14:textId="28A2C385" w:rsidR="002F1B52" w:rsidRPr="003A3829" w:rsidRDefault="002F1B52" w:rsidP="001241A7">
      <w:pPr>
        <w:pStyle w:val="Paragrafoelenco"/>
        <w:numPr>
          <w:ilvl w:val="0"/>
          <w:numId w:val="18"/>
        </w:numPr>
        <w:jc w:val="both"/>
        <w:rPr>
          <w:rFonts w:ascii="Arial" w:hAnsi="Arial" w:cs="Arial"/>
          <w:sz w:val="22"/>
          <w:szCs w:val="22"/>
        </w:rPr>
      </w:pPr>
      <w:r w:rsidRPr="003A3829">
        <w:rPr>
          <w:rFonts w:ascii="Arial" w:hAnsi="Arial" w:cs="Arial"/>
          <w:sz w:val="22"/>
          <w:szCs w:val="22"/>
        </w:rPr>
        <w:t>PSR 2014-2020 della Regione Umbria, adottato dalla Commissione europea il 12 giugno 2015 (Decisione C(2015)4156) e ratificato dalla Regione Umbria con la DGR n. 777 del 29 giugno 2015;</w:t>
      </w:r>
    </w:p>
    <w:p w14:paraId="513EF558" w14:textId="77777777" w:rsidR="002F1B52" w:rsidRPr="003A3829" w:rsidRDefault="002F1B52" w:rsidP="001241A7">
      <w:pPr>
        <w:pStyle w:val="Paragrafoelenco"/>
        <w:numPr>
          <w:ilvl w:val="0"/>
          <w:numId w:val="18"/>
        </w:numPr>
        <w:jc w:val="both"/>
        <w:rPr>
          <w:rFonts w:ascii="Arial" w:hAnsi="Arial" w:cs="Arial"/>
          <w:sz w:val="22"/>
          <w:szCs w:val="22"/>
        </w:rPr>
      </w:pPr>
      <w:r w:rsidRPr="003A3829">
        <w:rPr>
          <w:rFonts w:ascii="Arial" w:hAnsi="Arial" w:cs="Arial"/>
          <w:sz w:val="22"/>
          <w:szCs w:val="22"/>
        </w:rPr>
        <w:t xml:space="preserve">PURV (Piano Unitario Regionale di Valutazione) della Regione Umbria; </w:t>
      </w:r>
    </w:p>
    <w:p w14:paraId="7757246E" w14:textId="77777777" w:rsidR="002F1B52" w:rsidRPr="003A3829" w:rsidRDefault="002F1B52" w:rsidP="001241A7">
      <w:pPr>
        <w:pStyle w:val="Paragrafoelenco"/>
        <w:numPr>
          <w:ilvl w:val="0"/>
          <w:numId w:val="18"/>
        </w:numPr>
        <w:jc w:val="both"/>
        <w:rPr>
          <w:rFonts w:ascii="Arial" w:hAnsi="Arial" w:cs="Arial"/>
          <w:sz w:val="22"/>
          <w:szCs w:val="22"/>
          <w:lang w:val="en-US"/>
        </w:rPr>
      </w:pPr>
      <w:r w:rsidRPr="003A3829">
        <w:rPr>
          <w:rFonts w:ascii="Arial" w:hAnsi="Arial" w:cs="Arial"/>
          <w:sz w:val="22"/>
          <w:szCs w:val="22"/>
          <w:lang w:val="en-US"/>
        </w:rPr>
        <w:t>Working Paper: “Elements of strategic programming for the period 2014-2020. December 2012” European Commission;</w:t>
      </w:r>
    </w:p>
    <w:p w14:paraId="651D8CA4" w14:textId="77777777" w:rsidR="002F1B52" w:rsidRPr="003A3829" w:rsidRDefault="002F1B52" w:rsidP="001241A7">
      <w:pPr>
        <w:pStyle w:val="Paragrafoelenco"/>
        <w:numPr>
          <w:ilvl w:val="0"/>
          <w:numId w:val="18"/>
        </w:numPr>
        <w:jc w:val="both"/>
        <w:rPr>
          <w:rFonts w:ascii="Arial" w:hAnsi="Arial" w:cs="Arial"/>
          <w:sz w:val="22"/>
          <w:szCs w:val="22"/>
          <w:lang w:val="en-US"/>
        </w:rPr>
      </w:pPr>
      <w:r w:rsidRPr="003A3829">
        <w:rPr>
          <w:rFonts w:ascii="Arial" w:hAnsi="Arial" w:cs="Arial"/>
          <w:sz w:val="22"/>
          <w:szCs w:val="22"/>
          <w:lang w:val="en-US"/>
        </w:rPr>
        <w:t>Guidance document: “Technical Handbook on the Monitoring and Evaluation Framework of the Common Agricultural Policy 2014 – 2020, October 2015”, European Commission;</w:t>
      </w:r>
    </w:p>
    <w:p w14:paraId="39A95302" w14:textId="77777777" w:rsidR="002F1B52" w:rsidRPr="003A3829" w:rsidRDefault="002F1B52" w:rsidP="001241A7">
      <w:pPr>
        <w:pStyle w:val="Paragrafoelenco"/>
        <w:numPr>
          <w:ilvl w:val="0"/>
          <w:numId w:val="18"/>
        </w:numPr>
        <w:jc w:val="both"/>
        <w:rPr>
          <w:rFonts w:ascii="Arial" w:hAnsi="Arial" w:cs="Arial"/>
          <w:sz w:val="22"/>
          <w:szCs w:val="22"/>
          <w:lang w:val="en-US"/>
        </w:rPr>
      </w:pPr>
      <w:r w:rsidRPr="003A3829">
        <w:rPr>
          <w:rFonts w:ascii="Arial" w:hAnsi="Arial" w:cs="Arial"/>
          <w:sz w:val="22"/>
          <w:szCs w:val="22"/>
          <w:lang w:val="en-US"/>
        </w:rPr>
        <w:t>Guidelines: “Assessment of RDP results: how to prepare for reporting on evaluation in 2017. November2015”, European Commission&amp; European Evaluation Helpdesk for Rural Development;</w:t>
      </w:r>
    </w:p>
    <w:p w14:paraId="2FE24EFE" w14:textId="77777777" w:rsidR="002F1B52" w:rsidRPr="003A3829" w:rsidRDefault="002F1B52" w:rsidP="001241A7">
      <w:pPr>
        <w:pStyle w:val="Paragrafoelenco"/>
        <w:numPr>
          <w:ilvl w:val="0"/>
          <w:numId w:val="18"/>
        </w:numPr>
        <w:jc w:val="both"/>
        <w:rPr>
          <w:rFonts w:ascii="Arial" w:hAnsi="Arial" w:cs="Arial"/>
          <w:sz w:val="22"/>
          <w:szCs w:val="22"/>
        </w:rPr>
      </w:pPr>
      <w:r w:rsidRPr="003A3829">
        <w:rPr>
          <w:rFonts w:ascii="Arial" w:hAnsi="Arial" w:cs="Arial"/>
          <w:sz w:val="22"/>
          <w:szCs w:val="22"/>
        </w:rPr>
        <w:t>Linee guida: “Definizione e attuazione del piano di valutazione dei PSR 2014-2020, Progetto Marzo 2014”, European Commission &amp; European Evaluation Network for Rural Development;</w:t>
      </w:r>
    </w:p>
    <w:p w14:paraId="17FD22E5" w14:textId="77777777" w:rsidR="002F1B52" w:rsidRPr="003A3829" w:rsidRDefault="002F1B52" w:rsidP="001241A7">
      <w:pPr>
        <w:pStyle w:val="Paragrafoelenco"/>
        <w:numPr>
          <w:ilvl w:val="0"/>
          <w:numId w:val="18"/>
        </w:numPr>
        <w:jc w:val="both"/>
        <w:rPr>
          <w:rFonts w:ascii="Arial" w:hAnsi="Arial" w:cs="Arial"/>
          <w:sz w:val="22"/>
          <w:szCs w:val="22"/>
          <w:lang w:val="en-US"/>
        </w:rPr>
      </w:pPr>
      <w:r w:rsidRPr="003A3829">
        <w:rPr>
          <w:rFonts w:ascii="Arial" w:hAnsi="Arial" w:cs="Arial"/>
          <w:sz w:val="22"/>
          <w:szCs w:val="22"/>
          <w:lang w:val="en-US"/>
        </w:rPr>
        <w:t>Commission Staff Working Document: “Common methodology for State aid evaluation” SWD(2014) 179 final, European Commission;</w:t>
      </w:r>
    </w:p>
    <w:p w14:paraId="65305CA4" w14:textId="77777777" w:rsidR="002F1B52" w:rsidRPr="003A3829" w:rsidRDefault="002F1B52" w:rsidP="001241A7">
      <w:pPr>
        <w:pStyle w:val="Paragrafoelenco"/>
        <w:numPr>
          <w:ilvl w:val="0"/>
          <w:numId w:val="18"/>
        </w:numPr>
        <w:jc w:val="both"/>
        <w:rPr>
          <w:rFonts w:ascii="Arial" w:hAnsi="Arial" w:cs="Arial"/>
          <w:sz w:val="22"/>
          <w:szCs w:val="22"/>
          <w:lang w:val="en-US"/>
        </w:rPr>
      </w:pPr>
      <w:r w:rsidRPr="003A3829">
        <w:rPr>
          <w:rFonts w:ascii="Arial" w:hAnsi="Arial" w:cs="Arial"/>
          <w:sz w:val="22"/>
          <w:szCs w:val="22"/>
          <w:lang w:val="en-US"/>
        </w:rPr>
        <w:t>Working Document: “Common Evaluation Questions for Rural Development Programmes 2014-2020, June 2015”, European Commission &amp; European Evaluation Helpdesk for Rural Development;</w:t>
      </w:r>
    </w:p>
    <w:p w14:paraId="0B5EFB4A" w14:textId="77777777" w:rsidR="002F1B52" w:rsidRPr="003A3829" w:rsidRDefault="002F1B52" w:rsidP="001241A7">
      <w:pPr>
        <w:pStyle w:val="Paragrafoelenco"/>
        <w:numPr>
          <w:ilvl w:val="0"/>
          <w:numId w:val="18"/>
        </w:numPr>
        <w:jc w:val="both"/>
        <w:rPr>
          <w:rFonts w:ascii="Arial" w:hAnsi="Arial" w:cs="Arial"/>
          <w:sz w:val="22"/>
          <w:szCs w:val="22"/>
          <w:lang w:val="en-US"/>
        </w:rPr>
      </w:pPr>
      <w:r w:rsidRPr="003A3829">
        <w:rPr>
          <w:rFonts w:ascii="Arial" w:hAnsi="Arial" w:cs="Arial"/>
          <w:sz w:val="22"/>
          <w:szCs w:val="22"/>
          <w:lang w:val="en-US"/>
        </w:rPr>
        <w:t>Working Document: “Data item list for Pillar II Operations database (Outputs and Targets), November 2015”, European Commission;</w:t>
      </w:r>
    </w:p>
    <w:p w14:paraId="55DAF516" w14:textId="77777777" w:rsidR="002F1B52" w:rsidRPr="003A3829" w:rsidRDefault="002F1B52" w:rsidP="001241A7">
      <w:pPr>
        <w:pStyle w:val="Paragrafoelenco"/>
        <w:numPr>
          <w:ilvl w:val="0"/>
          <w:numId w:val="18"/>
        </w:numPr>
        <w:jc w:val="both"/>
        <w:rPr>
          <w:rFonts w:ascii="Arial" w:hAnsi="Arial" w:cs="Arial"/>
          <w:sz w:val="22"/>
          <w:szCs w:val="22"/>
          <w:lang w:val="en-US"/>
        </w:rPr>
      </w:pPr>
      <w:r w:rsidRPr="003A3829">
        <w:rPr>
          <w:rFonts w:ascii="Arial" w:hAnsi="Arial" w:cs="Arial"/>
          <w:sz w:val="22"/>
          <w:szCs w:val="22"/>
          <w:lang w:val="en-US"/>
        </w:rPr>
        <w:t>Working document: “Draft target indicator fiches for Pillar II (Priorities 1 to 6), 2015”, European Commission;</w:t>
      </w:r>
    </w:p>
    <w:p w14:paraId="4BF93777" w14:textId="77777777" w:rsidR="002F1B52" w:rsidRPr="003A3829" w:rsidRDefault="002F1B52" w:rsidP="001241A7">
      <w:pPr>
        <w:pStyle w:val="Paragrafoelenco"/>
        <w:numPr>
          <w:ilvl w:val="0"/>
          <w:numId w:val="18"/>
        </w:numPr>
        <w:jc w:val="both"/>
        <w:rPr>
          <w:rFonts w:ascii="Arial" w:hAnsi="Arial" w:cs="Arial"/>
          <w:sz w:val="22"/>
          <w:szCs w:val="22"/>
          <w:lang w:val="en-US"/>
        </w:rPr>
      </w:pPr>
      <w:r w:rsidRPr="003A3829">
        <w:rPr>
          <w:rFonts w:ascii="Arial" w:hAnsi="Arial" w:cs="Arial"/>
          <w:sz w:val="22"/>
          <w:szCs w:val="22"/>
          <w:lang w:val="en-US"/>
        </w:rPr>
        <w:t>Working document for the Rural Development Committee: “Rural Development Monitoring (2014-2020) - Implementation Report Tables (Output indicator fiches for rural development), August 2015”, European Commission;</w:t>
      </w:r>
    </w:p>
    <w:p w14:paraId="32D1AE57" w14:textId="77777777" w:rsidR="002F1B52" w:rsidRPr="003A3829" w:rsidRDefault="002F1B52" w:rsidP="001241A7">
      <w:pPr>
        <w:pStyle w:val="Paragrafoelenco"/>
        <w:numPr>
          <w:ilvl w:val="0"/>
          <w:numId w:val="18"/>
        </w:numPr>
        <w:jc w:val="both"/>
        <w:rPr>
          <w:rFonts w:ascii="Arial" w:hAnsi="Arial" w:cs="Arial"/>
          <w:sz w:val="22"/>
          <w:szCs w:val="22"/>
          <w:lang w:val="en-US"/>
        </w:rPr>
      </w:pPr>
      <w:r w:rsidRPr="003A3829">
        <w:rPr>
          <w:rFonts w:ascii="Arial" w:hAnsi="Arial" w:cs="Arial"/>
          <w:sz w:val="22"/>
          <w:szCs w:val="22"/>
          <w:lang w:val="en-US"/>
        </w:rPr>
        <w:t>Working document: “Rural Development Programming and Target Setting (2014-2020), 2015”, European Commission;</w:t>
      </w:r>
    </w:p>
    <w:p w14:paraId="311A1ED7" w14:textId="77777777" w:rsidR="002F1B52" w:rsidRPr="003A3829" w:rsidRDefault="002F1B52" w:rsidP="001241A7">
      <w:pPr>
        <w:pStyle w:val="Paragrafoelenco"/>
        <w:numPr>
          <w:ilvl w:val="0"/>
          <w:numId w:val="18"/>
        </w:numPr>
        <w:jc w:val="both"/>
        <w:rPr>
          <w:rFonts w:ascii="Arial" w:hAnsi="Arial" w:cs="Arial"/>
          <w:sz w:val="22"/>
          <w:szCs w:val="22"/>
          <w:lang w:val="en-US"/>
        </w:rPr>
      </w:pPr>
      <w:r w:rsidRPr="003A3829">
        <w:rPr>
          <w:rFonts w:ascii="Arial" w:hAnsi="Arial" w:cs="Arial"/>
          <w:sz w:val="22"/>
          <w:szCs w:val="22"/>
          <w:lang w:val="en-US"/>
        </w:rPr>
        <w:t>Working Document: “Defining proxy indicators for rural development programmes, Draft January 2014”, European Commission &amp; European Evaluation Network for Rural Development;</w:t>
      </w:r>
    </w:p>
    <w:p w14:paraId="521DF2C6" w14:textId="77777777" w:rsidR="002F1B52" w:rsidRPr="00F82D79" w:rsidRDefault="002F1B52" w:rsidP="001241A7">
      <w:pPr>
        <w:pStyle w:val="Paragrafoelenco"/>
        <w:numPr>
          <w:ilvl w:val="0"/>
          <w:numId w:val="18"/>
        </w:numPr>
        <w:jc w:val="both"/>
        <w:rPr>
          <w:rFonts w:ascii="Arial" w:hAnsi="Arial" w:cs="Arial"/>
          <w:sz w:val="22"/>
          <w:szCs w:val="22"/>
          <w:lang w:val="en-US"/>
        </w:rPr>
      </w:pPr>
      <w:r w:rsidRPr="003A3829">
        <w:rPr>
          <w:rFonts w:ascii="Arial" w:hAnsi="Arial" w:cs="Arial"/>
          <w:sz w:val="22"/>
          <w:szCs w:val="22"/>
          <w:lang w:val="en-US"/>
        </w:rPr>
        <w:t>Working document: “ Approaches in using common Rural Development indicators in regional RDPs, March 2013”, European Evaluation Network for Rural Development</w:t>
      </w:r>
      <w:r w:rsidRPr="00F82D79">
        <w:rPr>
          <w:rFonts w:ascii="Arial" w:hAnsi="Arial" w:cs="Arial"/>
          <w:sz w:val="22"/>
          <w:szCs w:val="22"/>
          <w:lang w:val="en-US"/>
        </w:rPr>
        <w:t>;</w:t>
      </w:r>
    </w:p>
    <w:p w14:paraId="61F77982" w14:textId="77777777" w:rsidR="002F1B52" w:rsidRPr="003A3829" w:rsidRDefault="002F1B52" w:rsidP="001241A7">
      <w:pPr>
        <w:pStyle w:val="Paragrafoelenco"/>
        <w:numPr>
          <w:ilvl w:val="0"/>
          <w:numId w:val="18"/>
        </w:numPr>
        <w:jc w:val="both"/>
        <w:rPr>
          <w:rFonts w:ascii="Arial" w:hAnsi="Arial" w:cs="Arial"/>
          <w:sz w:val="22"/>
          <w:szCs w:val="22"/>
        </w:rPr>
      </w:pPr>
      <w:r w:rsidRPr="003A3829">
        <w:rPr>
          <w:rFonts w:ascii="Arial" w:hAnsi="Arial" w:cs="Arial"/>
          <w:sz w:val="22"/>
          <w:szCs w:val="22"/>
        </w:rPr>
        <w:t>Rapporto di valutazione ex ante del PSR 2014-2020, inclusa la VAS;</w:t>
      </w:r>
    </w:p>
    <w:p w14:paraId="6DFD596C" w14:textId="77777777" w:rsidR="002F1B52" w:rsidRPr="003A3829" w:rsidRDefault="002F1B52" w:rsidP="001241A7">
      <w:pPr>
        <w:pStyle w:val="Paragrafoelenco"/>
        <w:numPr>
          <w:ilvl w:val="0"/>
          <w:numId w:val="18"/>
        </w:numPr>
        <w:jc w:val="both"/>
        <w:rPr>
          <w:rFonts w:ascii="Arial" w:hAnsi="Arial" w:cs="Arial"/>
          <w:sz w:val="22"/>
          <w:szCs w:val="22"/>
        </w:rPr>
      </w:pPr>
      <w:r w:rsidRPr="003A3829">
        <w:rPr>
          <w:rFonts w:ascii="Arial" w:hAnsi="Arial" w:cs="Arial"/>
          <w:sz w:val="22"/>
          <w:szCs w:val="22"/>
        </w:rPr>
        <w:t>Rapporto di valutazione ex post del PSR 2007-2013;</w:t>
      </w:r>
    </w:p>
    <w:p w14:paraId="73B61C77" w14:textId="25CABBAB" w:rsidR="00BE2FAA" w:rsidRDefault="002F1B52" w:rsidP="001241A7">
      <w:pPr>
        <w:pStyle w:val="Paragrafoelenco"/>
        <w:numPr>
          <w:ilvl w:val="0"/>
          <w:numId w:val="18"/>
        </w:numPr>
        <w:jc w:val="both"/>
        <w:rPr>
          <w:rFonts w:ascii="Arial" w:hAnsi="Arial" w:cs="Arial"/>
          <w:sz w:val="22"/>
          <w:szCs w:val="22"/>
        </w:rPr>
      </w:pPr>
      <w:r w:rsidRPr="003A3829">
        <w:rPr>
          <w:rFonts w:ascii="Arial" w:hAnsi="Arial" w:cs="Arial"/>
          <w:sz w:val="22"/>
          <w:szCs w:val="22"/>
        </w:rPr>
        <w:t>Linee guida “L’affidamento dei servizi di valutazione dei PSR 2014-2020”, Rete Rurale Nazionale, maggio 2016</w:t>
      </w:r>
      <w:r w:rsidR="00BE2FAA">
        <w:rPr>
          <w:rFonts w:ascii="Arial" w:hAnsi="Arial" w:cs="Arial"/>
          <w:sz w:val="22"/>
          <w:szCs w:val="22"/>
        </w:rPr>
        <w:t>;</w:t>
      </w:r>
    </w:p>
    <w:p w14:paraId="3A74270A" w14:textId="77777777" w:rsidR="00BE2FAA" w:rsidRPr="00BE2FAA" w:rsidRDefault="00BE2FAA" w:rsidP="00BE2FAA">
      <w:pPr>
        <w:numPr>
          <w:ilvl w:val="0"/>
          <w:numId w:val="18"/>
        </w:numPr>
        <w:autoSpaceDE w:val="0"/>
        <w:autoSpaceDN w:val="0"/>
        <w:adjustRightInd w:val="0"/>
        <w:rPr>
          <w:rFonts w:ascii="Arial" w:hAnsi="Arial" w:cs="Arial"/>
          <w:sz w:val="22"/>
          <w:szCs w:val="22"/>
        </w:rPr>
      </w:pPr>
      <w:r w:rsidRPr="00BE2FAA">
        <w:rPr>
          <w:rFonts w:ascii="Arial" w:hAnsi="Arial" w:cs="Arial"/>
          <w:sz w:val="22"/>
          <w:szCs w:val="22"/>
        </w:rPr>
        <w:t>Guidelines  assessment of rdp results: how to prepare for reporting on evaluation in 2017  del settembre 2016;</w:t>
      </w:r>
    </w:p>
    <w:p w14:paraId="321F5102" w14:textId="6BBD27FA" w:rsidR="00214F4F" w:rsidRPr="00184BE4" w:rsidRDefault="00214F4F" w:rsidP="00BE2FAA">
      <w:pPr>
        <w:pStyle w:val="Paragrafoelenco"/>
        <w:jc w:val="both"/>
        <w:rPr>
          <w:rFonts w:ascii="Arial" w:hAnsi="Arial" w:cs="Arial"/>
          <w:sz w:val="22"/>
          <w:szCs w:val="22"/>
        </w:rPr>
      </w:pPr>
    </w:p>
    <w:p w14:paraId="1ED02A55" w14:textId="1839ED58" w:rsidR="00273386" w:rsidRDefault="002F1B52" w:rsidP="00DA3478">
      <w:pPr>
        <w:pStyle w:val="Titolo1"/>
        <w:spacing w:line="360" w:lineRule="auto"/>
      </w:pPr>
      <w:r>
        <w:t xml:space="preserve">Art. </w:t>
      </w:r>
      <w:r w:rsidR="00273386">
        <w:t xml:space="preserve">2 Premessa </w:t>
      </w:r>
    </w:p>
    <w:p w14:paraId="6A343338" w14:textId="77777777" w:rsidR="00273386" w:rsidRPr="00273386" w:rsidRDefault="00273386" w:rsidP="00DA3478">
      <w:pPr>
        <w:spacing w:line="360" w:lineRule="auto"/>
      </w:pPr>
    </w:p>
    <w:p w14:paraId="516E9630" w14:textId="77777777" w:rsidR="00273386" w:rsidRPr="003A3829" w:rsidRDefault="00273386" w:rsidP="00DA3478">
      <w:pPr>
        <w:jc w:val="both"/>
        <w:rPr>
          <w:rFonts w:ascii="Arial" w:eastAsia="Times New Roman" w:hAnsi="Arial" w:cs="Arial"/>
        </w:rPr>
      </w:pPr>
      <w:r w:rsidRPr="003A3829">
        <w:rPr>
          <w:rFonts w:ascii="Arial" w:eastAsia="Times New Roman" w:hAnsi="Arial" w:cs="Arial"/>
          <w:color w:val="000000"/>
          <w:sz w:val="22"/>
          <w:szCs w:val="22"/>
        </w:rPr>
        <w:t>L’esecuzione dei servizi disciplinati dal presente capitolato è regolata dalle clausole contenute nel capitolato, dalle disposizioni di cui al D.</w:t>
      </w:r>
      <w:r>
        <w:rPr>
          <w:rFonts w:ascii="Arial" w:eastAsia="Times New Roman" w:hAnsi="Arial" w:cs="Arial"/>
          <w:color w:val="000000"/>
          <w:sz w:val="22"/>
          <w:szCs w:val="22"/>
        </w:rPr>
        <w:t xml:space="preserve"> </w:t>
      </w:r>
      <w:r w:rsidRPr="003A3829">
        <w:rPr>
          <w:rFonts w:ascii="Arial" w:eastAsia="Times New Roman" w:hAnsi="Arial" w:cs="Arial"/>
          <w:color w:val="000000"/>
          <w:sz w:val="22"/>
          <w:szCs w:val="22"/>
        </w:rPr>
        <w:t xml:space="preserve">Lgs. 18 aprile 2016, n. 50; dalle norme, anche regionali, in materia di </w:t>
      </w:r>
      <w:r>
        <w:rPr>
          <w:rFonts w:ascii="Arial" w:eastAsia="Times New Roman" w:hAnsi="Arial" w:cs="Arial"/>
          <w:color w:val="000000"/>
          <w:sz w:val="22"/>
          <w:szCs w:val="22"/>
        </w:rPr>
        <w:t>a</w:t>
      </w:r>
      <w:r w:rsidRPr="003A3829">
        <w:rPr>
          <w:rFonts w:ascii="Arial" w:eastAsia="Times New Roman" w:hAnsi="Arial" w:cs="Arial"/>
          <w:color w:val="000000"/>
          <w:sz w:val="22"/>
          <w:szCs w:val="22"/>
        </w:rPr>
        <w:t xml:space="preserve">cquisizione di </w:t>
      </w:r>
      <w:r>
        <w:rPr>
          <w:rFonts w:ascii="Arial" w:eastAsia="Times New Roman" w:hAnsi="Arial" w:cs="Arial"/>
          <w:color w:val="000000"/>
          <w:sz w:val="22"/>
          <w:szCs w:val="22"/>
        </w:rPr>
        <w:t>b</w:t>
      </w:r>
      <w:r w:rsidRPr="003A3829">
        <w:rPr>
          <w:rFonts w:ascii="Arial" w:eastAsia="Times New Roman" w:hAnsi="Arial" w:cs="Arial"/>
          <w:color w:val="000000"/>
          <w:sz w:val="22"/>
          <w:szCs w:val="22"/>
        </w:rPr>
        <w:t xml:space="preserve">eni e servizi e di </w:t>
      </w:r>
      <w:r>
        <w:rPr>
          <w:rFonts w:ascii="Arial" w:eastAsia="Times New Roman" w:hAnsi="Arial" w:cs="Arial"/>
          <w:color w:val="000000"/>
          <w:sz w:val="22"/>
          <w:szCs w:val="22"/>
        </w:rPr>
        <w:t>c</w:t>
      </w:r>
      <w:r w:rsidRPr="003A3829">
        <w:rPr>
          <w:rFonts w:ascii="Arial" w:eastAsia="Times New Roman" w:hAnsi="Arial" w:cs="Arial"/>
          <w:color w:val="000000"/>
          <w:sz w:val="22"/>
          <w:szCs w:val="22"/>
        </w:rPr>
        <w:t xml:space="preserve">ontabilità della Regione; dal codice civile e dalle altre disposizioni normative in vigore in materia di contratti di diritto privato; dalla normativa e dai regolamenti di settore comunitari, nazionali e regionali. </w:t>
      </w:r>
    </w:p>
    <w:p w14:paraId="1A848D7A" w14:textId="77777777" w:rsidR="00273386" w:rsidRPr="003A3829" w:rsidRDefault="00273386" w:rsidP="00DA3478">
      <w:pPr>
        <w:autoSpaceDE w:val="0"/>
        <w:autoSpaceDN w:val="0"/>
        <w:adjustRightInd w:val="0"/>
        <w:spacing w:after="120"/>
        <w:contextualSpacing/>
        <w:jc w:val="both"/>
        <w:rPr>
          <w:rFonts w:ascii="Arial" w:eastAsia="Times New Roman" w:hAnsi="Arial" w:cs="Arial"/>
          <w:color w:val="000000"/>
          <w:sz w:val="22"/>
          <w:szCs w:val="22"/>
        </w:rPr>
      </w:pPr>
      <w:r w:rsidRPr="003A3829">
        <w:rPr>
          <w:rFonts w:ascii="Arial" w:eastAsia="Times New Roman" w:hAnsi="Arial" w:cs="Arial"/>
          <w:color w:val="000000"/>
          <w:sz w:val="22"/>
          <w:szCs w:val="22"/>
        </w:rPr>
        <w:t xml:space="preserve">Le clausole del </w:t>
      </w:r>
      <w:r>
        <w:rPr>
          <w:rFonts w:ascii="Arial" w:eastAsia="Times New Roman" w:hAnsi="Arial" w:cs="Arial"/>
          <w:color w:val="000000"/>
          <w:sz w:val="22"/>
          <w:szCs w:val="22"/>
        </w:rPr>
        <w:t>c</w:t>
      </w:r>
      <w:r w:rsidRPr="003A3829">
        <w:rPr>
          <w:rFonts w:ascii="Arial" w:eastAsia="Times New Roman" w:hAnsi="Arial" w:cs="Arial"/>
          <w:color w:val="000000"/>
          <w:sz w:val="22"/>
          <w:szCs w:val="22"/>
        </w:rPr>
        <w:t>ontratto sono sostituite, modificate o abrogate automaticamente per effetto di norme aventi carattere cogente contenute in leggi o regolamenti che entreranno in vigore successivamente alla sua stipulazione</w:t>
      </w:r>
      <w:r>
        <w:rPr>
          <w:rFonts w:ascii="Arial" w:eastAsia="Times New Roman" w:hAnsi="Arial" w:cs="Arial"/>
          <w:color w:val="000000"/>
          <w:sz w:val="22"/>
          <w:szCs w:val="22"/>
        </w:rPr>
        <w:t>.</w:t>
      </w:r>
    </w:p>
    <w:p w14:paraId="76737FEE" w14:textId="6A7FD27E" w:rsidR="00214F4F" w:rsidRDefault="00273386" w:rsidP="00213C2C">
      <w:pPr>
        <w:pStyle w:val="Titolo1"/>
        <w:spacing w:line="360" w:lineRule="auto"/>
        <w:contextualSpacing/>
      </w:pPr>
      <w:r>
        <w:t>Art. 3</w:t>
      </w:r>
      <w:r w:rsidR="00214F4F" w:rsidRPr="00822EB0">
        <w:t xml:space="preserve"> </w:t>
      </w:r>
      <w:r w:rsidR="00986F6C">
        <w:t>Descrizione dell’incarico</w:t>
      </w:r>
    </w:p>
    <w:p w14:paraId="5FE076F7" w14:textId="77777777" w:rsidR="00DA3478" w:rsidRPr="00DA3478" w:rsidRDefault="00DA3478" w:rsidP="00213C2C">
      <w:pPr>
        <w:spacing w:line="360" w:lineRule="auto"/>
        <w:contextualSpacing/>
      </w:pPr>
    </w:p>
    <w:p w14:paraId="0A7D8883" w14:textId="6D18DD71" w:rsidR="00986F6C" w:rsidRPr="00273386" w:rsidRDefault="00986F6C" w:rsidP="00213C2C">
      <w:pPr>
        <w:autoSpaceDE w:val="0"/>
        <w:autoSpaceDN w:val="0"/>
        <w:adjustRightInd w:val="0"/>
        <w:contextualSpacing/>
        <w:jc w:val="both"/>
        <w:rPr>
          <w:rFonts w:ascii="Arial" w:eastAsia="Times New Roman" w:hAnsi="Arial" w:cs="Arial"/>
          <w:color w:val="000000"/>
          <w:sz w:val="22"/>
          <w:szCs w:val="22"/>
        </w:rPr>
      </w:pPr>
      <w:r w:rsidRPr="00273386">
        <w:rPr>
          <w:rFonts w:ascii="Arial" w:eastAsia="Times New Roman" w:hAnsi="Arial" w:cs="Arial"/>
          <w:color w:val="000000"/>
          <w:sz w:val="22"/>
          <w:szCs w:val="22"/>
        </w:rPr>
        <w:t>L’incarico ha per oggetto i servizi riguardanti le attività di “valutazione” del Programma di sviluppo rurale della Regione Umbria 2014-2020, formalme</w:t>
      </w:r>
      <w:r w:rsidR="00312D73" w:rsidRPr="00273386">
        <w:rPr>
          <w:rFonts w:ascii="Arial" w:eastAsia="Times New Roman" w:hAnsi="Arial" w:cs="Arial"/>
          <w:color w:val="000000"/>
          <w:sz w:val="22"/>
          <w:szCs w:val="22"/>
        </w:rPr>
        <w:t xml:space="preserve">nte adottato dalla Commissione </w:t>
      </w:r>
      <w:r w:rsidRPr="00273386">
        <w:rPr>
          <w:rFonts w:ascii="Arial" w:eastAsia="Times New Roman" w:hAnsi="Arial" w:cs="Arial"/>
          <w:color w:val="000000"/>
          <w:sz w:val="22"/>
          <w:szCs w:val="22"/>
        </w:rPr>
        <w:t xml:space="preserve">Europea il 12 giugno 2015 (Decisione C(2015)4156) e ratificato dalla Regione Umbria con la DGR n. 777 del 29 giugno 2015 ed in coerenza con quanto stabilito nel Piano di Valutazione (cap. 9 del PSR Umbria), secondo le prescrizioni e le specifiche fornite dai Regolamenti </w:t>
      </w:r>
      <w:r w:rsidR="00DA4EB1" w:rsidRPr="00273386">
        <w:rPr>
          <w:rFonts w:ascii="Arial" w:eastAsia="Times New Roman" w:hAnsi="Arial" w:cs="Arial"/>
          <w:color w:val="000000"/>
          <w:sz w:val="22"/>
          <w:szCs w:val="22"/>
        </w:rPr>
        <w:t xml:space="preserve">e degli indirizzi di riferimento riportati al </w:t>
      </w:r>
      <w:r w:rsidR="002F1B52" w:rsidRPr="00273386">
        <w:rPr>
          <w:rFonts w:ascii="Arial" w:eastAsia="Times New Roman" w:hAnsi="Arial" w:cs="Arial"/>
          <w:color w:val="000000"/>
          <w:sz w:val="22"/>
          <w:szCs w:val="22"/>
        </w:rPr>
        <w:t>precedente</w:t>
      </w:r>
      <w:r w:rsidR="00DA4EB1" w:rsidRPr="00273386">
        <w:rPr>
          <w:rFonts w:ascii="Arial" w:eastAsia="Times New Roman" w:hAnsi="Arial" w:cs="Arial"/>
          <w:color w:val="000000"/>
          <w:sz w:val="22"/>
          <w:szCs w:val="22"/>
        </w:rPr>
        <w:t xml:space="preserve"> A</w:t>
      </w:r>
      <w:r w:rsidR="002F1B52" w:rsidRPr="00273386">
        <w:rPr>
          <w:rFonts w:ascii="Arial" w:eastAsia="Times New Roman" w:hAnsi="Arial" w:cs="Arial"/>
          <w:color w:val="000000"/>
          <w:sz w:val="22"/>
          <w:szCs w:val="22"/>
        </w:rPr>
        <w:t>rt.1</w:t>
      </w:r>
      <w:r w:rsidR="00E66447">
        <w:rPr>
          <w:rFonts w:ascii="Arial" w:eastAsia="Times New Roman" w:hAnsi="Arial" w:cs="Arial"/>
          <w:color w:val="000000"/>
          <w:sz w:val="22"/>
          <w:szCs w:val="22"/>
        </w:rPr>
        <w:t xml:space="preserve"> compresi eventuali aggiornamenti</w:t>
      </w:r>
      <w:r w:rsidR="00DA4EB1" w:rsidRPr="00273386">
        <w:rPr>
          <w:rFonts w:ascii="Arial" w:eastAsia="Times New Roman" w:hAnsi="Arial" w:cs="Arial"/>
          <w:color w:val="000000"/>
          <w:sz w:val="22"/>
          <w:szCs w:val="22"/>
        </w:rPr>
        <w:t>.</w:t>
      </w:r>
    </w:p>
    <w:p w14:paraId="0989CFB1" w14:textId="7216C0E4" w:rsidR="00855587" w:rsidRPr="00273386" w:rsidRDefault="00855587" w:rsidP="00213C2C">
      <w:pPr>
        <w:jc w:val="both"/>
        <w:rPr>
          <w:rFonts w:ascii="Arial" w:eastAsia="Times New Roman" w:hAnsi="Arial" w:cs="Arial"/>
          <w:color w:val="000000"/>
          <w:sz w:val="22"/>
          <w:szCs w:val="22"/>
        </w:rPr>
      </w:pPr>
      <w:r w:rsidRPr="00273386">
        <w:rPr>
          <w:rFonts w:ascii="Arial" w:eastAsia="Times New Roman" w:hAnsi="Arial" w:cs="Arial"/>
          <w:color w:val="000000"/>
          <w:sz w:val="22"/>
          <w:szCs w:val="22"/>
        </w:rPr>
        <w:t>A tal fine vengono</w:t>
      </w:r>
      <w:r w:rsidR="00986F6C" w:rsidRPr="00273386">
        <w:rPr>
          <w:rFonts w:ascii="Arial" w:eastAsia="Times New Roman" w:hAnsi="Arial" w:cs="Arial"/>
          <w:color w:val="000000"/>
          <w:sz w:val="22"/>
          <w:szCs w:val="22"/>
        </w:rPr>
        <w:t>, in particolare, richi</w:t>
      </w:r>
      <w:r w:rsidRPr="00273386">
        <w:rPr>
          <w:rFonts w:ascii="Arial" w:eastAsia="Times New Roman" w:hAnsi="Arial" w:cs="Arial"/>
          <w:color w:val="000000"/>
          <w:sz w:val="22"/>
          <w:szCs w:val="22"/>
        </w:rPr>
        <w:t>amati</w:t>
      </w:r>
      <w:r w:rsidR="00986F6C" w:rsidRPr="00273386">
        <w:rPr>
          <w:rFonts w:ascii="Arial" w:eastAsia="Times New Roman" w:hAnsi="Arial" w:cs="Arial"/>
          <w:color w:val="000000"/>
          <w:sz w:val="22"/>
          <w:szCs w:val="22"/>
        </w:rPr>
        <w:t xml:space="preserve"> integralmente </w:t>
      </w:r>
      <w:r w:rsidRPr="00273386">
        <w:rPr>
          <w:rFonts w:ascii="Arial" w:eastAsia="Times New Roman" w:hAnsi="Arial" w:cs="Arial"/>
          <w:color w:val="000000"/>
          <w:sz w:val="22"/>
          <w:szCs w:val="22"/>
        </w:rPr>
        <w:t>gli allegati IV, V, VI e VII del Reg. (UE) 808/2014,</w:t>
      </w:r>
      <w:r w:rsidR="00273386" w:rsidRPr="00273386">
        <w:rPr>
          <w:rFonts w:ascii="Arial" w:eastAsia="Times New Roman" w:hAnsi="Arial" w:cs="Arial"/>
          <w:color w:val="000000"/>
          <w:sz w:val="22"/>
          <w:szCs w:val="22"/>
        </w:rPr>
        <w:t xml:space="preserve"> relativi rispettivamente agli</w:t>
      </w:r>
      <w:r w:rsidRPr="00273386">
        <w:rPr>
          <w:rFonts w:ascii="Arial" w:eastAsia="Times New Roman" w:hAnsi="Arial" w:cs="Arial"/>
          <w:color w:val="000000"/>
          <w:sz w:val="22"/>
          <w:szCs w:val="22"/>
        </w:rPr>
        <w:t xml:space="preserve"> </w:t>
      </w:r>
      <w:r w:rsidR="00273386" w:rsidRPr="00273386">
        <w:rPr>
          <w:rFonts w:ascii="Arial" w:eastAsia="Times New Roman" w:hAnsi="Arial" w:cs="Arial"/>
          <w:color w:val="000000"/>
          <w:sz w:val="22"/>
          <w:szCs w:val="22"/>
        </w:rPr>
        <w:t>indicatori comuni di contesto di risultato e di prodotto, al questionario valutativo comune per lo sviluppo rurale, ai principali elementi di supporto tecnico per il sistema di monitoraggio e valutazione e alla struttura e</w:t>
      </w:r>
      <w:r w:rsidR="00B44DB8">
        <w:rPr>
          <w:rFonts w:ascii="Arial" w:eastAsia="Times New Roman" w:hAnsi="Arial" w:cs="Arial"/>
          <w:color w:val="000000"/>
          <w:sz w:val="22"/>
          <w:szCs w:val="22"/>
        </w:rPr>
        <w:t xml:space="preserve"> al</w:t>
      </w:r>
      <w:r w:rsidR="00273386" w:rsidRPr="00273386">
        <w:rPr>
          <w:rFonts w:ascii="Arial" w:eastAsia="Times New Roman" w:hAnsi="Arial" w:cs="Arial"/>
          <w:color w:val="000000"/>
          <w:sz w:val="22"/>
          <w:szCs w:val="22"/>
        </w:rPr>
        <w:t xml:space="preserve"> contenuto delle relazioni annuali di attuazione.</w:t>
      </w:r>
    </w:p>
    <w:p w14:paraId="255B3BBA" w14:textId="7E76682E" w:rsidR="00986F6C" w:rsidRPr="00273386" w:rsidRDefault="00986F6C" w:rsidP="00273386">
      <w:pPr>
        <w:autoSpaceDE w:val="0"/>
        <w:autoSpaceDN w:val="0"/>
        <w:adjustRightInd w:val="0"/>
        <w:jc w:val="both"/>
        <w:rPr>
          <w:rFonts w:ascii="Arial" w:eastAsia="Times New Roman" w:hAnsi="Arial" w:cs="Arial"/>
          <w:color w:val="000000"/>
          <w:sz w:val="22"/>
          <w:szCs w:val="22"/>
        </w:rPr>
      </w:pPr>
      <w:r w:rsidRPr="00273386">
        <w:rPr>
          <w:rFonts w:ascii="Arial" w:eastAsia="Times New Roman" w:hAnsi="Arial" w:cs="Arial"/>
          <w:color w:val="000000"/>
          <w:sz w:val="22"/>
          <w:szCs w:val="22"/>
        </w:rPr>
        <w:t>Le valutazioni intermedie ed ex post degli interventi di sviluppo rurale cofinanziati dal FEASR, vertono sugli aspetti specifici del documento di programmazione di sviluppo rurale e sui criteri valutativi comuni che presentano rilevanza a livello comunitario. Esse si basano su un sistema di valutazione annuale in itinere. L’obiettivo della valutazione in itinere è quello di fornire all’Autorità di Gestione del Programma</w:t>
      </w:r>
      <w:r w:rsidR="00E25EEE" w:rsidRPr="00273386">
        <w:rPr>
          <w:rFonts w:ascii="Arial" w:eastAsia="Times New Roman" w:hAnsi="Arial" w:cs="Arial"/>
          <w:color w:val="000000"/>
          <w:sz w:val="22"/>
          <w:szCs w:val="22"/>
        </w:rPr>
        <w:t xml:space="preserve"> (AdG)</w:t>
      </w:r>
      <w:r w:rsidRPr="00273386">
        <w:rPr>
          <w:rFonts w:ascii="Arial" w:eastAsia="Times New Roman" w:hAnsi="Arial" w:cs="Arial"/>
          <w:color w:val="000000"/>
          <w:sz w:val="22"/>
          <w:szCs w:val="22"/>
        </w:rPr>
        <w:t xml:space="preserve"> e al Comitato di </w:t>
      </w:r>
      <w:r w:rsidR="00C3461A" w:rsidRPr="00273386">
        <w:rPr>
          <w:rFonts w:ascii="Arial" w:eastAsia="Times New Roman" w:hAnsi="Arial" w:cs="Arial"/>
          <w:color w:val="000000"/>
          <w:sz w:val="22"/>
          <w:szCs w:val="22"/>
        </w:rPr>
        <w:t>Sorveglianza</w:t>
      </w:r>
      <w:r w:rsidRPr="00273386">
        <w:rPr>
          <w:rFonts w:ascii="Arial" w:eastAsia="Times New Roman" w:hAnsi="Arial" w:cs="Arial"/>
          <w:color w:val="000000"/>
          <w:sz w:val="22"/>
          <w:szCs w:val="22"/>
        </w:rPr>
        <w:t xml:space="preserve">, tramite relazioni annuali, gli elementi per esaminare l’andamento del PSR rispetto ai suoi obiettivi, attraverso l’utilizzo di indicatori di risultato ed eventualmente di impatto, al fine di migliorare la qualità del programma e preparare la valutazione intermedia ed ex post. </w:t>
      </w:r>
    </w:p>
    <w:p w14:paraId="380F1ED2" w14:textId="1820D4A2" w:rsidR="00986F6C" w:rsidRPr="00273386" w:rsidRDefault="00192ADE" w:rsidP="00273386">
      <w:pPr>
        <w:autoSpaceDE w:val="0"/>
        <w:autoSpaceDN w:val="0"/>
        <w:adjustRightInd w:val="0"/>
        <w:jc w:val="both"/>
        <w:rPr>
          <w:rFonts w:ascii="Arial" w:eastAsia="Times New Roman" w:hAnsi="Arial" w:cs="Arial"/>
          <w:color w:val="000000"/>
          <w:sz w:val="22"/>
          <w:szCs w:val="22"/>
        </w:rPr>
      </w:pPr>
      <w:r>
        <w:rPr>
          <w:rFonts w:ascii="Arial" w:eastAsia="Times New Roman" w:hAnsi="Arial" w:cs="Arial"/>
          <w:color w:val="000000"/>
          <w:sz w:val="22"/>
          <w:szCs w:val="22"/>
        </w:rPr>
        <w:t>In particolare, l</w:t>
      </w:r>
      <w:r w:rsidR="00986F6C" w:rsidRPr="00273386">
        <w:rPr>
          <w:rFonts w:ascii="Arial" w:eastAsia="Times New Roman" w:hAnsi="Arial" w:cs="Arial"/>
          <w:color w:val="000000"/>
          <w:sz w:val="22"/>
          <w:szCs w:val="22"/>
        </w:rPr>
        <w:t>a valutazione intermedia verte sui risultati ottenuti,</w:t>
      </w:r>
      <w:r w:rsidR="00614F49">
        <w:rPr>
          <w:rFonts w:ascii="Arial" w:eastAsia="Times New Roman" w:hAnsi="Arial" w:cs="Arial"/>
          <w:color w:val="000000"/>
          <w:sz w:val="22"/>
          <w:szCs w:val="22"/>
        </w:rPr>
        <w:t xml:space="preserve"> sulla</w:t>
      </w:r>
      <w:r w:rsidR="00986F6C" w:rsidRPr="00273386">
        <w:rPr>
          <w:rFonts w:ascii="Arial" w:eastAsia="Times New Roman" w:hAnsi="Arial" w:cs="Arial"/>
          <w:color w:val="000000"/>
          <w:sz w:val="22"/>
          <w:szCs w:val="22"/>
        </w:rPr>
        <w:t xml:space="preserve"> loro importanza e </w:t>
      </w:r>
      <w:r w:rsidR="00614F49">
        <w:rPr>
          <w:rFonts w:ascii="Arial" w:eastAsia="Times New Roman" w:hAnsi="Arial" w:cs="Arial"/>
          <w:color w:val="000000"/>
          <w:sz w:val="22"/>
          <w:szCs w:val="22"/>
        </w:rPr>
        <w:t>sul</w:t>
      </w:r>
      <w:r w:rsidR="00986F6C" w:rsidRPr="00273386">
        <w:rPr>
          <w:rFonts w:ascii="Arial" w:eastAsia="Times New Roman" w:hAnsi="Arial" w:cs="Arial"/>
          <w:color w:val="000000"/>
          <w:sz w:val="22"/>
          <w:szCs w:val="22"/>
        </w:rPr>
        <w:t xml:space="preserve">la loro coerenza con il PSR nonché </w:t>
      </w:r>
      <w:r w:rsidR="00866DB9">
        <w:rPr>
          <w:rFonts w:ascii="Arial" w:eastAsia="Times New Roman" w:hAnsi="Arial" w:cs="Arial"/>
          <w:color w:val="000000"/>
          <w:sz w:val="22"/>
          <w:szCs w:val="22"/>
        </w:rPr>
        <w:t>sul</w:t>
      </w:r>
      <w:r w:rsidR="00986F6C" w:rsidRPr="00273386">
        <w:rPr>
          <w:rFonts w:ascii="Arial" w:eastAsia="Times New Roman" w:hAnsi="Arial" w:cs="Arial"/>
          <w:color w:val="000000"/>
          <w:sz w:val="22"/>
          <w:szCs w:val="22"/>
        </w:rPr>
        <w:t>la loro rispondenza agli obiettivi prefissati; essa verifica inoltre</w:t>
      </w:r>
      <w:r w:rsidR="001E55BB">
        <w:rPr>
          <w:rFonts w:ascii="Arial" w:eastAsia="Times New Roman" w:hAnsi="Arial" w:cs="Arial"/>
          <w:color w:val="000000"/>
          <w:sz w:val="22"/>
          <w:szCs w:val="22"/>
        </w:rPr>
        <w:t>,</w:t>
      </w:r>
      <w:r w:rsidR="00986F6C" w:rsidRPr="00273386">
        <w:rPr>
          <w:rFonts w:ascii="Arial" w:eastAsia="Times New Roman" w:hAnsi="Arial" w:cs="Arial"/>
          <w:color w:val="000000"/>
          <w:sz w:val="22"/>
          <w:szCs w:val="22"/>
        </w:rPr>
        <w:t xml:space="preserve"> come sono state impiegate le risorse finanziarie e come si sono svolte l</w:t>
      </w:r>
      <w:r w:rsidR="001E55BB">
        <w:rPr>
          <w:rFonts w:ascii="Arial" w:eastAsia="Times New Roman" w:hAnsi="Arial" w:cs="Arial"/>
          <w:color w:val="000000"/>
          <w:sz w:val="22"/>
          <w:szCs w:val="22"/>
        </w:rPr>
        <w:t>e attività di</w:t>
      </w:r>
      <w:r w:rsidR="00986F6C" w:rsidRPr="00273386">
        <w:rPr>
          <w:rFonts w:ascii="Arial" w:eastAsia="Times New Roman" w:hAnsi="Arial" w:cs="Arial"/>
          <w:color w:val="000000"/>
          <w:sz w:val="22"/>
          <w:szCs w:val="22"/>
        </w:rPr>
        <w:t xml:space="preserve"> sorveglianza e</w:t>
      </w:r>
      <w:r w:rsidR="001E55BB">
        <w:rPr>
          <w:rFonts w:ascii="Arial" w:eastAsia="Times New Roman" w:hAnsi="Arial" w:cs="Arial"/>
          <w:color w:val="000000"/>
          <w:sz w:val="22"/>
          <w:szCs w:val="22"/>
        </w:rPr>
        <w:t>d</w:t>
      </w:r>
      <w:r w:rsidR="00986F6C" w:rsidRPr="00273386">
        <w:rPr>
          <w:rFonts w:ascii="Arial" w:eastAsia="Times New Roman" w:hAnsi="Arial" w:cs="Arial"/>
          <w:color w:val="000000"/>
          <w:sz w:val="22"/>
          <w:szCs w:val="22"/>
        </w:rPr>
        <w:t xml:space="preserve"> esecuzione</w:t>
      </w:r>
      <w:r w:rsidR="001E55BB">
        <w:rPr>
          <w:rFonts w:ascii="Arial" w:eastAsia="Times New Roman" w:hAnsi="Arial" w:cs="Arial"/>
          <w:color w:val="000000"/>
          <w:sz w:val="22"/>
          <w:szCs w:val="22"/>
        </w:rPr>
        <w:t xml:space="preserve"> del programma</w:t>
      </w:r>
      <w:r w:rsidR="00986F6C" w:rsidRPr="00273386">
        <w:rPr>
          <w:rFonts w:ascii="Arial" w:eastAsia="Times New Roman" w:hAnsi="Arial" w:cs="Arial"/>
          <w:color w:val="000000"/>
          <w:sz w:val="22"/>
          <w:szCs w:val="22"/>
        </w:rPr>
        <w:t>.</w:t>
      </w:r>
    </w:p>
    <w:p w14:paraId="371E265F" w14:textId="77777777" w:rsidR="00986F6C" w:rsidRPr="00273386" w:rsidRDefault="00986F6C" w:rsidP="00273386">
      <w:pPr>
        <w:autoSpaceDE w:val="0"/>
        <w:autoSpaceDN w:val="0"/>
        <w:adjustRightInd w:val="0"/>
        <w:jc w:val="both"/>
        <w:rPr>
          <w:rFonts w:ascii="Arial" w:eastAsia="Times New Roman" w:hAnsi="Arial" w:cs="Arial"/>
          <w:color w:val="000000"/>
          <w:sz w:val="22"/>
          <w:szCs w:val="22"/>
        </w:rPr>
      </w:pPr>
      <w:r w:rsidRPr="00273386">
        <w:rPr>
          <w:rFonts w:ascii="Arial" w:eastAsia="Times New Roman" w:hAnsi="Arial" w:cs="Arial"/>
          <w:color w:val="000000"/>
          <w:sz w:val="22"/>
          <w:szCs w:val="22"/>
        </w:rPr>
        <w:t>La valutazione ex post esamina in particolare l’impiego delle risorse nonché l’efficacia, l’efficienza e l’impatto del sostegno concesso; essa trae inoltre conclusioni circa la politica di sviluppo rurale, incluso il suo contributo alla politica agricola comune.</w:t>
      </w:r>
    </w:p>
    <w:p w14:paraId="1AB2DA50" w14:textId="53A51084" w:rsidR="00986F6C" w:rsidRPr="00273386" w:rsidRDefault="00986F6C" w:rsidP="00273386">
      <w:pPr>
        <w:autoSpaceDE w:val="0"/>
        <w:autoSpaceDN w:val="0"/>
        <w:adjustRightInd w:val="0"/>
        <w:jc w:val="both"/>
        <w:rPr>
          <w:rFonts w:ascii="Arial" w:hAnsi="Arial" w:cs="Arial"/>
          <w:sz w:val="22"/>
          <w:szCs w:val="22"/>
        </w:rPr>
      </w:pPr>
      <w:r w:rsidRPr="00273386">
        <w:rPr>
          <w:rFonts w:ascii="Arial" w:eastAsia="Times New Roman" w:hAnsi="Arial" w:cs="Arial"/>
          <w:color w:val="000000"/>
          <w:sz w:val="22"/>
          <w:szCs w:val="22"/>
        </w:rPr>
        <w:t>Detta attività valutativa, dovrà coordinarsi ed integrarsi, coerentemente con quanto previsto da</w:t>
      </w:r>
      <w:r w:rsidR="00273386">
        <w:rPr>
          <w:rFonts w:ascii="Arial" w:eastAsia="Times New Roman" w:hAnsi="Arial" w:cs="Arial"/>
          <w:color w:val="000000"/>
          <w:sz w:val="22"/>
          <w:szCs w:val="22"/>
        </w:rPr>
        <w:t>l</w:t>
      </w:r>
      <w:r w:rsidRPr="00273386">
        <w:rPr>
          <w:rFonts w:ascii="Arial" w:eastAsia="Times New Roman" w:hAnsi="Arial" w:cs="Arial"/>
          <w:color w:val="000000"/>
          <w:sz w:val="22"/>
          <w:szCs w:val="22"/>
        </w:rPr>
        <w:t>l</w:t>
      </w:r>
      <w:r w:rsidR="00273386">
        <w:rPr>
          <w:rFonts w:ascii="Arial" w:eastAsia="Times New Roman" w:hAnsi="Arial" w:cs="Arial"/>
          <w:color w:val="000000"/>
          <w:sz w:val="22"/>
          <w:szCs w:val="22"/>
        </w:rPr>
        <w:t>’accordo di partenariato (AP) 2014-2020 Italia,</w:t>
      </w:r>
      <w:r w:rsidRPr="00273386">
        <w:rPr>
          <w:rFonts w:ascii="Arial" w:hAnsi="Arial" w:cs="Arial"/>
          <w:sz w:val="22"/>
          <w:szCs w:val="22"/>
        </w:rPr>
        <w:t xml:space="preserve"> mediante il Piano Unitario di Valutazione della Regione Umbria e ciò al fine di favorire e consolidare l’integrazione fra tutte le valutazioni di interventi della politica regionale da cui possono nascere comuni esigenze conoscitive e valutative.  </w:t>
      </w:r>
    </w:p>
    <w:p w14:paraId="6B9F94D4" w14:textId="07338562" w:rsidR="00E83135" w:rsidRPr="00E1583C" w:rsidRDefault="00723CDC" w:rsidP="00D602FA">
      <w:pPr>
        <w:autoSpaceDE w:val="0"/>
        <w:autoSpaceDN w:val="0"/>
        <w:adjustRightInd w:val="0"/>
        <w:jc w:val="both"/>
        <w:rPr>
          <w:rFonts w:ascii="Arial" w:hAnsi="Arial" w:cs="Arial"/>
          <w:sz w:val="22"/>
          <w:szCs w:val="22"/>
        </w:rPr>
      </w:pPr>
      <w:r w:rsidRPr="00834296">
        <w:rPr>
          <w:rFonts w:ascii="Arial" w:hAnsi="Arial" w:cs="Arial"/>
          <w:sz w:val="22"/>
          <w:szCs w:val="22"/>
        </w:rPr>
        <w:t xml:space="preserve">Ai sensi e per gli effetti dell’art. 51 del D.Lgs. n. 50/2016, si precisa che la presente procedura non viene suddivisa in lotti funzionali in quanto la suddivisione in lotti non soddisfa le condizioni di fruibilità e funzionalità delle singole parti del servizio di cui trattasi. Le prestazioni, oggetto dell’affidamento, singolarmente considerate, non presentano, infatti, una propria autonomia, fattibilità e utilità, ciascuna prestazione non presenta caratteristiche ed esigenze differenziate alle quali far fronte con appalti separati di minore importo. </w:t>
      </w:r>
      <w:r>
        <w:rPr>
          <w:rFonts w:ascii="Arial" w:hAnsi="Arial" w:cs="Arial"/>
          <w:sz w:val="22"/>
          <w:szCs w:val="22"/>
        </w:rPr>
        <w:t>Inoltre, d</w:t>
      </w:r>
      <w:r w:rsidRPr="00834296">
        <w:rPr>
          <w:rFonts w:ascii="Arial" w:hAnsi="Arial" w:cs="Arial"/>
          <w:sz w:val="22"/>
          <w:szCs w:val="22"/>
        </w:rPr>
        <w:t>a un punto di vista tecnico – organizzativo, la presenza di più operatori economici nell’esecuzione dell’appalto di cui trattasi determinerebbe problemi di coordinamento e efficienza del servizio di valutazione del programma.</w:t>
      </w:r>
    </w:p>
    <w:p w14:paraId="38411B02" w14:textId="5AB5EDD7" w:rsidR="00214F4F" w:rsidRDefault="00F06B51" w:rsidP="00F06B51">
      <w:pPr>
        <w:pStyle w:val="Titolo1"/>
        <w:tabs>
          <w:tab w:val="center" w:pos="4816"/>
        </w:tabs>
        <w:jc w:val="left"/>
      </w:pPr>
      <w:r>
        <w:tab/>
      </w:r>
      <w:r w:rsidR="00214F4F" w:rsidRPr="003A3829">
        <w:t xml:space="preserve">Art. </w:t>
      </w:r>
      <w:r w:rsidR="00273386">
        <w:t>4</w:t>
      </w:r>
      <w:r w:rsidR="00214F4F" w:rsidRPr="003A3829">
        <w:t xml:space="preserve"> Oggetto </w:t>
      </w:r>
      <w:r w:rsidR="008C351E" w:rsidRPr="003A3829">
        <w:t>dell’affidamento e ambito delle attività di valutazione</w:t>
      </w:r>
    </w:p>
    <w:p w14:paraId="212FDD68" w14:textId="77777777" w:rsidR="008B7FEE" w:rsidRPr="008B7FEE" w:rsidRDefault="008B7FEE" w:rsidP="008B7FEE"/>
    <w:p w14:paraId="634FC977" w14:textId="1960E98E" w:rsidR="00EF770F" w:rsidRDefault="00EF770F" w:rsidP="00EF770F">
      <w:pPr>
        <w:jc w:val="both"/>
        <w:rPr>
          <w:rFonts w:ascii="Arial" w:eastAsia="Times New Roman" w:hAnsi="Arial" w:cs="Arial"/>
          <w:color w:val="000000"/>
          <w:sz w:val="22"/>
          <w:szCs w:val="22"/>
        </w:rPr>
      </w:pPr>
      <w:r w:rsidRPr="00273386">
        <w:rPr>
          <w:rFonts w:ascii="Arial" w:eastAsia="Times New Roman" w:hAnsi="Arial" w:cs="Arial"/>
          <w:color w:val="000000"/>
          <w:sz w:val="22"/>
          <w:szCs w:val="22"/>
        </w:rPr>
        <w:t>L’affidamento oggetto della presente procedura comporta le seguenti distinte attività di valutazione</w:t>
      </w:r>
      <w:r w:rsidR="00F445E5">
        <w:rPr>
          <w:rFonts w:ascii="Arial" w:eastAsia="Times New Roman" w:hAnsi="Arial" w:cs="Arial"/>
          <w:color w:val="000000"/>
          <w:sz w:val="22"/>
          <w:szCs w:val="22"/>
        </w:rPr>
        <w:t>, elaborati sotto forma di rapporti di valutazione</w:t>
      </w:r>
      <w:r w:rsidRPr="00273386">
        <w:rPr>
          <w:rFonts w:ascii="Arial" w:eastAsia="Times New Roman" w:hAnsi="Arial" w:cs="Arial"/>
          <w:color w:val="000000"/>
          <w:sz w:val="22"/>
          <w:szCs w:val="22"/>
        </w:rPr>
        <w:t>:</w:t>
      </w:r>
    </w:p>
    <w:p w14:paraId="697915E6" w14:textId="33C8E697" w:rsidR="00F445E5" w:rsidRDefault="00F445E5" w:rsidP="00F445E5">
      <w:pPr>
        <w:pStyle w:val="Paragrafoelenco"/>
        <w:numPr>
          <w:ilvl w:val="0"/>
          <w:numId w:val="11"/>
        </w:numPr>
        <w:jc w:val="both"/>
        <w:rPr>
          <w:rFonts w:ascii="Arial" w:eastAsia="Times New Roman" w:hAnsi="Arial" w:cs="Arial"/>
          <w:color w:val="000000"/>
          <w:sz w:val="22"/>
          <w:szCs w:val="22"/>
        </w:rPr>
      </w:pPr>
      <w:r>
        <w:rPr>
          <w:rFonts w:ascii="Arial" w:eastAsia="Times New Roman" w:hAnsi="Arial" w:cs="Arial"/>
          <w:color w:val="000000"/>
          <w:sz w:val="22"/>
          <w:szCs w:val="22"/>
        </w:rPr>
        <w:t xml:space="preserve">Valutazioni annuali in </w:t>
      </w:r>
      <w:r w:rsidRPr="00F06F15">
        <w:rPr>
          <w:rFonts w:ascii="Arial" w:eastAsia="Times New Roman" w:hAnsi="Arial" w:cs="Arial"/>
          <w:color w:val="000000"/>
          <w:sz w:val="22"/>
          <w:szCs w:val="22"/>
        </w:rPr>
        <w:t>itinere a partire dal 201</w:t>
      </w:r>
      <w:r w:rsidR="00FD660E">
        <w:rPr>
          <w:rFonts w:ascii="Arial" w:eastAsia="Times New Roman" w:hAnsi="Arial" w:cs="Arial"/>
          <w:color w:val="000000"/>
          <w:sz w:val="22"/>
          <w:szCs w:val="22"/>
        </w:rPr>
        <w:t>7</w:t>
      </w:r>
      <w:r w:rsidRPr="00F06F15">
        <w:rPr>
          <w:rFonts w:ascii="Arial" w:eastAsia="Times New Roman" w:hAnsi="Arial" w:cs="Arial"/>
          <w:color w:val="000000"/>
          <w:sz w:val="22"/>
          <w:szCs w:val="22"/>
        </w:rPr>
        <w:t>;</w:t>
      </w:r>
    </w:p>
    <w:p w14:paraId="188273CE" w14:textId="00207719" w:rsidR="00F445E5" w:rsidRDefault="00F445E5" w:rsidP="00F445E5">
      <w:pPr>
        <w:pStyle w:val="Paragrafoelenco"/>
        <w:numPr>
          <w:ilvl w:val="0"/>
          <w:numId w:val="11"/>
        </w:numPr>
        <w:jc w:val="both"/>
        <w:rPr>
          <w:rFonts w:ascii="Arial" w:eastAsia="Times New Roman" w:hAnsi="Arial" w:cs="Arial"/>
          <w:color w:val="000000"/>
          <w:sz w:val="22"/>
          <w:szCs w:val="22"/>
        </w:rPr>
      </w:pPr>
      <w:r>
        <w:rPr>
          <w:rFonts w:ascii="Arial" w:eastAsia="Times New Roman" w:hAnsi="Arial" w:cs="Arial"/>
          <w:color w:val="000000"/>
          <w:sz w:val="22"/>
          <w:szCs w:val="22"/>
        </w:rPr>
        <w:t>Va</w:t>
      </w:r>
      <w:r w:rsidR="00E90BBB">
        <w:rPr>
          <w:rFonts w:ascii="Arial" w:eastAsia="Times New Roman" w:hAnsi="Arial" w:cs="Arial"/>
          <w:color w:val="000000"/>
          <w:sz w:val="22"/>
          <w:szCs w:val="22"/>
        </w:rPr>
        <w:t>lutazion</w:t>
      </w:r>
      <w:r w:rsidR="00FD660E">
        <w:rPr>
          <w:rFonts w:ascii="Arial" w:eastAsia="Times New Roman" w:hAnsi="Arial" w:cs="Arial"/>
          <w:color w:val="000000"/>
          <w:sz w:val="22"/>
          <w:szCs w:val="22"/>
        </w:rPr>
        <w:t>e</w:t>
      </w:r>
      <w:r w:rsidR="00E90BBB">
        <w:rPr>
          <w:rFonts w:ascii="Arial" w:eastAsia="Times New Roman" w:hAnsi="Arial" w:cs="Arial"/>
          <w:color w:val="000000"/>
          <w:sz w:val="22"/>
          <w:szCs w:val="22"/>
        </w:rPr>
        <w:t xml:space="preserve"> Rafforzat</w:t>
      </w:r>
      <w:r w:rsidR="00FD660E">
        <w:rPr>
          <w:rFonts w:ascii="Arial" w:eastAsia="Times New Roman" w:hAnsi="Arial" w:cs="Arial"/>
          <w:color w:val="000000"/>
          <w:sz w:val="22"/>
          <w:szCs w:val="22"/>
        </w:rPr>
        <w:t>a</w:t>
      </w:r>
      <w:r w:rsidR="00E90BBB">
        <w:rPr>
          <w:rFonts w:ascii="Arial" w:eastAsia="Times New Roman" w:hAnsi="Arial" w:cs="Arial"/>
          <w:color w:val="000000"/>
          <w:sz w:val="22"/>
          <w:szCs w:val="22"/>
        </w:rPr>
        <w:t xml:space="preserve"> inerenti l</w:t>
      </w:r>
      <w:r w:rsidR="00FD660E">
        <w:rPr>
          <w:rFonts w:ascii="Arial" w:eastAsia="Times New Roman" w:hAnsi="Arial" w:cs="Arial"/>
          <w:color w:val="000000"/>
          <w:sz w:val="22"/>
          <w:szCs w:val="22"/>
        </w:rPr>
        <w:t>’</w:t>
      </w:r>
      <w:r>
        <w:rPr>
          <w:rFonts w:ascii="Arial" w:eastAsia="Times New Roman" w:hAnsi="Arial" w:cs="Arial"/>
          <w:color w:val="000000"/>
          <w:sz w:val="22"/>
          <w:szCs w:val="22"/>
        </w:rPr>
        <w:t>annualità 2018 compresi aggiornamenti VAS;</w:t>
      </w:r>
    </w:p>
    <w:p w14:paraId="5A8EE301" w14:textId="07EF866B" w:rsidR="00F445E5" w:rsidRPr="003D77B0" w:rsidRDefault="00B416A8" w:rsidP="00F445E5">
      <w:pPr>
        <w:pStyle w:val="Paragrafoelenco"/>
        <w:numPr>
          <w:ilvl w:val="0"/>
          <w:numId w:val="11"/>
        </w:numPr>
        <w:jc w:val="both"/>
        <w:rPr>
          <w:rFonts w:ascii="Arial" w:eastAsia="Times New Roman" w:hAnsi="Arial" w:cs="Arial"/>
          <w:sz w:val="22"/>
          <w:szCs w:val="22"/>
        </w:rPr>
      </w:pPr>
      <w:r w:rsidRPr="003D77B0">
        <w:rPr>
          <w:rFonts w:ascii="Arial" w:eastAsia="Times New Roman" w:hAnsi="Arial" w:cs="Arial"/>
          <w:sz w:val="22"/>
          <w:szCs w:val="22"/>
        </w:rPr>
        <w:t>Valutazione ex post</w:t>
      </w:r>
      <w:r w:rsidR="00F445E5" w:rsidRPr="003D77B0">
        <w:rPr>
          <w:rFonts w:ascii="Arial" w:eastAsia="Times New Roman" w:hAnsi="Arial" w:cs="Arial"/>
          <w:sz w:val="22"/>
          <w:szCs w:val="22"/>
        </w:rPr>
        <w:t xml:space="preserve"> compreso aggiornamento VAS</w:t>
      </w:r>
      <w:r w:rsidR="00B85A16" w:rsidRPr="003D77B0">
        <w:rPr>
          <w:rFonts w:ascii="Arial" w:eastAsia="Times New Roman" w:hAnsi="Arial" w:cs="Arial"/>
          <w:sz w:val="22"/>
          <w:szCs w:val="22"/>
        </w:rPr>
        <w:t>;</w:t>
      </w:r>
    </w:p>
    <w:p w14:paraId="145E0A75" w14:textId="2361F5D3" w:rsidR="009C6D0B" w:rsidRPr="003D77B0" w:rsidRDefault="009C6D0B" w:rsidP="00F445E5">
      <w:pPr>
        <w:pStyle w:val="Paragrafoelenco"/>
        <w:numPr>
          <w:ilvl w:val="0"/>
          <w:numId w:val="11"/>
        </w:numPr>
        <w:jc w:val="both"/>
        <w:rPr>
          <w:rFonts w:ascii="Arial" w:eastAsia="Times New Roman" w:hAnsi="Arial" w:cs="Arial"/>
          <w:sz w:val="22"/>
          <w:szCs w:val="22"/>
        </w:rPr>
      </w:pPr>
      <w:r w:rsidRPr="003D77B0">
        <w:rPr>
          <w:rFonts w:ascii="Arial" w:eastAsia="Times New Roman" w:hAnsi="Arial" w:cs="Arial"/>
          <w:sz w:val="22"/>
          <w:szCs w:val="22"/>
        </w:rPr>
        <w:t>Valutazione ex ante e valutazione ambientale strategica (VAS) periodo di programmazione 2021-2028.</w:t>
      </w:r>
    </w:p>
    <w:p w14:paraId="4442D884" w14:textId="33B49FBC" w:rsidR="00F445E5" w:rsidRPr="008C7180" w:rsidRDefault="00F445E5" w:rsidP="00F445E5">
      <w:pPr>
        <w:pStyle w:val="Paragrafoelenco"/>
        <w:jc w:val="both"/>
        <w:rPr>
          <w:rFonts w:ascii="Arial" w:eastAsia="Times New Roman" w:hAnsi="Arial" w:cs="Arial"/>
          <w:color w:val="FF0000"/>
          <w:sz w:val="22"/>
          <w:szCs w:val="22"/>
        </w:rPr>
      </w:pPr>
    </w:p>
    <w:p w14:paraId="0AF861FC" w14:textId="20B64A84" w:rsidR="006C0B69" w:rsidRPr="00F445E5" w:rsidRDefault="000B35F8" w:rsidP="006C0B69">
      <w:pPr>
        <w:jc w:val="both"/>
        <w:rPr>
          <w:rFonts w:ascii="Arial" w:hAnsi="Arial" w:cs="Arial"/>
          <w:bCs/>
          <w:sz w:val="22"/>
          <w:szCs w:val="22"/>
        </w:rPr>
      </w:pPr>
      <w:r w:rsidRPr="00F445E5">
        <w:rPr>
          <w:rFonts w:ascii="Arial" w:hAnsi="Arial" w:cs="Arial"/>
          <w:sz w:val="22"/>
          <w:szCs w:val="22"/>
        </w:rPr>
        <w:t>L</w:t>
      </w:r>
      <w:r w:rsidR="006C0B69" w:rsidRPr="00F445E5">
        <w:rPr>
          <w:rFonts w:ascii="Arial" w:hAnsi="Arial" w:cs="Arial"/>
          <w:sz w:val="22"/>
          <w:szCs w:val="22"/>
        </w:rPr>
        <w:t>’affidamento del servizio comporta, da parte dell’aggiudicatario, la prestazione delle attività di valutazione</w:t>
      </w:r>
      <w:r w:rsidR="006C0B69" w:rsidRPr="00F445E5">
        <w:rPr>
          <w:rFonts w:ascii="Arial" w:hAnsi="Arial" w:cs="Arial"/>
          <w:bCs/>
          <w:sz w:val="22"/>
          <w:szCs w:val="22"/>
        </w:rPr>
        <w:t xml:space="preserve"> </w:t>
      </w:r>
      <w:r w:rsidR="006C0B69" w:rsidRPr="00F445E5">
        <w:rPr>
          <w:rFonts w:ascii="Arial" w:hAnsi="Arial" w:cs="Arial"/>
          <w:sz w:val="22"/>
          <w:szCs w:val="22"/>
        </w:rPr>
        <w:t xml:space="preserve">con riferimento alle principali quattro fasi della valutazione (strutturazione, osservazione, analisi, giudizio). Tale prestazione dovrà </w:t>
      </w:r>
      <w:r w:rsidR="006C0B69" w:rsidRPr="00F445E5">
        <w:rPr>
          <w:rFonts w:ascii="Arial" w:hAnsi="Arial" w:cs="Arial"/>
          <w:bCs/>
          <w:sz w:val="22"/>
          <w:szCs w:val="22"/>
        </w:rPr>
        <w:t xml:space="preserve">soddisfare le esigenze conoscitive dell’Autorità di gestione, della Commissione europea e degli stakeholder che, a qualsiasi titolo, intervengono nel processo di valutazione del PSR. In particolare l’aggiudicatario del servizio: </w:t>
      </w:r>
    </w:p>
    <w:p w14:paraId="75D3B212" w14:textId="3B6EE8DD" w:rsidR="006C0B69" w:rsidRPr="00F445E5" w:rsidRDefault="006C0B69" w:rsidP="001241A7">
      <w:pPr>
        <w:numPr>
          <w:ilvl w:val="0"/>
          <w:numId w:val="28"/>
        </w:numPr>
        <w:jc w:val="both"/>
        <w:rPr>
          <w:rFonts w:ascii="Arial" w:hAnsi="Arial" w:cs="Arial"/>
          <w:sz w:val="22"/>
          <w:szCs w:val="22"/>
        </w:rPr>
      </w:pPr>
      <w:r w:rsidRPr="00F445E5">
        <w:rPr>
          <w:rFonts w:ascii="Arial" w:hAnsi="Arial" w:cs="Arial"/>
          <w:b/>
          <w:i/>
          <w:iCs/>
          <w:sz w:val="22"/>
          <w:szCs w:val="22"/>
        </w:rPr>
        <w:t>rispetto alla strutturazione</w:t>
      </w:r>
      <w:r w:rsidRPr="00F445E5">
        <w:rPr>
          <w:rFonts w:ascii="Arial" w:hAnsi="Arial" w:cs="Arial"/>
          <w:i/>
          <w:iCs/>
          <w:sz w:val="22"/>
          <w:szCs w:val="22"/>
        </w:rPr>
        <w:t>,</w:t>
      </w:r>
      <w:r w:rsidRPr="00F445E5">
        <w:rPr>
          <w:rFonts w:ascii="Arial" w:hAnsi="Arial" w:cs="Arial"/>
          <w:sz w:val="22"/>
          <w:szCs w:val="22"/>
        </w:rPr>
        <w:t xml:space="preserve"> dovrà garantire, la predisposizione e presentazione nei termini stabiliti dal presente capitolato dei rapporti di valutazione ed eventuali rapporti richiesti ad hoc dall’Autorità di Gestione su particolari tematismi in seguito a quanto emerge dall’analisi della domanda</w:t>
      </w:r>
      <w:r w:rsidRPr="00F445E5">
        <w:rPr>
          <w:rFonts w:ascii="Arial" w:hAnsi="Arial" w:cs="Arial"/>
          <w:i/>
          <w:iCs/>
          <w:sz w:val="22"/>
          <w:szCs w:val="22"/>
        </w:rPr>
        <w:t xml:space="preserve">. </w:t>
      </w:r>
      <w:r w:rsidRPr="00F445E5">
        <w:rPr>
          <w:rFonts w:ascii="Arial" w:hAnsi="Arial" w:cs="Arial"/>
          <w:sz w:val="22"/>
          <w:szCs w:val="22"/>
        </w:rPr>
        <w:t>Inoltre dovrà garantire la propria partecipazione a momenti informativi/comunicativi volti alla diffusione e alla comprensione dei rapporti valutativi eseguiti (partecipazione a workshop, seminari, collaborazione a riviste informative anche on-line ecc). In tale ambito dovrà dimostrare di possedere adeguate risorse umane/organizzative e finanziarie volte a garantire il corretto svolgimento dell’attività di valutazione oggetto del presente servizio così come r</w:t>
      </w:r>
      <w:r w:rsidR="000B35F8" w:rsidRPr="00F445E5">
        <w:rPr>
          <w:rFonts w:ascii="Arial" w:hAnsi="Arial" w:cs="Arial"/>
          <w:sz w:val="22"/>
          <w:szCs w:val="22"/>
        </w:rPr>
        <w:t>iportato nell’offerta tecnica.</w:t>
      </w:r>
    </w:p>
    <w:p w14:paraId="55635F37" w14:textId="1F690672" w:rsidR="006C0B69" w:rsidRPr="00F445E5" w:rsidRDefault="006C0B69" w:rsidP="001241A7">
      <w:pPr>
        <w:numPr>
          <w:ilvl w:val="0"/>
          <w:numId w:val="28"/>
        </w:numPr>
        <w:jc w:val="both"/>
        <w:rPr>
          <w:rFonts w:ascii="Arial" w:hAnsi="Arial" w:cs="Arial"/>
          <w:sz w:val="22"/>
          <w:szCs w:val="22"/>
        </w:rPr>
      </w:pPr>
      <w:r w:rsidRPr="00F445E5">
        <w:rPr>
          <w:rFonts w:ascii="Arial" w:hAnsi="Arial" w:cs="Arial"/>
          <w:b/>
          <w:i/>
          <w:iCs/>
          <w:sz w:val="22"/>
          <w:szCs w:val="22"/>
        </w:rPr>
        <w:t>rispetto all’osservazione</w:t>
      </w:r>
      <w:r w:rsidRPr="00F445E5">
        <w:rPr>
          <w:rFonts w:ascii="Arial" w:hAnsi="Arial" w:cs="Arial"/>
          <w:i/>
          <w:iCs/>
          <w:sz w:val="22"/>
          <w:szCs w:val="22"/>
        </w:rPr>
        <w:t>,</w:t>
      </w:r>
      <w:r w:rsidRPr="00F445E5">
        <w:rPr>
          <w:rFonts w:ascii="Arial" w:hAnsi="Arial" w:cs="Arial"/>
          <w:sz w:val="22"/>
          <w:szCs w:val="22"/>
        </w:rPr>
        <w:t xml:space="preserve"> dovrà basarsi su dati e informazioni rinvenibili da fonti e documenti ufficiali. In particolare i fenomeni oggetto di valutazi</w:t>
      </w:r>
      <w:r w:rsidR="00847D13" w:rsidRPr="00F445E5">
        <w:rPr>
          <w:rFonts w:ascii="Arial" w:hAnsi="Arial" w:cs="Arial"/>
          <w:sz w:val="22"/>
          <w:szCs w:val="22"/>
        </w:rPr>
        <w:t xml:space="preserve">one potranno essere osservati: </w:t>
      </w:r>
    </w:p>
    <w:p w14:paraId="6048926D" w14:textId="71BDF113" w:rsidR="006C0B69" w:rsidRPr="00F445E5" w:rsidRDefault="006C0B69" w:rsidP="001241A7">
      <w:pPr>
        <w:numPr>
          <w:ilvl w:val="0"/>
          <w:numId w:val="27"/>
        </w:numPr>
        <w:tabs>
          <w:tab w:val="clear" w:pos="1080"/>
        </w:tabs>
        <w:ind w:hanging="360"/>
        <w:jc w:val="both"/>
        <w:rPr>
          <w:rFonts w:ascii="Arial" w:hAnsi="Arial" w:cs="Arial"/>
          <w:sz w:val="22"/>
          <w:szCs w:val="22"/>
        </w:rPr>
      </w:pPr>
      <w:r w:rsidRPr="00F445E5">
        <w:rPr>
          <w:rFonts w:ascii="Arial" w:hAnsi="Arial" w:cs="Arial"/>
          <w:sz w:val="22"/>
          <w:szCs w:val="22"/>
        </w:rPr>
        <w:t>attraverso dati già disponibili (dati secondari), che derivano principalmente dal sistema di monitoraggio del PSR. In tal caso l’Autorità di Gestione del PSR consentirà la piena disponibilità per il reperimento dei dati sul sistema di monitoraggio. Se ritenute utili alla comprensione degli effetti del programma, possono essere utilizzate anche informazioni disponibili presso l’amministrazione regional</w:t>
      </w:r>
      <w:r w:rsidR="00847D13" w:rsidRPr="00F445E5">
        <w:rPr>
          <w:rFonts w:ascii="Arial" w:hAnsi="Arial" w:cs="Arial"/>
          <w:sz w:val="22"/>
          <w:szCs w:val="22"/>
        </w:rPr>
        <w:t xml:space="preserve">e o presso altre banche dati e </w:t>
      </w:r>
      <w:r w:rsidRPr="00F445E5">
        <w:rPr>
          <w:rFonts w:ascii="Arial" w:hAnsi="Arial" w:cs="Arial"/>
          <w:sz w:val="22"/>
          <w:szCs w:val="22"/>
        </w:rPr>
        <w:t>informazioni derivanti da altre ricerche e statistiche ufficiali, sempre</w:t>
      </w:r>
      <w:r w:rsidR="00847D13" w:rsidRPr="00F445E5">
        <w:rPr>
          <w:rFonts w:ascii="Arial" w:hAnsi="Arial" w:cs="Arial"/>
          <w:sz w:val="22"/>
          <w:szCs w:val="22"/>
        </w:rPr>
        <w:t xml:space="preserve"> che</w:t>
      </w:r>
      <w:r w:rsidRPr="00F445E5">
        <w:rPr>
          <w:rFonts w:ascii="Arial" w:hAnsi="Arial" w:cs="Arial"/>
          <w:sz w:val="22"/>
          <w:szCs w:val="22"/>
        </w:rPr>
        <w:t xml:space="preserve"> sia verificata l’attendibilità del dato/informazione. Tutte queste informazioni possono contribuire alla comprensione degli effetti del programma. E’ chiaro che il monitoraggio rappresenti la fonte secondaria principale, in quanto aiuta a contestualizzare il contesto di intervento del PSR e gli ambiti di approfondimento delle indagini dirette. </w:t>
      </w:r>
    </w:p>
    <w:p w14:paraId="5B264A72" w14:textId="1F99C845" w:rsidR="006C0B69" w:rsidRPr="00F445E5" w:rsidRDefault="006C0B69" w:rsidP="001241A7">
      <w:pPr>
        <w:numPr>
          <w:ilvl w:val="0"/>
          <w:numId w:val="27"/>
        </w:numPr>
        <w:tabs>
          <w:tab w:val="clear" w:pos="1080"/>
        </w:tabs>
        <w:ind w:hanging="360"/>
        <w:jc w:val="both"/>
        <w:rPr>
          <w:rFonts w:ascii="Arial" w:hAnsi="Arial" w:cs="Arial"/>
          <w:sz w:val="22"/>
          <w:szCs w:val="22"/>
        </w:rPr>
      </w:pPr>
      <w:r w:rsidRPr="00F445E5">
        <w:rPr>
          <w:rFonts w:ascii="Arial" w:hAnsi="Arial" w:cs="Arial"/>
          <w:sz w:val="22"/>
          <w:szCs w:val="22"/>
        </w:rPr>
        <w:t xml:space="preserve">attraverso dati originali raccolti ad hoc anche tramite interviste o indagini presso portatori d’interessi per rispondere alle domande valutative (dati primari). In tal caso il reperimento del dato/informazione è a carico dell’aggiudicatario. Rientrano </w:t>
      </w:r>
      <w:r w:rsidR="00847D13" w:rsidRPr="00F445E5">
        <w:rPr>
          <w:rFonts w:ascii="Arial" w:hAnsi="Arial" w:cs="Arial"/>
          <w:sz w:val="22"/>
          <w:szCs w:val="22"/>
        </w:rPr>
        <w:t xml:space="preserve">in tale tipologia anche i dati </w:t>
      </w:r>
      <w:r w:rsidRPr="00F445E5">
        <w:rPr>
          <w:rFonts w:ascii="Arial" w:hAnsi="Arial" w:cs="Arial"/>
          <w:sz w:val="22"/>
          <w:szCs w:val="22"/>
        </w:rPr>
        <w:t>relativi agli indicatori di risultato, di impatto ed eventualmente quelli supplementari, non presenti nel sistema di monitoraggio, che pertanto dovranno essere reperiti e quantificati direttamente dall’aggiudicatario.</w:t>
      </w:r>
    </w:p>
    <w:p w14:paraId="0ADBAD52" w14:textId="75AFFF72" w:rsidR="00670003" w:rsidRPr="00F445E5" w:rsidRDefault="006C0B69" w:rsidP="001241A7">
      <w:pPr>
        <w:numPr>
          <w:ilvl w:val="0"/>
          <w:numId w:val="28"/>
        </w:numPr>
        <w:jc w:val="both"/>
        <w:rPr>
          <w:rFonts w:ascii="Arial" w:hAnsi="Arial" w:cs="Arial"/>
          <w:bCs/>
          <w:color w:val="000000"/>
          <w:sz w:val="22"/>
          <w:szCs w:val="22"/>
        </w:rPr>
      </w:pPr>
      <w:r w:rsidRPr="00F445E5">
        <w:rPr>
          <w:rFonts w:ascii="Arial" w:hAnsi="Arial" w:cs="Arial"/>
          <w:b/>
          <w:i/>
          <w:iCs/>
          <w:sz w:val="22"/>
          <w:szCs w:val="22"/>
        </w:rPr>
        <w:t>rispetto all’analisi</w:t>
      </w:r>
      <w:r w:rsidRPr="00F445E5">
        <w:rPr>
          <w:rFonts w:ascii="Arial" w:hAnsi="Arial" w:cs="Arial"/>
          <w:i/>
          <w:iCs/>
          <w:sz w:val="22"/>
          <w:szCs w:val="22"/>
        </w:rPr>
        <w:t>,</w:t>
      </w:r>
      <w:r w:rsidRPr="00F445E5">
        <w:rPr>
          <w:rFonts w:ascii="Arial" w:hAnsi="Arial" w:cs="Arial"/>
          <w:sz w:val="22"/>
          <w:szCs w:val="22"/>
        </w:rPr>
        <w:t xml:space="preserve"> dovrà porre particolare attenzione all’analisi della “</w:t>
      </w:r>
      <w:r w:rsidRPr="00F445E5">
        <w:rPr>
          <w:rFonts w:ascii="Arial" w:hAnsi="Arial" w:cs="Arial"/>
          <w:i/>
          <w:iCs/>
          <w:sz w:val="22"/>
          <w:szCs w:val="22"/>
        </w:rPr>
        <w:t>domanda di</w:t>
      </w:r>
      <w:r w:rsidR="001D76E6">
        <w:rPr>
          <w:rFonts w:ascii="Arial" w:hAnsi="Arial" w:cs="Arial"/>
          <w:i/>
          <w:iCs/>
          <w:sz w:val="22"/>
          <w:szCs w:val="22"/>
        </w:rPr>
        <w:t xml:space="preserve"> valutazione”, </w:t>
      </w:r>
      <w:r w:rsidRPr="00F445E5">
        <w:rPr>
          <w:rFonts w:ascii="Arial" w:hAnsi="Arial" w:cs="Arial"/>
          <w:sz w:val="22"/>
          <w:szCs w:val="22"/>
        </w:rPr>
        <w:t xml:space="preserve">finalizzata a comprendere la capacità del PSR dell’Umbria </w:t>
      </w:r>
      <w:r w:rsidR="00235C20" w:rsidRPr="00F445E5">
        <w:rPr>
          <w:rFonts w:ascii="Arial" w:hAnsi="Arial" w:cs="Arial"/>
          <w:sz w:val="22"/>
          <w:szCs w:val="22"/>
        </w:rPr>
        <w:t>2014</w:t>
      </w:r>
      <w:r w:rsidRPr="00F445E5">
        <w:rPr>
          <w:rFonts w:ascii="Arial" w:hAnsi="Arial" w:cs="Arial"/>
          <w:sz w:val="22"/>
          <w:szCs w:val="22"/>
        </w:rPr>
        <w:t>-</w:t>
      </w:r>
      <w:r w:rsidR="00235C20" w:rsidRPr="00F445E5">
        <w:rPr>
          <w:rFonts w:ascii="Arial" w:hAnsi="Arial" w:cs="Arial"/>
          <w:sz w:val="22"/>
          <w:szCs w:val="22"/>
        </w:rPr>
        <w:t>2020</w:t>
      </w:r>
      <w:r w:rsidRPr="00F445E5">
        <w:rPr>
          <w:rFonts w:ascii="Arial" w:hAnsi="Arial" w:cs="Arial"/>
          <w:sz w:val="22"/>
          <w:szCs w:val="22"/>
        </w:rPr>
        <w:t xml:space="preserve"> di raggiungere gli obiettivi </w:t>
      </w:r>
      <w:r w:rsidR="001D76E6">
        <w:rPr>
          <w:rFonts w:ascii="Arial" w:hAnsi="Arial" w:cs="Arial"/>
          <w:sz w:val="22"/>
          <w:szCs w:val="22"/>
        </w:rPr>
        <w:t>definiti nei Regolamenti e negli atti di indirizzo di cui all’art.1 del presente capitolato</w:t>
      </w:r>
      <w:r w:rsidR="003E4FFC" w:rsidRPr="00F445E5">
        <w:rPr>
          <w:rFonts w:ascii="Arial" w:hAnsi="Arial" w:cs="Arial"/>
          <w:sz w:val="22"/>
          <w:szCs w:val="22"/>
        </w:rPr>
        <w:t>. In partico</w:t>
      </w:r>
      <w:r w:rsidR="0039068E">
        <w:rPr>
          <w:rFonts w:ascii="Arial" w:hAnsi="Arial" w:cs="Arial"/>
          <w:sz w:val="22"/>
          <w:szCs w:val="22"/>
        </w:rPr>
        <w:t>lare il valutatore è chiamato a</w:t>
      </w:r>
      <w:r w:rsidR="003E4FFC" w:rsidRPr="00F445E5">
        <w:rPr>
          <w:rFonts w:ascii="Arial" w:hAnsi="Arial" w:cs="Arial"/>
          <w:sz w:val="22"/>
          <w:szCs w:val="22"/>
        </w:rPr>
        <w:t>:</w:t>
      </w:r>
    </w:p>
    <w:p w14:paraId="6DF0DA4E" w14:textId="77777777" w:rsidR="00E20EDA" w:rsidRPr="00F445E5" w:rsidRDefault="00E20EDA" w:rsidP="00F20C47">
      <w:pPr>
        <w:jc w:val="both"/>
        <w:rPr>
          <w:rFonts w:ascii="Arial" w:hAnsi="Arial" w:cs="Arial"/>
          <w:bCs/>
          <w:color w:val="000000"/>
          <w:sz w:val="22"/>
          <w:szCs w:val="22"/>
        </w:rPr>
      </w:pPr>
    </w:p>
    <w:p w14:paraId="710A15F9" w14:textId="4E013CDF" w:rsidR="001824B2" w:rsidRDefault="00C771F6" w:rsidP="001241A7">
      <w:pPr>
        <w:pStyle w:val="Default"/>
        <w:numPr>
          <w:ilvl w:val="0"/>
          <w:numId w:val="31"/>
        </w:numPr>
        <w:spacing w:after="120"/>
        <w:contextualSpacing/>
        <w:jc w:val="both"/>
        <w:rPr>
          <w:bCs/>
          <w:sz w:val="22"/>
          <w:szCs w:val="22"/>
        </w:rPr>
      </w:pPr>
      <w:r w:rsidRPr="00F86A3C">
        <w:rPr>
          <w:bCs/>
          <w:sz w:val="22"/>
          <w:szCs w:val="22"/>
        </w:rPr>
        <w:t>ricostruire la logica dell’intervento e, quindi, verificare la coerenza tra fabbisogni e obiettivi</w:t>
      </w:r>
      <w:r w:rsidR="00626BF8" w:rsidRPr="00F86A3C">
        <w:rPr>
          <w:bCs/>
          <w:sz w:val="22"/>
          <w:szCs w:val="22"/>
        </w:rPr>
        <w:t xml:space="preserve"> nonché gli indicatori proposti per la valutazione</w:t>
      </w:r>
      <w:r w:rsidR="001824B2">
        <w:rPr>
          <w:bCs/>
          <w:sz w:val="22"/>
          <w:szCs w:val="22"/>
        </w:rPr>
        <w:t>;</w:t>
      </w:r>
    </w:p>
    <w:p w14:paraId="3BB5C5AC" w14:textId="77777777" w:rsidR="001824B2" w:rsidRDefault="008918C0" w:rsidP="001241A7">
      <w:pPr>
        <w:pStyle w:val="Default"/>
        <w:numPr>
          <w:ilvl w:val="0"/>
          <w:numId w:val="31"/>
        </w:numPr>
        <w:spacing w:after="120"/>
        <w:contextualSpacing/>
        <w:jc w:val="both"/>
        <w:rPr>
          <w:color w:val="auto"/>
          <w:sz w:val="22"/>
          <w:szCs w:val="22"/>
        </w:rPr>
      </w:pPr>
      <w:r w:rsidRPr="00F86A3C">
        <w:rPr>
          <w:color w:val="auto"/>
          <w:sz w:val="22"/>
          <w:szCs w:val="22"/>
        </w:rPr>
        <w:t xml:space="preserve">analizzare le procedure di attuazione, con particolare riferimento alle modalità di gestione e sorveglianza del Programma e al funzionamento del circuito finanziario; </w:t>
      </w:r>
    </w:p>
    <w:p w14:paraId="1FC27A86" w14:textId="77777777" w:rsidR="001824B2" w:rsidRDefault="00E821FD" w:rsidP="001241A7">
      <w:pPr>
        <w:pStyle w:val="Default"/>
        <w:numPr>
          <w:ilvl w:val="0"/>
          <w:numId w:val="31"/>
        </w:numPr>
        <w:spacing w:after="120"/>
        <w:contextualSpacing/>
        <w:jc w:val="both"/>
        <w:rPr>
          <w:color w:val="auto"/>
          <w:sz w:val="22"/>
          <w:szCs w:val="22"/>
        </w:rPr>
      </w:pPr>
      <w:r w:rsidRPr="001824B2">
        <w:rPr>
          <w:bCs/>
          <w:sz w:val="22"/>
          <w:szCs w:val="22"/>
        </w:rPr>
        <w:t xml:space="preserve">quantificare il set degli indicatori di risultato e di impatto </w:t>
      </w:r>
      <w:r w:rsidR="0084118D" w:rsidRPr="001824B2">
        <w:rPr>
          <w:bCs/>
          <w:sz w:val="22"/>
          <w:szCs w:val="22"/>
        </w:rPr>
        <w:t xml:space="preserve">e fornire le risposte </w:t>
      </w:r>
      <w:r w:rsidR="0084118D" w:rsidRPr="001824B2">
        <w:rPr>
          <w:color w:val="auto"/>
          <w:sz w:val="22"/>
          <w:szCs w:val="22"/>
        </w:rPr>
        <w:t>ai quesiti valutativi comuni e specifici utilizzando criteri valutativi e gli indicatori previsti dal Reg (UE) 808/2014 (in particolare quelli previsti negli allegati IV, V, VI e VII dello stesso Regolamento</w:t>
      </w:r>
      <w:r w:rsidR="001824B2" w:rsidRPr="001824B2">
        <w:rPr>
          <w:color w:val="auto"/>
          <w:sz w:val="22"/>
          <w:szCs w:val="22"/>
        </w:rPr>
        <w:t>), tenendo anche conto del sistema di Monitoraggio unitario dei fondi SIE;</w:t>
      </w:r>
    </w:p>
    <w:p w14:paraId="7AB0A998" w14:textId="77777777" w:rsidR="001824B2" w:rsidRDefault="00930594" w:rsidP="001241A7">
      <w:pPr>
        <w:pStyle w:val="Default"/>
        <w:numPr>
          <w:ilvl w:val="0"/>
          <w:numId w:val="31"/>
        </w:numPr>
        <w:spacing w:after="120"/>
        <w:contextualSpacing/>
        <w:jc w:val="both"/>
        <w:rPr>
          <w:color w:val="auto"/>
          <w:sz w:val="22"/>
          <w:szCs w:val="22"/>
        </w:rPr>
      </w:pPr>
      <w:r w:rsidRPr="001824B2">
        <w:rPr>
          <w:color w:val="auto"/>
          <w:sz w:val="22"/>
          <w:szCs w:val="22"/>
        </w:rPr>
        <w:t>analizzare i risultati conseguiti, la loro importanza, la loro rispondenza agli obiettivi prefissati e la loro coerenza con il documento di programmazione, in particolare con la strategia elaborata, con indicazioni proattive per il miglioramento continuo</w:t>
      </w:r>
      <w:r w:rsidR="001824B2" w:rsidRPr="001824B2">
        <w:rPr>
          <w:color w:val="auto"/>
          <w:sz w:val="22"/>
          <w:szCs w:val="22"/>
        </w:rPr>
        <w:t>;</w:t>
      </w:r>
      <w:r w:rsidRPr="001824B2">
        <w:rPr>
          <w:color w:val="auto"/>
          <w:sz w:val="22"/>
          <w:szCs w:val="22"/>
        </w:rPr>
        <w:t xml:space="preserve"> </w:t>
      </w:r>
    </w:p>
    <w:p w14:paraId="7CA7CF5A" w14:textId="290DE41D" w:rsidR="0021774B" w:rsidRPr="00E66BA2" w:rsidRDefault="00B44DB8" w:rsidP="001241A7">
      <w:pPr>
        <w:pStyle w:val="Default"/>
        <w:numPr>
          <w:ilvl w:val="0"/>
          <w:numId w:val="31"/>
        </w:numPr>
        <w:spacing w:after="120"/>
        <w:contextualSpacing/>
        <w:jc w:val="both"/>
        <w:rPr>
          <w:color w:val="auto"/>
          <w:sz w:val="22"/>
          <w:szCs w:val="22"/>
        </w:rPr>
      </w:pPr>
      <w:r w:rsidRPr="001824B2">
        <w:rPr>
          <w:bCs/>
          <w:sz w:val="22"/>
          <w:szCs w:val="22"/>
        </w:rPr>
        <w:t>quantificare</w:t>
      </w:r>
      <w:r w:rsidRPr="001824B2">
        <w:rPr>
          <w:sz w:val="22"/>
          <w:szCs w:val="22"/>
        </w:rPr>
        <w:t xml:space="preserve"> </w:t>
      </w:r>
      <w:r>
        <w:rPr>
          <w:sz w:val="22"/>
          <w:szCs w:val="22"/>
        </w:rPr>
        <w:t>il</w:t>
      </w:r>
      <w:r w:rsidR="0015640B" w:rsidRPr="001824B2">
        <w:rPr>
          <w:sz w:val="22"/>
          <w:szCs w:val="22"/>
        </w:rPr>
        <w:t xml:space="preserve"> set aggiuntivo di indicat</w:t>
      </w:r>
      <w:r w:rsidR="008177CE">
        <w:rPr>
          <w:sz w:val="22"/>
          <w:szCs w:val="22"/>
        </w:rPr>
        <w:t>ori previsti nel PSR, al fine di</w:t>
      </w:r>
      <w:r w:rsidR="0015640B" w:rsidRPr="001824B2">
        <w:rPr>
          <w:sz w:val="22"/>
          <w:szCs w:val="22"/>
        </w:rPr>
        <w:t xml:space="preserve"> poter cogliere aspetti più di dettaglio delle azioni finanziate dal programma e verificare obiettivi regionali non previsti a livello comunitario. Si tratta, quindi, di rispondere a quesiti che riguardano gli effetti diretti e indiretti generati dal programma;</w:t>
      </w:r>
    </w:p>
    <w:p w14:paraId="4E1270C8" w14:textId="736F5D7D" w:rsidR="00E66BA2" w:rsidRPr="00E66BA2" w:rsidRDefault="00E66BA2" w:rsidP="001241A7">
      <w:pPr>
        <w:pStyle w:val="Default"/>
        <w:numPr>
          <w:ilvl w:val="0"/>
          <w:numId w:val="31"/>
        </w:numPr>
        <w:spacing w:after="120"/>
        <w:contextualSpacing/>
        <w:jc w:val="both"/>
        <w:rPr>
          <w:color w:val="auto"/>
          <w:sz w:val="22"/>
          <w:szCs w:val="22"/>
        </w:rPr>
      </w:pPr>
      <w:r w:rsidRPr="00F86A3C">
        <w:rPr>
          <w:color w:val="auto"/>
          <w:sz w:val="22"/>
          <w:szCs w:val="22"/>
        </w:rPr>
        <w:t>s</w:t>
      </w:r>
      <w:r w:rsidRPr="00F86A3C">
        <w:rPr>
          <w:bCs/>
          <w:sz w:val="22"/>
          <w:szCs w:val="22"/>
        </w:rPr>
        <w:t>upportare le scelte di definizione, rafforzamento e miglioramento del programma, delle sue strutture e delle sue procedure di attuazione;</w:t>
      </w:r>
    </w:p>
    <w:p w14:paraId="00552A0C" w14:textId="1610C664" w:rsidR="0015640B" w:rsidRPr="0064415C" w:rsidRDefault="00B44DB8" w:rsidP="001241A7">
      <w:pPr>
        <w:pStyle w:val="Default"/>
        <w:numPr>
          <w:ilvl w:val="0"/>
          <w:numId w:val="31"/>
        </w:numPr>
        <w:spacing w:after="120"/>
        <w:contextualSpacing/>
        <w:jc w:val="both"/>
        <w:rPr>
          <w:color w:val="auto"/>
          <w:sz w:val="22"/>
          <w:szCs w:val="22"/>
        </w:rPr>
      </w:pPr>
      <w:r>
        <w:rPr>
          <w:sz w:val="22"/>
          <w:szCs w:val="22"/>
        </w:rPr>
        <w:t>rispondere ai</w:t>
      </w:r>
      <w:r w:rsidR="0015640B" w:rsidRPr="0021774B">
        <w:rPr>
          <w:sz w:val="22"/>
          <w:szCs w:val="22"/>
        </w:rPr>
        <w:t xml:space="preserve"> quesiti specifici, che possono aiutare a comprendere le relazioni causa-effetto (es. aspetti procedurali, difficoltà emerse nella attuazione del programma ecc.). Si tratta, quindi, di aspetti che non riguardano gli effetti del programma, ma che possono aiutare a programmare e gestire meglio gli interventi;</w:t>
      </w:r>
    </w:p>
    <w:p w14:paraId="1D083EC3" w14:textId="3CEC2411" w:rsidR="0064415C" w:rsidRPr="00AE757E" w:rsidRDefault="0064415C" w:rsidP="001241A7">
      <w:pPr>
        <w:pStyle w:val="Default"/>
        <w:numPr>
          <w:ilvl w:val="0"/>
          <w:numId w:val="31"/>
        </w:numPr>
        <w:spacing w:after="120"/>
        <w:contextualSpacing/>
        <w:jc w:val="both"/>
        <w:rPr>
          <w:color w:val="auto"/>
          <w:sz w:val="22"/>
          <w:szCs w:val="22"/>
        </w:rPr>
      </w:pPr>
      <w:r w:rsidRPr="00F86A3C">
        <w:rPr>
          <w:sz w:val="22"/>
          <w:szCs w:val="22"/>
        </w:rPr>
        <w:t>approfondire aspetti/temi specifici individuati nel PSR per la loro particolare rilevanza strategica</w:t>
      </w:r>
      <w:r w:rsidR="00312D7E">
        <w:rPr>
          <w:sz w:val="22"/>
          <w:szCs w:val="22"/>
        </w:rPr>
        <w:t xml:space="preserve"> (con particolare riferimento alle tematiche trasversali – ambiente, clima ed innovazione)</w:t>
      </w:r>
      <w:r w:rsidRPr="00F86A3C">
        <w:rPr>
          <w:sz w:val="22"/>
          <w:szCs w:val="22"/>
        </w:rPr>
        <w:t xml:space="preserve"> per il successo e/o insuccesso della loro azione, per l’interesse rispetto alle priorità/fabbisogni indicati nel programma, per l’interesse del partenariato, per i risultati emersi nelle valutazioni riguardanti il passato, ecc. (es. ristrutturazione e riconversione aree tabacchicole, progettazione integrata; misure per la qualità, ecc);</w:t>
      </w:r>
    </w:p>
    <w:p w14:paraId="4AE322F3" w14:textId="148AD52A" w:rsidR="00AE757E" w:rsidRPr="00B44DB8" w:rsidRDefault="00B44DB8" w:rsidP="001241A7">
      <w:pPr>
        <w:pStyle w:val="Default"/>
        <w:numPr>
          <w:ilvl w:val="0"/>
          <w:numId w:val="31"/>
        </w:numPr>
        <w:spacing w:after="120"/>
        <w:contextualSpacing/>
        <w:jc w:val="both"/>
        <w:rPr>
          <w:color w:val="auto"/>
          <w:sz w:val="22"/>
          <w:szCs w:val="22"/>
        </w:rPr>
      </w:pPr>
      <w:r w:rsidRPr="00F86A3C">
        <w:rPr>
          <w:sz w:val="22"/>
          <w:szCs w:val="22"/>
        </w:rPr>
        <w:t xml:space="preserve">approfondire </w:t>
      </w:r>
      <w:r w:rsidR="00AE757E" w:rsidRPr="00F86A3C">
        <w:rPr>
          <w:sz w:val="22"/>
          <w:szCs w:val="22"/>
        </w:rPr>
        <w:t xml:space="preserve">i temi che è opportuno affrontare con un’ottica “unitaria” (es. energia, sistema logistico, aree interne, ITI, ecc.), guardando quindi all’insieme delle politiche (sviluppo rurale, PAC, coesione unitaria, </w:t>
      </w:r>
      <w:r>
        <w:rPr>
          <w:sz w:val="22"/>
          <w:szCs w:val="22"/>
        </w:rPr>
        <w:t xml:space="preserve">politiche </w:t>
      </w:r>
      <w:r w:rsidR="00AE757E" w:rsidRPr="00F86A3C">
        <w:rPr>
          <w:sz w:val="22"/>
          <w:szCs w:val="22"/>
        </w:rPr>
        <w:t>regional</w:t>
      </w:r>
      <w:r>
        <w:rPr>
          <w:sz w:val="22"/>
          <w:szCs w:val="22"/>
        </w:rPr>
        <w:t>i</w:t>
      </w:r>
      <w:r w:rsidR="00AE757E" w:rsidRPr="00F86A3C">
        <w:rPr>
          <w:sz w:val="22"/>
          <w:szCs w:val="22"/>
        </w:rPr>
        <w:t>) che possono agire su quel determinato fenomeno</w:t>
      </w:r>
      <w:r w:rsidR="003A4162">
        <w:rPr>
          <w:sz w:val="22"/>
          <w:szCs w:val="22"/>
        </w:rPr>
        <w:t>;</w:t>
      </w:r>
    </w:p>
    <w:p w14:paraId="2D206B46" w14:textId="4FC02D0D" w:rsidR="00B44DB8" w:rsidRPr="003A4162" w:rsidRDefault="00B44DB8" w:rsidP="001241A7">
      <w:pPr>
        <w:pStyle w:val="Default"/>
        <w:numPr>
          <w:ilvl w:val="0"/>
          <w:numId w:val="31"/>
        </w:numPr>
        <w:spacing w:after="120"/>
        <w:contextualSpacing/>
        <w:jc w:val="both"/>
        <w:rPr>
          <w:color w:val="auto"/>
          <w:sz w:val="22"/>
          <w:szCs w:val="22"/>
        </w:rPr>
      </w:pPr>
      <w:r>
        <w:rPr>
          <w:color w:val="auto"/>
          <w:sz w:val="22"/>
          <w:szCs w:val="22"/>
        </w:rPr>
        <w:t>analizzare e valutare la riserva di performance come previsto dal programma;</w:t>
      </w:r>
    </w:p>
    <w:p w14:paraId="23741E5B" w14:textId="77777777" w:rsidR="003A4162" w:rsidRDefault="003A4162" w:rsidP="001241A7">
      <w:pPr>
        <w:pStyle w:val="Default"/>
        <w:numPr>
          <w:ilvl w:val="0"/>
          <w:numId w:val="31"/>
        </w:numPr>
        <w:spacing w:after="120"/>
        <w:contextualSpacing/>
        <w:jc w:val="both"/>
        <w:rPr>
          <w:color w:val="auto"/>
          <w:sz w:val="22"/>
          <w:szCs w:val="22"/>
        </w:rPr>
      </w:pPr>
      <w:r w:rsidRPr="00F86A3C">
        <w:rPr>
          <w:color w:val="auto"/>
          <w:sz w:val="22"/>
          <w:szCs w:val="22"/>
        </w:rPr>
        <w:t xml:space="preserve">fornire un’analisi ed eventuali indicazioni migliorative, su richiesta dell’Autorità di Gestione, su quesiti e altri aspetti di specifico interesse a livello regionale; </w:t>
      </w:r>
    </w:p>
    <w:p w14:paraId="307BC29E" w14:textId="2A9915AE" w:rsidR="002C34A5" w:rsidRPr="002C34A5" w:rsidRDefault="008F7C0F" w:rsidP="001241A7">
      <w:pPr>
        <w:pStyle w:val="Default"/>
        <w:numPr>
          <w:ilvl w:val="0"/>
          <w:numId w:val="31"/>
        </w:numPr>
        <w:spacing w:after="120"/>
        <w:contextualSpacing/>
        <w:jc w:val="both"/>
        <w:rPr>
          <w:color w:val="auto"/>
          <w:sz w:val="22"/>
          <w:szCs w:val="22"/>
        </w:rPr>
      </w:pPr>
      <w:r w:rsidRPr="00F86A3C">
        <w:rPr>
          <w:color w:val="auto"/>
          <w:sz w:val="22"/>
          <w:szCs w:val="22"/>
        </w:rPr>
        <w:t>fornire un’analisi del contributo del Programma al raggiungimento degli Obiettivi Tematici dell'Accordo di Partenariato;</w:t>
      </w:r>
    </w:p>
    <w:p w14:paraId="3E97E032" w14:textId="21319ACE" w:rsidR="008F7C0F" w:rsidRDefault="008F7C0F" w:rsidP="001241A7">
      <w:pPr>
        <w:pStyle w:val="Default"/>
        <w:numPr>
          <w:ilvl w:val="0"/>
          <w:numId w:val="31"/>
        </w:numPr>
        <w:spacing w:after="120"/>
        <w:contextualSpacing/>
        <w:jc w:val="both"/>
        <w:rPr>
          <w:color w:val="auto"/>
          <w:sz w:val="22"/>
          <w:szCs w:val="22"/>
        </w:rPr>
      </w:pPr>
      <w:r w:rsidRPr="00F86A3C">
        <w:rPr>
          <w:color w:val="auto"/>
          <w:sz w:val="22"/>
          <w:szCs w:val="22"/>
        </w:rPr>
        <w:t xml:space="preserve">fornire un’analisi </w:t>
      </w:r>
      <w:r w:rsidR="00BE06E2">
        <w:rPr>
          <w:color w:val="auto"/>
          <w:sz w:val="22"/>
          <w:szCs w:val="22"/>
        </w:rPr>
        <w:t xml:space="preserve"> e una valutazione </w:t>
      </w:r>
      <w:r w:rsidRPr="00F86A3C">
        <w:rPr>
          <w:color w:val="auto"/>
          <w:sz w:val="22"/>
          <w:szCs w:val="22"/>
        </w:rPr>
        <w:t xml:space="preserve">del contributo del Programma al tema della strategia dello sviluppo locale </w:t>
      </w:r>
      <w:r w:rsidR="00BE06E2">
        <w:rPr>
          <w:color w:val="auto"/>
          <w:sz w:val="22"/>
          <w:szCs w:val="22"/>
        </w:rPr>
        <w:t>attuate dei GAL</w:t>
      </w:r>
      <w:r w:rsidRPr="00F86A3C">
        <w:rPr>
          <w:color w:val="auto"/>
          <w:sz w:val="22"/>
          <w:szCs w:val="22"/>
        </w:rPr>
        <w:t>, ivi incluso il contributo agli aspetti specifici degli interventi realizzati nell’ambito dell’attuazione dei PAL</w:t>
      </w:r>
      <w:r w:rsidR="00BE06E2">
        <w:rPr>
          <w:color w:val="auto"/>
          <w:sz w:val="22"/>
          <w:szCs w:val="22"/>
        </w:rPr>
        <w:t xml:space="preserve"> e dei relativi risultati conseguiti</w:t>
      </w:r>
      <w:r w:rsidRPr="00F86A3C">
        <w:rPr>
          <w:color w:val="auto"/>
          <w:sz w:val="22"/>
          <w:szCs w:val="22"/>
        </w:rPr>
        <w:t>;</w:t>
      </w:r>
    </w:p>
    <w:p w14:paraId="760FF87C" w14:textId="17A33D62" w:rsidR="00CD4480" w:rsidRPr="00AB717A" w:rsidRDefault="00B44DB8" w:rsidP="001241A7">
      <w:pPr>
        <w:pStyle w:val="Default"/>
        <w:numPr>
          <w:ilvl w:val="0"/>
          <w:numId w:val="31"/>
        </w:numPr>
        <w:spacing w:after="120"/>
        <w:contextualSpacing/>
        <w:jc w:val="both"/>
        <w:rPr>
          <w:color w:val="auto"/>
          <w:sz w:val="22"/>
          <w:szCs w:val="22"/>
        </w:rPr>
      </w:pPr>
      <w:r>
        <w:rPr>
          <w:sz w:val="22"/>
          <w:szCs w:val="22"/>
        </w:rPr>
        <w:t>a</w:t>
      </w:r>
      <w:r w:rsidR="00CD4480" w:rsidRPr="00F86A3C">
        <w:rPr>
          <w:sz w:val="22"/>
          <w:szCs w:val="22"/>
        </w:rPr>
        <w:t>nali</w:t>
      </w:r>
      <w:r>
        <w:rPr>
          <w:sz w:val="22"/>
          <w:szCs w:val="22"/>
        </w:rPr>
        <w:t>zzare i</w:t>
      </w:r>
      <w:r w:rsidR="00CD4480" w:rsidRPr="00F86A3C">
        <w:rPr>
          <w:sz w:val="22"/>
          <w:szCs w:val="22"/>
        </w:rPr>
        <w:t xml:space="preserve"> risultati e </w:t>
      </w:r>
      <w:r>
        <w:rPr>
          <w:sz w:val="22"/>
          <w:szCs w:val="22"/>
        </w:rPr>
        <w:t xml:space="preserve">gli </w:t>
      </w:r>
      <w:r w:rsidR="00CD4480" w:rsidRPr="00F86A3C">
        <w:rPr>
          <w:sz w:val="22"/>
          <w:szCs w:val="22"/>
        </w:rPr>
        <w:t>impatt</w:t>
      </w:r>
      <w:r>
        <w:rPr>
          <w:sz w:val="22"/>
          <w:szCs w:val="22"/>
        </w:rPr>
        <w:t>i</w:t>
      </w:r>
      <w:r w:rsidR="00CD4480" w:rsidRPr="00F86A3C">
        <w:rPr>
          <w:sz w:val="22"/>
          <w:szCs w:val="22"/>
        </w:rPr>
        <w:t xml:space="preserve"> </w:t>
      </w:r>
      <w:r>
        <w:rPr>
          <w:sz w:val="22"/>
          <w:szCs w:val="22"/>
        </w:rPr>
        <w:t>degli</w:t>
      </w:r>
      <w:r w:rsidR="00CD4480" w:rsidRPr="00F86A3C">
        <w:rPr>
          <w:sz w:val="22"/>
          <w:szCs w:val="22"/>
        </w:rPr>
        <w:t xml:space="preserve"> specifici strumenti finanziari utilizzati nell’ambito del programma e la loro integrazione con altri strumenti finanziari; </w:t>
      </w:r>
    </w:p>
    <w:p w14:paraId="694A41EF" w14:textId="1EF441C9" w:rsidR="00AB717A" w:rsidRPr="00F86A3C" w:rsidRDefault="00B44DB8" w:rsidP="001241A7">
      <w:pPr>
        <w:pStyle w:val="Default"/>
        <w:numPr>
          <w:ilvl w:val="0"/>
          <w:numId w:val="31"/>
        </w:numPr>
        <w:spacing w:after="120"/>
        <w:contextualSpacing/>
        <w:jc w:val="both"/>
        <w:rPr>
          <w:color w:val="auto"/>
          <w:sz w:val="22"/>
          <w:szCs w:val="22"/>
        </w:rPr>
      </w:pPr>
      <w:r>
        <w:rPr>
          <w:sz w:val="22"/>
          <w:szCs w:val="22"/>
        </w:rPr>
        <w:t>approfondire la</w:t>
      </w:r>
      <w:r w:rsidR="00AB717A" w:rsidRPr="00F86A3C">
        <w:rPr>
          <w:sz w:val="22"/>
          <w:szCs w:val="22"/>
        </w:rPr>
        <w:t xml:space="preserve"> Valutazione Ambientale Strategica (VAS) relativamente agli elementi salienti emersi durante il processo di VAS, quali ad esempio: obiettivi e indicatori aggiuntivi e aspetti su cui la VAS ha segnalato “attenzione” e suggerito misure di mitigazione o potenziamento, effetti significativi per reversibilità durata e frequenza o effetti indiretti, cumulativi e sinergici di medio e lungo termine, verificabili nel lungo periodo, ecc..</w:t>
      </w:r>
    </w:p>
    <w:p w14:paraId="36229F56" w14:textId="11C99B2E" w:rsidR="00AB717A" w:rsidRPr="00F86A3C" w:rsidRDefault="00AB717A" w:rsidP="001241A7">
      <w:pPr>
        <w:pStyle w:val="Default"/>
        <w:numPr>
          <w:ilvl w:val="0"/>
          <w:numId w:val="31"/>
        </w:numPr>
        <w:spacing w:after="120"/>
        <w:contextualSpacing/>
        <w:jc w:val="both"/>
        <w:rPr>
          <w:color w:val="auto"/>
          <w:sz w:val="22"/>
          <w:szCs w:val="22"/>
        </w:rPr>
      </w:pPr>
      <w:r w:rsidRPr="00F86A3C">
        <w:rPr>
          <w:bCs/>
          <w:sz w:val="22"/>
          <w:szCs w:val="22"/>
        </w:rPr>
        <w:t>supportare l’AdG alla diffusione dei risultati conseguiti del PSR ai soggetti interessati</w:t>
      </w:r>
      <w:r w:rsidR="00B44DB8">
        <w:rPr>
          <w:bCs/>
          <w:sz w:val="22"/>
          <w:szCs w:val="22"/>
        </w:rPr>
        <w:t xml:space="preserve"> e partecipare al CdS a supporto dell’Autorità di gestione</w:t>
      </w:r>
      <w:r w:rsidRPr="00F86A3C">
        <w:rPr>
          <w:bCs/>
          <w:sz w:val="22"/>
          <w:szCs w:val="22"/>
        </w:rPr>
        <w:t>;</w:t>
      </w:r>
    </w:p>
    <w:p w14:paraId="767FAF7B" w14:textId="77777777" w:rsidR="001A4C85" w:rsidRPr="00F86A3C" w:rsidRDefault="001A4C85" w:rsidP="001241A7">
      <w:pPr>
        <w:pStyle w:val="Default"/>
        <w:numPr>
          <w:ilvl w:val="0"/>
          <w:numId w:val="31"/>
        </w:numPr>
        <w:spacing w:after="120"/>
        <w:contextualSpacing/>
        <w:jc w:val="both"/>
        <w:rPr>
          <w:color w:val="auto"/>
          <w:sz w:val="22"/>
          <w:szCs w:val="22"/>
        </w:rPr>
      </w:pPr>
      <w:r w:rsidRPr="00F86A3C">
        <w:rPr>
          <w:bCs/>
          <w:sz w:val="22"/>
          <w:szCs w:val="22"/>
        </w:rPr>
        <w:t xml:space="preserve">dare </w:t>
      </w:r>
      <w:r w:rsidRPr="00F86A3C">
        <w:rPr>
          <w:sz w:val="22"/>
          <w:szCs w:val="22"/>
        </w:rPr>
        <w:t>risposta a quesiti specifici formulati dall’AdG, che possono aiutare a comprendere le relazioni causa-effetto (es. aspetti procedurali, difficoltà emerse nella attuazione del programma ecc.). Si tratta, quindi, di aspetti che non riguardano gli effetti del programma, ma che possono aiutare a programmare e gestire meglio gli interventi;</w:t>
      </w:r>
    </w:p>
    <w:p w14:paraId="4A6A4AF5" w14:textId="77777777" w:rsidR="00E45EF4" w:rsidRPr="002C34A5" w:rsidRDefault="00784C72" w:rsidP="001241A7">
      <w:pPr>
        <w:pStyle w:val="Default"/>
        <w:numPr>
          <w:ilvl w:val="0"/>
          <w:numId w:val="31"/>
        </w:numPr>
        <w:spacing w:after="120"/>
        <w:contextualSpacing/>
        <w:jc w:val="both"/>
        <w:rPr>
          <w:color w:val="auto"/>
          <w:sz w:val="22"/>
          <w:szCs w:val="22"/>
        </w:rPr>
      </w:pPr>
      <w:r w:rsidRPr="00E45EF4">
        <w:rPr>
          <w:sz w:val="22"/>
          <w:szCs w:val="22"/>
        </w:rPr>
        <w:t>analizzare il</w:t>
      </w:r>
      <w:r w:rsidR="00C507CE" w:rsidRPr="00E45EF4">
        <w:rPr>
          <w:sz w:val="22"/>
          <w:szCs w:val="22"/>
        </w:rPr>
        <w:t xml:space="preserve"> raccordo della valutazione del FEASR con le valutazioni dei Programmi Operativi FESR e FSE, al fine di garantire l’unitarietà dei piani di valutazione a livello regionale, come indicato nell’Accordo di Partenariato</w:t>
      </w:r>
      <w:r w:rsidR="000F2AA5" w:rsidRPr="00E45EF4">
        <w:rPr>
          <w:sz w:val="22"/>
          <w:szCs w:val="22"/>
        </w:rPr>
        <w:t>;</w:t>
      </w:r>
    </w:p>
    <w:p w14:paraId="4DE1910C" w14:textId="2E3F9C24" w:rsidR="002C34A5" w:rsidRDefault="002C34A5" w:rsidP="001241A7">
      <w:pPr>
        <w:pStyle w:val="Default"/>
        <w:numPr>
          <w:ilvl w:val="0"/>
          <w:numId w:val="31"/>
        </w:numPr>
        <w:spacing w:after="120"/>
        <w:contextualSpacing/>
        <w:jc w:val="both"/>
        <w:rPr>
          <w:color w:val="auto"/>
          <w:sz w:val="22"/>
          <w:szCs w:val="22"/>
        </w:rPr>
      </w:pPr>
      <w:r>
        <w:rPr>
          <w:sz w:val="22"/>
          <w:szCs w:val="22"/>
        </w:rPr>
        <w:t>analizzare l’uso dei fondi per l’assistenza tecnica;</w:t>
      </w:r>
    </w:p>
    <w:p w14:paraId="1AD04C01" w14:textId="310DC130" w:rsidR="00255C91" w:rsidRPr="00E45EF4" w:rsidRDefault="00167B4C" w:rsidP="001241A7">
      <w:pPr>
        <w:pStyle w:val="Default"/>
        <w:numPr>
          <w:ilvl w:val="0"/>
          <w:numId w:val="31"/>
        </w:numPr>
        <w:spacing w:after="120"/>
        <w:contextualSpacing/>
        <w:jc w:val="both"/>
        <w:rPr>
          <w:color w:val="auto"/>
          <w:sz w:val="22"/>
          <w:szCs w:val="22"/>
        </w:rPr>
      </w:pPr>
      <w:r w:rsidRPr="00E45EF4">
        <w:rPr>
          <w:bCs/>
          <w:sz w:val="22"/>
          <w:szCs w:val="22"/>
        </w:rPr>
        <w:t>approfondire ogni altro</w:t>
      </w:r>
      <w:r w:rsidR="00B44DB8">
        <w:rPr>
          <w:bCs/>
          <w:sz w:val="22"/>
          <w:szCs w:val="22"/>
        </w:rPr>
        <w:t xml:space="preserve"> quesito</w:t>
      </w:r>
      <w:r w:rsidRPr="00E45EF4">
        <w:rPr>
          <w:bCs/>
          <w:sz w:val="22"/>
          <w:szCs w:val="22"/>
        </w:rPr>
        <w:t xml:space="preserve"> specifico </w:t>
      </w:r>
      <w:r w:rsidR="00B44DB8">
        <w:rPr>
          <w:bCs/>
          <w:sz w:val="22"/>
          <w:szCs w:val="22"/>
        </w:rPr>
        <w:t>po</w:t>
      </w:r>
      <w:r w:rsidRPr="00E45EF4">
        <w:rPr>
          <w:bCs/>
          <w:sz w:val="22"/>
          <w:szCs w:val="22"/>
        </w:rPr>
        <w:t>sto dalla</w:t>
      </w:r>
      <w:r w:rsidR="00B44DB8">
        <w:rPr>
          <w:bCs/>
          <w:sz w:val="22"/>
          <w:szCs w:val="22"/>
        </w:rPr>
        <w:t xml:space="preserve"> Commissione Europea e dagli altri componenti del</w:t>
      </w:r>
      <w:r w:rsidR="003A08F0">
        <w:rPr>
          <w:bCs/>
          <w:sz w:val="22"/>
          <w:szCs w:val="22"/>
        </w:rPr>
        <w:t xml:space="preserve"> CdS</w:t>
      </w:r>
      <w:r w:rsidR="00C938F1" w:rsidRPr="00E45EF4">
        <w:rPr>
          <w:bCs/>
          <w:sz w:val="22"/>
          <w:szCs w:val="22"/>
        </w:rPr>
        <w:t>.</w:t>
      </w:r>
    </w:p>
    <w:p w14:paraId="1F57200C" w14:textId="4939D7FE" w:rsidR="006C0B69" w:rsidRPr="00F86A3C" w:rsidRDefault="006C0B69" w:rsidP="0037484B">
      <w:pPr>
        <w:pStyle w:val="Corpodeltesto3"/>
        <w:jc w:val="both"/>
        <w:rPr>
          <w:rFonts w:ascii="Arial" w:hAnsi="Arial" w:cs="Arial"/>
          <w:sz w:val="22"/>
          <w:szCs w:val="22"/>
        </w:rPr>
      </w:pPr>
      <w:r w:rsidRPr="00F86A3C">
        <w:rPr>
          <w:rFonts w:ascii="Arial" w:hAnsi="Arial" w:cs="Arial"/>
          <w:sz w:val="22"/>
          <w:szCs w:val="22"/>
        </w:rPr>
        <w:t>Per quanto riguarda la metodologia di analisi utilizzata, l’aggiudicatario potrà scegliere tra i metodi quantitativi, qualitativi o misti</w:t>
      </w:r>
      <w:r w:rsidR="008E18DB" w:rsidRPr="00F86A3C">
        <w:rPr>
          <w:rFonts w:ascii="Arial" w:hAnsi="Arial" w:cs="Arial"/>
          <w:sz w:val="22"/>
          <w:szCs w:val="22"/>
        </w:rPr>
        <w:t>,</w:t>
      </w:r>
      <w:r w:rsidRPr="00F86A3C">
        <w:rPr>
          <w:rFonts w:ascii="Arial" w:hAnsi="Arial" w:cs="Arial"/>
          <w:sz w:val="22"/>
          <w:szCs w:val="22"/>
        </w:rPr>
        <w:t xml:space="preserve"> a seconda de</w:t>
      </w:r>
      <w:r w:rsidR="001A69F5" w:rsidRPr="00F86A3C">
        <w:rPr>
          <w:rFonts w:ascii="Arial" w:hAnsi="Arial" w:cs="Arial"/>
          <w:sz w:val="22"/>
          <w:szCs w:val="22"/>
        </w:rPr>
        <w:t>lla metodologia che ritiene più</w:t>
      </w:r>
      <w:r w:rsidRPr="00F86A3C">
        <w:rPr>
          <w:rFonts w:ascii="Arial" w:hAnsi="Arial" w:cs="Arial"/>
          <w:sz w:val="22"/>
          <w:szCs w:val="22"/>
        </w:rPr>
        <w:t xml:space="preserve"> appropriata. I metodi di elaborazione dei dati ed il calcolo degli impatti che si intendono utilizzare (ad esempio, uso di determinati modelli econometrici, metodi input-output, georeferenziazione, ecc.) saranno attuati in relazione alla disponibilità dei dati sia primari che secondari. </w:t>
      </w:r>
    </w:p>
    <w:p w14:paraId="6C751FE8" w14:textId="6EAB1DE6" w:rsidR="006C0B69" w:rsidRPr="00F445E5" w:rsidRDefault="006C0B69" w:rsidP="001241A7">
      <w:pPr>
        <w:numPr>
          <w:ilvl w:val="0"/>
          <w:numId w:val="28"/>
        </w:numPr>
        <w:jc w:val="both"/>
        <w:rPr>
          <w:rFonts w:ascii="Arial" w:hAnsi="Arial" w:cs="Arial"/>
          <w:sz w:val="22"/>
          <w:szCs w:val="22"/>
        </w:rPr>
      </w:pPr>
      <w:r w:rsidRPr="00F445E5">
        <w:rPr>
          <w:rFonts w:ascii="Arial" w:hAnsi="Arial" w:cs="Arial"/>
          <w:b/>
          <w:i/>
          <w:iCs/>
          <w:sz w:val="22"/>
          <w:szCs w:val="22"/>
        </w:rPr>
        <w:t>rispetto al giudizio</w:t>
      </w:r>
      <w:r w:rsidRPr="00F445E5">
        <w:rPr>
          <w:rFonts w:ascii="Arial" w:hAnsi="Arial" w:cs="Arial"/>
          <w:sz w:val="22"/>
          <w:szCs w:val="22"/>
        </w:rPr>
        <w:t xml:space="preserve"> da utilizzare nell’esercizio della valutazione, dovrà riferirsi all’efficacia, all’efficienza, alla sostenibilità e all’utilità degli interventi, a cui si possono affiancare l’addizionalità, l’equità, la coerenza, la sinergia o la riproducibilità. Se ritenuto utile, potrebbero essere presi in considerazione anche i possibili effetti degeneranti rispetto alla strategia del programma, in termi</w:t>
      </w:r>
      <w:r w:rsidR="00572BE1">
        <w:rPr>
          <w:rFonts w:ascii="Arial" w:hAnsi="Arial" w:cs="Arial"/>
          <w:sz w:val="22"/>
          <w:szCs w:val="22"/>
        </w:rPr>
        <w:t xml:space="preserve">ni di spiazzamento e deadweight. </w:t>
      </w:r>
    </w:p>
    <w:p w14:paraId="64560648" w14:textId="77777777" w:rsidR="006C0B69" w:rsidRPr="00F445E5" w:rsidRDefault="006C0B69" w:rsidP="006C0B69">
      <w:pPr>
        <w:jc w:val="both"/>
        <w:rPr>
          <w:rFonts w:ascii="Arial" w:hAnsi="Arial" w:cs="Arial"/>
          <w:sz w:val="22"/>
          <w:szCs w:val="22"/>
        </w:rPr>
      </w:pPr>
    </w:p>
    <w:p w14:paraId="0567FFF8" w14:textId="11CDA727" w:rsidR="006C0B69" w:rsidRPr="00F445E5" w:rsidRDefault="006C0B69" w:rsidP="00402074">
      <w:pPr>
        <w:pStyle w:val="Corpodeltesto3"/>
        <w:jc w:val="both"/>
        <w:rPr>
          <w:rFonts w:ascii="Arial" w:hAnsi="Arial" w:cs="Arial"/>
          <w:sz w:val="22"/>
          <w:szCs w:val="22"/>
        </w:rPr>
      </w:pPr>
      <w:r w:rsidRPr="00F445E5">
        <w:rPr>
          <w:rFonts w:ascii="Arial" w:hAnsi="Arial" w:cs="Arial"/>
          <w:bCs/>
          <w:sz w:val="22"/>
          <w:szCs w:val="22"/>
        </w:rPr>
        <w:t xml:space="preserve">Ognuna delle quattro fasi sopra descritte dovrà essere svolta nel rispetto dei tempi necessari per consentire la realizzazione dell’attività di valutazione. </w:t>
      </w:r>
    </w:p>
    <w:p w14:paraId="283EF690" w14:textId="77777777" w:rsidR="006C0B69" w:rsidRPr="00F445E5" w:rsidRDefault="006C0B69" w:rsidP="00402074">
      <w:pPr>
        <w:pStyle w:val="Corpodeltesto3"/>
        <w:jc w:val="both"/>
        <w:rPr>
          <w:rFonts w:ascii="Arial" w:hAnsi="Arial" w:cs="Arial"/>
          <w:sz w:val="22"/>
          <w:szCs w:val="22"/>
        </w:rPr>
      </w:pPr>
      <w:r w:rsidRPr="00F445E5">
        <w:rPr>
          <w:rFonts w:ascii="Arial" w:hAnsi="Arial" w:cs="Arial"/>
          <w:sz w:val="22"/>
          <w:szCs w:val="22"/>
        </w:rPr>
        <w:t xml:space="preserve">In sintesi, l’aggiudicatario del servizio dovrà intraprendere l’attività di valutazione nel modo seguente: </w:t>
      </w:r>
    </w:p>
    <w:p w14:paraId="1285CB4C" w14:textId="77777777" w:rsidR="006C0B69" w:rsidRPr="00F445E5" w:rsidRDefault="006C0B69" w:rsidP="006C0B69">
      <w:pPr>
        <w:jc w:val="both"/>
        <w:rPr>
          <w:rFonts w:ascii="Arial" w:hAnsi="Arial" w:cs="Arial"/>
          <w:sz w:val="22"/>
          <w:szCs w:val="22"/>
        </w:rPr>
      </w:pPr>
    </w:p>
    <w:p w14:paraId="31D4CE55" w14:textId="77777777" w:rsidR="006C0B69" w:rsidRDefault="006C0B69" w:rsidP="006C0B69">
      <w:pPr>
        <w:jc w:val="both"/>
        <w:rPr>
          <w:rFonts w:ascii="Arial" w:hAnsi="Arial" w:cs="Arial"/>
          <w:sz w:val="22"/>
          <w:szCs w:val="22"/>
        </w:rPr>
      </w:pPr>
      <w:r w:rsidRPr="00F445E5">
        <w:rPr>
          <w:rFonts w:ascii="Arial" w:hAnsi="Arial" w:cs="Arial"/>
          <w:sz w:val="22"/>
          <w:szCs w:val="22"/>
        </w:rPr>
        <w:t>ASPETTI PRELIMINARI</w:t>
      </w:r>
    </w:p>
    <w:p w14:paraId="617DEB63" w14:textId="77777777" w:rsidR="00FC77B3" w:rsidRDefault="00FC77B3" w:rsidP="006C0B69">
      <w:pPr>
        <w:jc w:val="both"/>
        <w:rPr>
          <w:rFonts w:ascii="Arial" w:hAnsi="Arial" w:cs="Arial"/>
          <w:sz w:val="22"/>
          <w:szCs w:val="22"/>
        </w:rPr>
      </w:pPr>
    </w:p>
    <w:p w14:paraId="7CFFAE0C" w14:textId="020E686B" w:rsidR="00FC77B3" w:rsidRDefault="00F04753" w:rsidP="006C0B69">
      <w:pPr>
        <w:jc w:val="both"/>
        <w:rPr>
          <w:rFonts w:ascii="Arial" w:hAnsi="Arial" w:cs="Arial"/>
          <w:sz w:val="22"/>
          <w:szCs w:val="22"/>
        </w:rPr>
      </w:pPr>
      <w:r w:rsidRPr="00F04753">
        <w:rPr>
          <w:rFonts w:ascii="Arial" w:hAnsi="Arial" w:cs="Arial"/>
          <w:sz w:val="22"/>
          <w:szCs w:val="22"/>
        </w:rPr>
        <w:t>Predisposizione di un Piano di valutazione che descriva l’impianto metodologico e le modalità operative con cui si svolgerà l’attività di valutazione del Programma, anche in merito agli aspetti organizzativi e di efficacia ed efficienza amministrativa.</w:t>
      </w:r>
      <w:r>
        <w:rPr>
          <w:rFonts w:ascii="Arial" w:hAnsi="Arial" w:cs="Arial"/>
          <w:sz w:val="22"/>
          <w:szCs w:val="22"/>
        </w:rPr>
        <w:t xml:space="preserve"> </w:t>
      </w:r>
      <w:r w:rsidR="00FC77B3">
        <w:rPr>
          <w:rFonts w:ascii="Arial" w:hAnsi="Arial" w:cs="Arial"/>
          <w:sz w:val="22"/>
          <w:szCs w:val="22"/>
        </w:rPr>
        <w:t>In particolare il piano deve contenere:</w:t>
      </w:r>
    </w:p>
    <w:p w14:paraId="69EDC3D0" w14:textId="77777777" w:rsidR="00FC77B3" w:rsidRPr="00F445E5" w:rsidRDefault="00FC77B3" w:rsidP="006C0B69">
      <w:pPr>
        <w:jc w:val="both"/>
        <w:rPr>
          <w:rFonts w:ascii="Arial" w:hAnsi="Arial" w:cs="Arial"/>
          <w:sz w:val="22"/>
          <w:szCs w:val="22"/>
        </w:rPr>
      </w:pPr>
    </w:p>
    <w:p w14:paraId="4BFC590D" w14:textId="77777777" w:rsidR="006C0B69" w:rsidRPr="00F445E5" w:rsidRDefault="006C0B69" w:rsidP="001241A7">
      <w:pPr>
        <w:numPr>
          <w:ilvl w:val="0"/>
          <w:numId w:val="23"/>
        </w:numPr>
        <w:jc w:val="both"/>
        <w:rPr>
          <w:rFonts w:ascii="Arial" w:hAnsi="Arial" w:cs="Arial"/>
          <w:sz w:val="22"/>
          <w:szCs w:val="22"/>
        </w:rPr>
      </w:pPr>
      <w:r w:rsidRPr="00F445E5">
        <w:rPr>
          <w:rFonts w:ascii="Arial" w:hAnsi="Arial" w:cs="Arial"/>
          <w:sz w:val="22"/>
          <w:szCs w:val="22"/>
        </w:rPr>
        <w:t>Definizione, in stretto contatto con l’amministrazione appaltante, dell’impianto metodologico e delle modalità operative con cui si rivolgerà l’attività di valutazione;</w:t>
      </w:r>
    </w:p>
    <w:p w14:paraId="2AF11277" w14:textId="77777777" w:rsidR="006C0B69" w:rsidRPr="00F445E5" w:rsidRDefault="006C0B69" w:rsidP="001241A7">
      <w:pPr>
        <w:numPr>
          <w:ilvl w:val="0"/>
          <w:numId w:val="23"/>
        </w:numPr>
        <w:jc w:val="both"/>
        <w:rPr>
          <w:rFonts w:ascii="Arial" w:hAnsi="Arial" w:cs="Arial"/>
          <w:sz w:val="22"/>
          <w:szCs w:val="22"/>
        </w:rPr>
      </w:pPr>
      <w:r w:rsidRPr="00F445E5">
        <w:rPr>
          <w:rFonts w:ascii="Arial" w:hAnsi="Arial" w:cs="Arial"/>
          <w:sz w:val="22"/>
          <w:szCs w:val="22"/>
        </w:rPr>
        <w:t>Predisposizione delle condizioni di valutabilità, con particolare riferimento:</w:t>
      </w:r>
    </w:p>
    <w:p w14:paraId="7D5E2D01" w14:textId="1F4AF0D3" w:rsidR="006C0B69" w:rsidRPr="00F445E5" w:rsidRDefault="00D63580" w:rsidP="001241A7">
      <w:pPr>
        <w:numPr>
          <w:ilvl w:val="1"/>
          <w:numId w:val="24"/>
        </w:numPr>
        <w:jc w:val="both"/>
        <w:rPr>
          <w:rFonts w:ascii="Arial" w:hAnsi="Arial" w:cs="Arial"/>
          <w:sz w:val="22"/>
          <w:szCs w:val="22"/>
        </w:rPr>
      </w:pPr>
      <w:r>
        <w:rPr>
          <w:rFonts w:ascii="Arial" w:hAnsi="Arial" w:cs="Arial"/>
          <w:sz w:val="22"/>
          <w:szCs w:val="22"/>
        </w:rPr>
        <w:t>a</w:t>
      </w:r>
      <w:r w:rsidR="006C0B69" w:rsidRPr="00F445E5">
        <w:rPr>
          <w:rFonts w:ascii="Arial" w:hAnsi="Arial" w:cs="Arial"/>
          <w:sz w:val="22"/>
          <w:szCs w:val="22"/>
        </w:rPr>
        <w:t>ll’approfondimento dei fabbisogni specifici della valutazione in relazione ai contenuti del Programma e alle specifiche procedure di attuazione</w:t>
      </w:r>
      <w:r w:rsidR="0063326C">
        <w:rPr>
          <w:rFonts w:ascii="Arial" w:hAnsi="Arial" w:cs="Arial"/>
          <w:sz w:val="22"/>
          <w:szCs w:val="22"/>
        </w:rPr>
        <w:t>;</w:t>
      </w:r>
    </w:p>
    <w:p w14:paraId="20F16E09" w14:textId="03D0F87E" w:rsidR="006C0B69" w:rsidRPr="00F445E5" w:rsidRDefault="00D63580" w:rsidP="001241A7">
      <w:pPr>
        <w:numPr>
          <w:ilvl w:val="1"/>
          <w:numId w:val="24"/>
        </w:numPr>
        <w:jc w:val="both"/>
        <w:rPr>
          <w:rFonts w:ascii="Arial" w:hAnsi="Arial" w:cs="Arial"/>
          <w:sz w:val="22"/>
          <w:szCs w:val="22"/>
        </w:rPr>
      </w:pPr>
      <w:r>
        <w:rPr>
          <w:rFonts w:ascii="Arial" w:hAnsi="Arial" w:cs="Arial"/>
          <w:sz w:val="22"/>
          <w:szCs w:val="22"/>
        </w:rPr>
        <w:t>a</w:t>
      </w:r>
      <w:r w:rsidR="006C0B69" w:rsidRPr="00F445E5">
        <w:rPr>
          <w:rFonts w:ascii="Arial" w:hAnsi="Arial" w:cs="Arial"/>
          <w:sz w:val="22"/>
          <w:szCs w:val="22"/>
        </w:rPr>
        <w:t>lla verifica delle disponibilità delle informazioni necessarie allo svolgimento dell’attività di valutazione</w:t>
      </w:r>
      <w:r w:rsidR="0063326C">
        <w:rPr>
          <w:rFonts w:ascii="Arial" w:hAnsi="Arial" w:cs="Arial"/>
          <w:sz w:val="22"/>
          <w:szCs w:val="22"/>
        </w:rPr>
        <w:t>;</w:t>
      </w:r>
    </w:p>
    <w:p w14:paraId="69170DAF" w14:textId="7212165A" w:rsidR="006C0B69" w:rsidRPr="00F445E5" w:rsidRDefault="00D63580" w:rsidP="001241A7">
      <w:pPr>
        <w:numPr>
          <w:ilvl w:val="1"/>
          <w:numId w:val="24"/>
        </w:numPr>
        <w:jc w:val="both"/>
        <w:rPr>
          <w:rFonts w:ascii="Arial" w:hAnsi="Arial" w:cs="Arial"/>
          <w:sz w:val="22"/>
          <w:szCs w:val="22"/>
        </w:rPr>
      </w:pPr>
      <w:r>
        <w:rPr>
          <w:rFonts w:ascii="Arial" w:hAnsi="Arial" w:cs="Arial"/>
          <w:sz w:val="22"/>
          <w:szCs w:val="22"/>
        </w:rPr>
        <w:t>a</w:t>
      </w:r>
      <w:r w:rsidR="006C0B69" w:rsidRPr="00F445E5">
        <w:rPr>
          <w:rFonts w:ascii="Arial" w:hAnsi="Arial" w:cs="Arial"/>
          <w:sz w:val="22"/>
          <w:szCs w:val="22"/>
        </w:rPr>
        <w:t>l riesame della congruenza fra la strategia perseguita e le condizioni di contesto</w:t>
      </w:r>
      <w:r w:rsidR="0063326C">
        <w:rPr>
          <w:rFonts w:ascii="Arial" w:hAnsi="Arial" w:cs="Arial"/>
          <w:sz w:val="22"/>
          <w:szCs w:val="22"/>
        </w:rPr>
        <w:t xml:space="preserve">. </w:t>
      </w:r>
    </w:p>
    <w:p w14:paraId="76B83EEE" w14:textId="70EAA5B5" w:rsidR="006C0B69" w:rsidRDefault="00A622C9" w:rsidP="001241A7">
      <w:pPr>
        <w:numPr>
          <w:ilvl w:val="0"/>
          <w:numId w:val="24"/>
        </w:numPr>
        <w:jc w:val="both"/>
        <w:rPr>
          <w:rFonts w:ascii="Arial" w:hAnsi="Arial" w:cs="Arial"/>
          <w:sz w:val="22"/>
          <w:szCs w:val="22"/>
        </w:rPr>
      </w:pPr>
      <w:r>
        <w:rPr>
          <w:rFonts w:ascii="Arial" w:hAnsi="Arial" w:cs="Arial"/>
          <w:sz w:val="22"/>
          <w:szCs w:val="22"/>
        </w:rPr>
        <w:t>Modalità di r</w:t>
      </w:r>
      <w:r w:rsidR="006C0B69" w:rsidRPr="00F445E5">
        <w:rPr>
          <w:rFonts w:ascii="Arial" w:hAnsi="Arial" w:cs="Arial"/>
          <w:sz w:val="22"/>
          <w:szCs w:val="22"/>
        </w:rPr>
        <w:t>accolta ed elaborazione dei dati primari (dati raccolti appositamente per la valutazione, attraverso le rilevazioni ad hoc, di norma tra i beneficiarti diretti ed indiretti) e dei dati secondari (risultai del monitoraggio, documenti di valutazione in itinere, eventuali valutazioni tematiche)</w:t>
      </w:r>
      <w:r w:rsidR="0063326C">
        <w:rPr>
          <w:rFonts w:ascii="Arial" w:hAnsi="Arial" w:cs="Arial"/>
          <w:sz w:val="22"/>
          <w:szCs w:val="22"/>
        </w:rPr>
        <w:t>.</w:t>
      </w:r>
    </w:p>
    <w:p w14:paraId="1DCB4C85" w14:textId="77777777" w:rsidR="00C768C5" w:rsidRDefault="00C768C5" w:rsidP="00C768C5">
      <w:pPr>
        <w:jc w:val="both"/>
        <w:rPr>
          <w:rFonts w:ascii="Arial" w:hAnsi="Arial" w:cs="Arial"/>
          <w:sz w:val="22"/>
          <w:szCs w:val="22"/>
        </w:rPr>
      </w:pPr>
    </w:p>
    <w:p w14:paraId="15533982" w14:textId="633B0CF8" w:rsidR="006C0B69" w:rsidRPr="00514BB3" w:rsidRDefault="00514BB3" w:rsidP="00514BB3">
      <w:pPr>
        <w:pStyle w:val="Default"/>
        <w:spacing w:after="120"/>
        <w:contextualSpacing/>
        <w:jc w:val="both"/>
        <w:rPr>
          <w:color w:val="auto"/>
          <w:sz w:val="22"/>
          <w:szCs w:val="22"/>
        </w:rPr>
      </w:pPr>
      <w:r w:rsidRPr="003A3829">
        <w:rPr>
          <w:sz w:val="22"/>
          <w:szCs w:val="22"/>
        </w:rPr>
        <w:t xml:space="preserve">Il Piano di valutazione dovrà essere consegnato, a seguito del confronto con l’Autorità di Gestione, entro 45 giorni dalla sottoscrizione del contratto. Ogni anno, entro il 31 gennaio, dovrà essere prodotto un </w:t>
      </w:r>
      <w:r>
        <w:rPr>
          <w:sz w:val="22"/>
          <w:szCs w:val="22"/>
        </w:rPr>
        <w:t xml:space="preserve">aggiornamento del </w:t>
      </w:r>
      <w:r w:rsidRPr="003A3829">
        <w:rPr>
          <w:sz w:val="22"/>
          <w:szCs w:val="22"/>
        </w:rPr>
        <w:t xml:space="preserve">piano </w:t>
      </w:r>
      <w:r>
        <w:rPr>
          <w:sz w:val="22"/>
          <w:szCs w:val="22"/>
        </w:rPr>
        <w:t>di valutazione</w:t>
      </w:r>
      <w:r w:rsidRPr="003A3829">
        <w:rPr>
          <w:sz w:val="22"/>
          <w:szCs w:val="22"/>
        </w:rPr>
        <w:t xml:space="preserve"> </w:t>
      </w:r>
      <w:r>
        <w:rPr>
          <w:sz w:val="22"/>
          <w:szCs w:val="22"/>
        </w:rPr>
        <w:t xml:space="preserve">o, ove ricorra il caso, un nuovo piano di valutazione, </w:t>
      </w:r>
      <w:r w:rsidRPr="003A3829">
        <w:rPr>
          <w:sz w:val="22"/>
          <w:szCs w:val="22"/>
        </w:rPr>
        <w:t xml:space="preserve">con l’esplicitazione delle modalità e dei temi valutativi allo scopo di inquadrare ed indirizzare l’impianto </w:t>
      </w:r>
      <w:r>
        <w:rPr>
          <w:sz w:val="22"/>
          <w:szCs w:val="22"/>
        </w:rPr>
        <w:t>generale del disegno valutativo.</w:t>
      </w:r>
      <w:r w:rsidRPr="003A3829">
        <w:rPr>
          <w:sz w:val="22"/>
          <w:szCs w:val="22"/>
        </w:rPr>
        <w:t xml:space="preserve"> In ogni caso il piano di valutazione dovrà individuare tempi </w:t>
      </w:r>
      <w:r w:rsidRPr="003A3829">
        <w:rPr>
          <w:color w:val="auto"/>
          <w:sz w:val="22"/>
          <w:szCs w:val="22"/>
        </w:rPr>
        <w:t xml:space="preserve">che consentano la presentazione della sintesi dei risultati delle valutazioni del Programma nella Relazione annuale di attuazione che è presentata dall’Autorità di Gestione </w:t>
      </w:r>
      <w:r w:rsidRPr="003A3829">
        <w:rPr>
          <w:sz w:val="22"/>
          <w:szCs w:val="22"/>
        </w:rPr>
        <w:t>entro il 30 giugno di ogni anno</w:t>
      </w:r>
      <w:r w:rsidRPr="003A77A7">
        <w:rPr>
          <w:sz w:val="22"/>
          <w:szCs w:val="22"/>
        </w:rPr>
        <w:t>,</w:t>
      </w:r>
      <w:r w:rsidRPr="003A3829">
        <w:rPr>
          <w:color w:val="auto"/>
          <w:sz w:val="22"/>
          <w:szCs w:val="22"/>
        </w:rPr>
        <w:t xml:space="preserve"> ai sensi degli artt. 50 e 111 del Regolamento (UE) n. 1303/2013 e dell’art. 75 del Regolamento (UE) n. 1305/2013.</w:t>
      </w:r>
    </w:p>
    <w:p w14:paraId="45957E7C" w14:textId="77777777" w:rsidR="00514BB3" w:rsidRPr="00F445E5" w:rsidRDefault="00514BB3" w:rsidP="006C0B69">
      <w:pPr>
        <w:jc w:val="both"/>
        <w:rPr>
          <w:rFonts w:ascii="Arial" w:hAnsi="Arial" w:cs="Arial"/>
          <w:sz w:val="22"/>
          <w:szCs w:val="22"/>
        </w:rPr>
      </w:pPr>
    </w:p>
    <w:p w14:paraId="34D1F7C9" w14:textId="77777777" w:rsidR="006C0B69" w:rsidRPr="00F445E5" w:rsidRDefault="006C0B69" w:rsidP="006C0B69">
      <w:pPr>
        <w:jc w:val="both"/>
        <w:rPr>
          <w:rFonts w:ascii="Arial" w:hAnsi="Arial" w:cs="Arial"/>
          <w:sz w:val="22"/>
          <w:szCs w:val="22"/>
        </w:rPr>
      </w:pPr>
      <w:r w:rsidRPr="00F445E5">
        <w:rPr>
          <w:rFonts w:ascii="Arial" w:hAnsi="Arial" w:cs="Arial"/>
          <w:sz w:val="22"/>
          <w:szCs w:val="22"/>
        </w:rPr>
        <w:t>ATTIVITA’ DI ANALISI e VALUTAZIONE</w:t>
      </w:r>
    </w:p>
    <w:p w14:paraId="761B9F66" w14:textId="77777777" w:rsidR="006C0B69" w:rsidRPr="00F445E5" w:rsidRDefault="006C0B69" w:rsidP="001241A7">
      <w:pPr>
        <w:numPr>
          <w:ilvl w:val="0"/>
          <w:numId w:val="24"/>
        </w:numPr>
        <w:jc w:val="both"/>
        <w:rPr>
          <w:rFonts w:ascii="Arial" w:hAnsi="Arial" w:cs="Arial"/>
          <w:sz w:val="22"/>
          <w:szCs w:val="22"/>
        </w:rPr>
      </w:pPr>
      <w:r w:rsidRPr="00F445E5">
        <w:rPr>
          <w:rFonts w:ascii="Arial" w:hAnsi="Arial" w:cs="Arial"/>
          <w:sz w:val="22"/>
          <w:szCs w:val="22"/>
        </w:rPr>
        <w:t>Analisi delle procedure di attuazione, con particolare riferimento alle modalità di gestione e sorveglianza del PSR e al funzionamento del circuito finanziario;</w:t>
      </w:r>
    </w:p>
    <w:p w14:paraId="1CBF13E7" w14:textId="366E34D1" w:rsidR="006C0B69" w:rsidRPr="00F445E5" w:rsidRDefault="006C0B69" w:rsidP="001241A7">
      <w:pPr>
        <w:numPr>
          <w:ilvl w:val="0"/>
          <w:numId w:val="24"/>
        </w:numPr>
        <w:jc w:val="both"/>
        <w:rPr>
          <w:rFonts w:ascii="Arial" w:hAnsi="Arial" w:cs="Arial"/>
          <w:sz w:val="22"/>
          <w:szCs w:val="22"/>
        </w:rPr>
      </w:pPr>
      <w:r w:rsidRPr="00F445E5">
        <w:rPr>
          <w:rFonts w:ascii="Arial" w:hAnsi="Arial" w:cs="Arial"/>
          <w:sz w:val="22"/>
          <w:szCs w:val="22"/>
        </w:rPr>
        <w:t>Analisi dei risultati ottenuti, della loro importanza, della loro rispondenza agli obiettivi prefissati e della loro coerenza con il PSR. In tale ambito, spetta in particolare all’assegnatario l’attività di analisi sull’andamento del programma in base agli indicatori comuni di monitoraggio e valutazione e, even</w:t>
      </w:r>
      <w:r w:rsidR="00D63580">
        <w:rPr>
          <w:rFonts w:ascii="Arial" w:hAnsi="Arial" w:cs="Arial"/>
          <w:sz w:val="22"/>
          <w:szCs w:val="22"/>
        </w:rPr>
        <w:t>tualmente, quelli supplementari;</w:t>
      </w:r>
    </w:p>
    <w:p w14:paraId="696B4488" w14:textId="77777777" w:rsidR="006C0B69" w:rsidRPr="00F445E5" w:rsidRDefault="006C0B69" w:rsidP="001241A7">
      <w:pPr>
        <w:numPr>
          <w:ilvl w:val="0"/>
          <w:numId w:val="24"/>
        </w:numPr>
        <w:jc w:val="both"/>
        <w:rPr>
          <w:rFonts w:ascii="Arial" w:hAnsi="Arial" w:cs="Arial"/>
          <w:sz w:val="22"/>
          <w:szCs w:val="22"/>
        </w:rPr>
      </w:pPr>
      <w:r w:rsidRPr="00F445E5">
        <w:rPr>
          <w:rFonts w:ascii="Arial" w:hAnsi="Arial" w:cs="Arial"/>
          <w:sz w:val="22"/>
          <w:szCs w:val="22"/>
        </w:rPr>
        <w:t>Risposta ai quesiti valutativi comuni utilizzando i criteri valutativi e gli indicatori individuati;</w:t>
      </w:r>
    </w:p>
    <w:p w14:paraId="5330F769" w14:textId="3CED0BF2" w:rsidR="006C0B69" w:rsidRPr="00F445E5" w:rsidRDefault="006C0B69" w:rsidP="001241A7">
      <w:pPr>
        <w:numPr>
          <w:ilvl w:val="0"/>
          <w:numId w:val="24"/>
        </w:numPr>
        <w:jc w:val="both"/>
        <w:rPr>
          <w:rFonts w:ascii="Arial" w:hAnsi="Arial" w:cs="Arial"/>
          <w:sz w:val="22"/>
          <w:szCs w:val="22"/>
        </w:rPr>
      </w:pPr>
      <w:r w:rsidRPr="00F445E5">
        <w:rPr>
          <w:rFonts w:ascii="Arial" w:hAnsi="Arial" w:cs="Arial"/>
          <w:sz w:val="22"/>
          <w:szCs w:val="22"/>
        </w:rPr>
        <w:t>Analisi specifiche rispetto alle priorità tematiche e territoriali indicate nel PSR ed alle tematiche trasversali  a pi</w:t>
      </w:r>
      <w:r w:rsidR="00F445E5">
        <w:rPr>
          <w:rFonts w:ascii="Arial" w:hAnsi="Arial" w:cs="Arial"/>
          <w:sz w:val="22"/>
          <w:szCs w:val="22"/>
        </w:rPr>
        <w:t>ù</w:t>
      </w:r>
      <w:r w:rsidRPr="00F445E5">
        <w:rPr>
          <w:rFonts w:ascii="Arial" w:hAnsi="Arial" w:cs="Arial"/>
          <w:sz w:val="22"/>
          <w:szCs w:val="22"/>
        </w:rPr>
        <w:t xml:space="preserve"> misure</w:t>
      </w:r>
      <w:r w:rsidR="00D63580">
        <w:rPr>
          <w:rFonts w:ascii="Arial" w:hAnsi="Arial" w:cs="Arial"/>
          <w:sz w:val="22"/>
          <w:szCs w:val="22"/>
        </w:rPr>
        <w:t>;</w:t>
      </w:r>
    </w:p>
    <w:p w14:paraId="18906777" w14:textId="6CF00A78" w:rsidR="006C0B69" w:rsidRPr="00F445E5" w:rsidRDefault="006C0B69" w:rsidP="001241A7">
      <w:pPr>
        <w:numPr>
          <w:ilvl w:val="0"/>
          <w:numId w:val="24"/>
        </w:numPr>
        <w:jc w:val="both"/>
        <w:rPr>
          <w:rFonts w:ascii="Arial" w:hAnsi="Arial" w:cs="Arial"/>
          <w:sz w:val="22"/>
          <w:szCs w:val="22"/>
        </w:rPr>
      </w:pPr>
      <w:r w:rsidRPr="00F445E5">
        <w:rPr>
          <w:rFonts w:ascii="Arial" w:hAnsi="Arial" w:cs="Arial"/>
          <w:sz w:val="22"/>
          <w:szCs w:val="22"/>
        </w:rPr>
        <w:t>Valutazione in termini di efficacia, efficienza, sostenibilità ed utilità degli interventi, a cui si possono affiancare addizionalità, equità, coerenza, sinergia o riproducibilità</w:t>
      </w:r>
      <w:r w:rsidR="00D63580">
        <w:rPr>
          <w:rFonts w:ascii="Arial" w:hAnsi="Arial" w:cs="Arial"/>
          <w:sz w:val="22"/>
          <w:szCs w:val="22"/>
        </w:rPr>
        <w:t>;</w:t>
      </w:r>
    </w:p>
    <w:p w14:paraId="76DDFE6B" w14:textId="4FCE8957" w:rsidR="006C0B69" w:rsidRPr="00F445E5" w:rsidRDefault="006C0B69" w:rsidP="001241A7">
      <w:pPr>
        <w:numPr>
          <w:ilvl w:val="0"/>
          <w:numId w:val="24"/>
        </w:numPr>
        <w:jc w:val="both"/>
        <w:rPr>
          <w:rFonts w:ascii="Arial" w:hAnsi="Arial" w:cs="Arial"/>
          <w:sz w:val="22"/>
          <w:szCs w:val="22"/>
        </w:rPr>
      </w:pPr>
      <w:r w:rsidRPr="00F445E5">
        <w:rPr>
          <w:rFonts w:ascii="Arial" w:hAnsi="Arial" w:cs="Arial"/>
          <w:sz w:val="22"/>
          <w:szCs w:val="22"/>
        </w:rPr>
        <w:t>Indicazioni in merito ad eventuali adeguamenti o modifiche del programma per meglio realizzare gli obiettivi e rispondere alla strategia del programma o per migliorarne la gestione, anche finanziaria</w:t>
      </w:r>
      <w:r w:rsidR="00D63580">
        <w:rPr>
          <w:rFonts w:ascii="Arial" w:hAnsi="Arial" w:cs="Arial"/>
          <w:sz w:val="22"/>
          <w:szCs w:val="22"/>
        </w:rPr>
        <w:t>;</w:t>
      </w:r>
      <w:r w:rsidRPr="00F445E5">
        <w:rPr>
          <w:rFonts w:ascii="Arial" w:hAnsi="Arial" w:cs="Arial"/>
          <w:sz w:val="22"/>
          <w:szCs w:val="22"/>
        </w:rPr>
        <w:t xml:space="preserve">  </w:t>
      </w:r>
    </w:p>
    <w:p w14:paraId="3D7645EF" w14:textId="77777777" w:rsidR="006C0B69" w:rsidRPr="00F445E5" w:rsidRDefault="006C0B69" w:rsidP="006C0B69">
      <w:pPr>
        <w:jc w:val="both"/>
        <w:rPr>
          <w:rFonts w:ascii="Arial" w:hAnsi="Arial" w:cs="Arial"/>
          <w:sz w:val="22"/>
          <w:szCs w:val="22"/>
        </w:rPr>
      </w:pPr>
    </w:p>
    <w:p w14:paraId="7D65AD6C" w14:textId="77777777" w:rsidR="006C0B69" w:rsidRPr="00F445E5" w:rsidRDefault="006C0B69" w:rsidP="006C0B69">
      <w:pPr>
        <w:jc w:val="both"/>
        <w:rPr>
          <w:rFonts w:ascii="Arial" w:hAnsi="Arial" w:cs="Arial"/>
          <w:sz w:val="22"/>
          <w:szCs w:val="22"/>
        </w:rPr>
      </w:pPr>
      <w:r w:rsidRPr="00F445E5">
        <w:rPr>
          <w:rFonts w:ascii="Arial" w:hAnsi="Arial" w:cs="Arial"/>
          <w:sz w:val="22"/>
          <w:szCs w:val="22"/>
        </w:rPr>
        <w:t>I rapporti di valutazione che il soggetto affidatario del servizio dovrà predisporre dovranno essere redatti secondo il seguente schema di struttura:</w:t>
      </w:r>
    </w:p>
    <w:p w14:paraId="40BB1300" w14:textId="4177B03D" w:rsidR="006C0B69" w:rsidRPr="00F445E5" w:rsidRDefault="006C0B69" w:rsidP="001241A7">
      <w:pPr>
        <w:numPr>
          <w:ilvl w:val="0"/>
          <w:numId w:val="25"/>
        </w:numPr>
        <w:jc w:val="both"/>
        <w:rPr>
          <w:rFonts w:ascii="Arial" w:hAnsi="Arial" w:cs="Arial"/>
          <w:sz w:val="22"/>
          <w:szCs w:val="22"/>
        </w:rPr>
      </w:pPr>
      <w:r w:rsidRPr="00F445E5">
        <w:rPr>
          <w:rFonts w:ascii="Arial" w:hAnsi="Arial" w:cs="Arial"/>
          <w:sz w:val="22"/>
          <w:szCs w:val="22"/>
        </w:rPr>
        <w:t>Sintesi</w:t>
      </w:r>
      <w:r w:rsidR="006A31A9">
        <w:rPr>
          <w:rFonts w:ascii="Arial" w:hAnsi="Arial" w:cs="Arial"/>
          <w:sz w:val="22"/>
          <w:szCs w:val="22"/>
        </w:rPr>
        <w:t xml:space="preserve"> (</w:t>
      </w:r>
      <w:r w:rsidR="006A31A9" w:rsidRPr="00F616C7">
        <w:rPr>
          <w:rFonts w:ascii="Arial" w:hAnsi="Arial" w:cs="Arial"/>
          <w:sz w:val="22"/>
          <w:szCs w:val="22"/>
        </w:rPr>
        <w:t>redatta in lingua italiana ed in inglese</w:t>
      </w:r>
      <w:r w:rsidR="00F616C7" w:rsidRPr="00F616C7">
        <w:rPr>
          <w:rFonts w:ascii="Arial" w:hAnsi="Arial" w:cs="Arial"/>
          <w:sz w:val="22"/>
          <w:szCs w:val="22"/>
        </w:rPr>
        <w:t xml:space="preserve"> qualora richiesta</w:t>
      </w:r>
      <w:r w:rsidR="006A31A9">
        <w:rPr>
          <w:rFonts w:ascii="Arial" w:hAnsi="Arial" w:cs="Arial"/>
          <w:sz w:val="22"/>
          <w:szCs w:val="22"/>
        </w:rPr>
        <w:t>)</w:t>
      </w:r>
      <w:r w:rsidR="00D63580">
        <w:rPr>
          <w:rFonts w:ascii="Arial" w:hAnsi="Arial" w:cs="Arial"/>
          <w:sz w:val="22"/>
          <w:szCs w:val="22"/>
        </w:rPr>
        <w:t>;</w:t>
      </w:r>
    </w:p>
    <w:p w14:paraId="63D4D01F" w14:textId="27B0E1A3" w:rsidR="006C0B69" w:rsidRPr="00F445E5" w:rsidRDefault="006C0B69" w:rsidP="001241A7">
      <w:pPr>
        <w:numPr>
          <w:ilvl w:val="0"/>
          <w:numId w:val="25"/>
        </w:numPr>
        <w:jc w:val="both"/>
        <w:rPr>
          <w:rFonts w:ascii="Arial" w:hAnsi="Arial" w:cs="Arial"/>
          <w:sz w:val="22"/>
          <w:szCs w:val="22"/>
        </w:rPr>
      </w:pPr>
      <w:r w:rsidRPr="00F445E5">
        <w:rPr>
          <w:rFonts w:ascii="Arial" w:hAnsi="Arial" w:cs="Arial"/>
          <w:sz w:val="22"/>
          <w:szCs w:val="22"/>
        </w:rPr>
        <w:t>Introduzione (contesto del programma, componenti della sua attuazione, finalità della valutazione)</w:t>
      </w:r>
      <w:r w:rsidR="00D63580">
        <w:rPr>
          <w:rFonts w:ascii="Arial" w:hAnsi="Arial" w:cs="Arial"/>
          <w:sz w:val="22"/>
          <w:szCs w:val="22"/>
        </w:rPr>
        <w:t>;</w:t>
      </w:r>
    </w:p>
    <w:p w14:paraId="76412F64" w14:textId="47CCFD03" w:rsidR="006C0B69" w:rsidRPr="00F445E5" w:rsidRDefault="006C0B69" w:rsidP="001241A7">
      <w:pPr>
        <w:numPr>
          <w:ilvl w:val="0"/>
          <w:numId w:val="25"/>
        </w:numPr>
        <w:jc w:val="both"/>
        <w:rPr>
          <w:rFonts w:ascii="Arial" w:hAnsi="Arial" w:cs="Arial"/>
          <w:sz w:val="22"/>
          <w:szCs w:val="22"/>
        </w:rPr>
      </w:pPr>
      <w:r w:rsidRPr="00F445E5">
        <w:rPr>
          <w:rFonts w:ascii="Arial" w:hAnsi="Arial" w:cs="Arial"/>
          <w:sz w:val="22"/>
          <w:szCs w:val="22"/>
        </w:rPr>
        <w:t>Spiegazione dell’approccio metodologico (impianto ed analisi, raccolta e fonte dei dati, validità dei dati e delle conclusioni)</w:t>
      </w:r>
      <w:r w:rsidR="00D63580">
        <w:rPr>
          <w:rFonts w:ascii="Arial" w:hAnsi="Arial" w:cs="Arial"/>
          <w:sz w:val="22"/>
          <w:szCs w:val="22"/>
        </w:rPr>
        <w:t>;</w:t>
      </w:r>
    </w:p>
    <w:p w14:paraId="3DC41261" w14:textId="40AB7FF8" w:rsidR="006C0B69" w:rsidRPr="00F445E5" w:rsidRDefault="006C0B69" w:rsidP="001241A7">
      <w:pPr>
        <w:numPr>
          <w:ilvl w:val="0"/>
          <w:numId w:val="25"/>
        </w:numPr>
        <w:jc w:val="both"/>
        <w:rPr>
          <w:rFonts w:ascii="Arial" w:hAnsi="Arial" w:cs="Arial"/>
          <w:sz w:val="22"/>
          <w:szCs w:val="22"/>
        </w:rPr>
      </w:pPr>
      <w:r w:rsidRPr="00F445E5">
        <w:rPr>
          <w:rFonts w:ascii="Arial" w:hAnsi="Arial" w:cs="Arial"/>
          <w:sz w:val="22"/>
          <w:szCs w:val="22"/>
        </w:rPr>
        <w:t>Presentazione delle informazioni raccolte (informazioni e output finanziari, informazione sulla partecipazione dei beneficiari, quantificazione del set di indicatori comuni ed di quelli supplementari laddove presenti, risposte al questionario comune, risultati delle questioni specifiche per il programma) ed analisi della domanda di valutazione;</w:t>
      </w:r>
    </w:p>
    <w:p w14:paraId="2601E13E" w14:textId="1E132AEB" w:rsidR="006C0B69" w:rsidRPr="00F445E5" w:rsidRDefault="006C0B69" w:rsidP="001241A7">
      <w:pPr>
        <w:numPr>
          <w:ilvl w:val="0"/>
          <w:numId w:val="25"/>
        </w:numPr>
        <w:jc w:val="both"/>
        <w:rPr>
          <w:rFonts w:ascii="Arial" w:hAnsi="Arial" w:cs="Arial"/>
          <w:sz w:val="22"/>
          <w:szCs w:val="22"/>
        </w:rPr>
      </w:pPr>
      <w:r w:rsidRPr="00F445E5">
        <w:rPr>
          <w:rFonts w:ascii="Arial" w:hAnsi="Arial" w:cs="Arial"/>
          <w:sz w:val="22"/>
          <w:szCs w:val="22"/>
        </w:rPr>
        <w:t>Valutazione del programma rispetto agli obiettivi fissati, sulla base degli indicatori comuni (ed eventuali indicatori supplementari)</w:t>
      </w:r>
      <w:r w:rsidR="00717401">
        <w:rPr>
          <w:rFonts w:ascii="Arial" w:hAnsi="Arial" w:cs="Arial"/>
          <w:sz w:val="22"/>
          <w:szCs w:val="22"/>
        </w:rPr>
        <w:t xml:space="preserve"> di monitoraggio e valutazione,</w:t>
      </w:r>
      <w:r w:rsidRPr="00F445E5">
        <w:rPr>
          <w:rFonts w:ascii="Arial" w:hAnsi="Arial" w:cs="Arial"/>
          <w:sz w:val="22"/>
          <w:szCs w:val="22"/>
        </w:rPr>
        <w:t xml:space="preserve"> secondo lo schema logico adottato</w:t>
      </w:r>
      <w:r w:rsidR="00D63580">
        <w:rPr>
          <w:rFonts w:ascii="Arial" w:hAnsi="Arial" w:cs="Arial"/>
          <w:sz w:val="22"/>
          <w:szCs w:val="22"/>
        </w:rPr>
        <w:t>;</w:t>
      </w:r>
    </w:p>
    <w:p w14:paraId="312ABE5F" w14:textId="0A505C93" w:rsidR="006C0B69" w:rsidRPr="00F445E5" w:rsidRDefault="006C0B69" w:rsidP="001241A7">
      <w:pPr>
        <w:numPr>
          <w:ilvl w:val="0"/>
          <w:numId w:val="25"/>
        </w:numPr>
        <w:jc w:val="both"/>
        <w:rPr>
          <w:rFonts w:ascii="Arial" w:hAnsi="Arial" w:cs="Arial"/>
          <w:sz w:val="22"/>
          <w:szCs w:val="22"/>
        </w:rPr>
      </w:pPr>
      <w:r w:rsidRPr="00F445E5">
        <w:rPr>
          <w:rFonts w:ascii="Arial" w:hAnsi="Arial" w:cs="Arial"/>
          <w:sz w:val="22"/>
          <w:szCs w:val="22"/>
        </w:rPr>
        <w:t>Conclusioni (relative agli obiettivi al livello comunitario, gli obiettivi specifici del programma, l’efficienza, l’efficacia, l’utilità, la credibilità dei risultati</w:t>
      </w:r>
      <w:r w:rsidR="000D7DA2">
        <w:rPr>
          <w:rFonts w:ascii="Arial" w:hAnsi="Arial" w:cs="Arial"/>
          <w:sz w:val="22"/>
          <w:szCs w:val="22"/>
        </w:rPr>
        <w:t>,</w:t>
      </w:r>
      <w:r w:rsidRPr="00F445E5">
        <w:rPr>
          <w:rFonts w:ascii="Arial" w:hAnsi="Arial" w:cs="Arial"/>
          <w:sz w:val="22"/>
          <w:szCs w:val="22"/>
        </w:rPr>
        <w:t xml:space="preserve"> ecc</w:t>
      </w:r>
      <w:r w:rsidR="000D7DA2">
        <w:rPr>
          <w:rFonts w:ascii="Arial" w:hAnsi="Arial" w:cs="Arial"/>
          <w:sz w:val="22"/>
          <w:szCs w:val="22"/>
        </w:rPr>
        <w:t>..</w:t>
      </w:r>
      <w:r w:rsidRPr="00F445E5">
        <w:rPr>
          <w:rFonts w:ascii="Arial" w:hAnsi="Arial" w:cs="Arial"/>
          <w:sz w:val="22"/>
          <w:szCs w:val="22"/>
        </w:rPr>
        <w:t>) ed eventuali raccomandazioni.</w:t>
      </w:r>
    </w:p>
    <w:p w14:paraId="1BD0A49A" w14:textId="77777777" w:rsidR="006C43B5" w:rsidRPr="00F445E5" w:rsidRDefault="006C43B5" w:rsidP="006C0B69">
      <w:pPr>
        <w:jc w:val="both"/>
        <w:rPr>
          <w:rFonts w:ascii="Arial" w:hAnsi="Arial" w:cs="Arial"/>
          <w:sz w:val="22"/>
          <w:szCs w:val="22"/>
        </w:rPr>
      </w:pPr>
    </w:p>
    <w:p w14:paraId="63D0FCF4" w14:textId="77777777" w:rsidR="006C0B69" w:rsidRPr="00F445E5" w:rsidRDefault="006C0B69" w:rsidP="006C0B69">
      <w:pPr>
        <w:jc w:val="both"/>
        <w:rPr>
          <w:rFonts w:ascii="Arial" w:hAnsi="Arial" w:cs="Arial"/>
          <w:sz w:val="22"/>
          <w:szCs w:val="22"/>
        </w:rPr>
      </w:pPr>
      <w:r w:rsidRPr="00F445E5">
        <w:rPr>
          <w:rFonts w:ascii="Arial" w:hAnsi="Arial" w:cs="Arial"/>
          <w:sz w:val="22"/>
          <w:szCs w:val="22"/>
        </w:rPr>
        <w:t>Dopo l’aggiudicazione della gara, in occasione della definizione dell’impianto metodologico ed organizzativo generale delle attività di valutazione, è richiesto al valutatore di collaborare alla determinazione del campione rappresentativo delle aziende e/o dei territori da rilevare, nonché alla eventuale revisione delle informazioni ricavate.</w:t>
      </w:r>
    </w:p>
    <w:p w14:paraId="7FB9D54D" w14:textId="77777777" w:rsidR="006C0B69" w:rsidRPr="00F445E5" w:rsidRDefault="006C0B69" w:rsidP="006C0B69">
      <w:pPr>
        <w:jc w:val="both"/>
        <w:rPr>
          <w:rFonts w:ascii="Arial" w:hAnsi="Arial" w:cs="Arial"/>
          <w:sz w:val="22"/>
          <w:szCs w:val="22"/>
        </w:rPr>
      </w:pPr>
      <w:r w:rsidRPr="00F445E5">
        <w:rPr>
          <w:rFonts w:ascii="Arial" w:hAnsi="Arial" w:cs="Arial"/>
          <w:sz w:val="22"/>
          <w:szCs w:val="22"/>
        </w:rPr>
        <w:t xml:space="preserve">Tutti i dati rilevati dovranno essere forniti alla Regione Umbria (in forma grezza ed elaborata) su CD rom o supporto equipollente in formato Microsoft Word o Excel per la parte di relazione, Microsoft Access per i dati alfanumerici e ESRI shape, o equipollenti, per quelli cartografici, secondo tracciati record, sistema di archiviazione e di consultazione concordati in sede di definizione dell’impianto metodologico organizzativo generale delle attività di valutazione. </w:t>
      </w:r>
    </w:p>
    <w:p w14:paraId="1738D6CC" w14:textId="230655DA" w:rsidR="006C0B69" w:rsidRPr="00F445E5" w:rsidRDefault="006C0B69" w:rsidP="006C0B69">
      <w:pPr>
        <w:jc w:val="both"/>
        <w:rPr>
          <w:rFonts w:ascii="Arial" w:hAnsi="Arial" w:cs="Arial"/>
          <w:sz w:val="22"/>
          <w:szCs w:val="22"/>
        </w:rPr>
      </w:pPr>
      <w:r w:rsidRPr="00F445E5">
        <w:rPr>
          <w:rFonts w:ascii="Arial" w:hAnsi="Arial" w:cs="Arial"/>
          <w:sz w:val="22"/>
          <w:szCs w:val="22"/>
        </w:rPr>
        <w:t xml:space="preserve">In particolare, il sistema di archiviazione dovrà consentire </w:t>
      </w:r>
      <w:r w:rsidR="00E439EA" w:rsidRPr="00F445E5">
        <w:rPr>
          <w:rFonts w:ascii="Arial" w:hAnsi="Arial" w:cs="Arial"/>
          <w:sz w:val="22"/>
          <w:szCs w:val="22"/>
        </w:rPr>
        <w:t>un’</w:t>
      </w:r>
      <w:r w:rsidRPr="00F445E5">
        <w:rPr>
          <w:rFonts w:ascii="Arial" w:hAnsi="Arial" w:cs="Arial"/>
          <w:sz w:val="22"/>
          <w:szCs w:val="22"/>
        </w:rPr>
        <w:t>agevole consultazione ed elaborazione dei dati ed una copia dovrà essere consegnata alla Regione, allo scopo di integrare gli archivi ad ogni consegna di dati elementari. Inoltre gli elaborati dovranno essere convertiti in formato HTML per l’inserimento degli stessi nel sito web della Regione Umbria (</w:t>
      </w:r>
      <w:hyperlink r:id="rId9" w:history="1">
        <w:r w:rsidRPr="00F445E5">
          <w:rPr>
            <w:rStyle w:val="Collegamentoipertestuale"/>
            <w:rFonts w:ascii="Arial" w:hAnsi="Arial" w:cs="Arial"/>
            <w:sz w:val="22"/>
            <w:szCs w:val="22"/>
          </w:rPr>
          <w:t>www.regione.umbria.it</w:t>
        </w:r>
      </w:hyperlink>
      <w:r w:rsidRPr="00F445E5">
        <w:rPr>
          <w:rFonts w:ascii="Arial" w:hAnsi="Arial" w:cs="Arial"/>
          <w:sz w:val="22"/>
          <w:szCs w:val="22"/>
        </w:rPr>
        <w:t>).</w:t>
      </w:r>
    </w:p>
    <w:p w14:paraId="7A951245" w14:textId="77777777" w:rsidR="006C0B69" w:rsidRPr="00F445E5" w:rsidRDefault="006C0B69" w:rsidP="006C0B69">
      <w:pPr>
        <w:jc w:val="both"/>
        <w:rPr>
          <w:rFonts w:ascii="Arial" w:hAnsi="Arial" w:cs="Arial"/>
          <w:sz w:val="22"/>
          <w:szCs w:val="22"/>
        </w:rPr>
      </w:pPr>
    </w:p>
    <w:p w14:paraId="43EAC9D1" w14:textId="69EFF4ED" w:rsidR="006C0B69" w:rsidRPr="00F445E5" w:rsidRDefault="006C0B69" w:rsidP="006C0B69">
      <w:pPr>
        <w:jc w:val="both"/>
        <w:rPr>
          <w:rFonts w:ascii="Arial" w:hAnsi="Arial" w:cs="Arial"/>
          <w:sz w:val="22"/>
          <w:szCs w:val="22"/>
        </w:rPr>
      </w:pPr>
      <w:r w:rsidRPr="00F445E5">
        <w:rPr>
          <w:rFonts w:ascii="Arial" w:hAnsi="Arial" w:cs="Arial"/>
          <w:sz w:val="22"/>
          <w:szCs w:val="22"/>
        </w:rPr>
        <w:t>VINCOLI PER IL VALUTATORE</w:t>
      </w:r>
    </w:p>
    <w:p w14:paraId="214D2E5F" w14:textId="77777777" w:rsidR="006C0B69" w:rsidRPr="00F445E5" w:rsidRDefault="006C0B69" w:rsidP="006C0B69">
      <w:pPr>
        <w:jc w:val="both"/>
        <w:rPr>
          <w:rFonts w:ascii="Arial" w:hAnsi="Arial" w:cs="Arial"/>
          <w:sz w:val="22"/>
          <w:szCs w:val="22"/>
        </w:rPr>
      </w:pPr>
      <w:r w:rsidRPr="00F445E5">
        <w:rPr>
          <w:rFonts w:ascii="Arial" w:hAnsi="Arial" w:cs="Arial"/>
          <w:sz w:val="22"/>
          <w:szCs w:val="22"/>
        </w:rPr>
        <w:t>Nello svolgimento delle sue attività il valutatore dovrà coordinarsi:</w:t>
      </w:r>
    </w:p>
    <w:p w14:paraId="28F8A504" w14:textId="31DDCCD1" w:rsidR="006C0B69" w:rsidRPr="00F445E5" w:rsidRDefault="00947E82" w:rsidP="001241A7">
      <w:pPr>
        <w:numPr>
          <w:ilvl w:val="0"/>
          <w:numId w:val="26"/>
        </w:numPr>
        <w:jc w:val="both"/>
        <w:rPr>
          <w:rFonts w:ascii="Arial" w:hAnsi="Arial" w:cs="Arial"/>
          <w:sz w:val="22"/>
          <w:szCs w:val="22"/>
        </w:rPr>
      </w:pPr>
      <w:r>
        <w:rPr>
          <w:rFonts w:ascii="Arial" w:hAnsi="Arial" w:cs="Arial"/>
          <w:sz w:val="22"/>
          <w:szCs w:val="22"/>
        </w:rPr>
        <w:t>s</w:t>
      </w:r>
      <w:r w:rsidR="006C0B69" w:rsidRPr="00F445E5">
        <w:rPr>
          <w:rFonts w:ascii="Arial" w:hAnsi="Arial" w:cs="Arial"/>
          <w:sz w:val="22"/>
          <w:szCs w:val="22"/>
        </w:rPr>
        <w:t xml:space="preserve">otto il profilo amministrativo, con l’Autorità di Gestione del PSR e con il </w:t>
      </w:r>
      <w:r>
        <w:rPr>
          <w:rFonts w:ascii="Arial" w:hAnsi="Arial" w:cs="Arial"/>
          <w:sz w:val="22"/>
          <w:szCs w:val="22"/>
        </w:rPr>
        <w:t>“</w:t>
      </w:r>
      <w:r w:rsidR="003C7B87">
        <w:rPr>
          <w:rFonts w:ascii="Arial" w:hAnsi="Arial" w:cs="Arial"/>
          <w:sz w:val="22"/>
          <w:szCs w:val="22"/>
        </w:rPr>
        <w:t xml:space="preserve">Servizio </w:t>
      </w:r>
      <w:r w:rsidR="00D63580">
        <w:rPr>
          <w:rFonts w:ascii="Arial" w:hAnsi="Arial" w:cs="Arial"/>
          <w:sz w:val="22"/>
          <w:szCs w:val="22"/>
        </w:rPr>
        <w:t>S</w:t>
      </w:r>
      <w:r w:rsidR="003C7B87">
        <w:rPr>
          <w:rFonts w:ascii="Arial" w:hAnsi="Arial" w:cs="Arial"/>
          <w:sz w:val="22"/>
          <w:szCs w:val="22"/>
        </w:rPr>
        <w:t>viluppo rurale e agricoltura sostenibile</w:t>
      </w:r>
      <w:r>
        <w:rPr>
          <w:rFonts w:ascii="Arial" w:hAnsi="Arial" w:cs="Arial"/>
          <w:sz w:val="22"/>
          <w:szCs w:val="22"/>
        </w:rPr>
        <w:t>”;</w:t>
      </w:r>
    </w:p>
    <w:p w14:paraId="65DF4E43" w14:textId="1F1A6CC3" w:rsidR="006C0B69" w:rsidRDefault="00947E82" w:rsidP="001241A7">
      <w:pPr>
        <w:numPr>
          <w:ilvl w:val="0"/>
          <w:numId w:val="26"/>
        </w:numPr>
        <w:jc w:val="both"/>
        <w:rPr>
          <w:rFonts w:ascii="Arial" w:hAnsi="Arial" w:cs="Arial"/>
          <w:sz w:val="22"/>
          <w:szCs w:val="22"/>
        </w:rPr>
      </w:pPr>
      <w:r>
        <w:rPr>
          <w:rFonts w:ascii="Arial" w:hAnsi="Arial" w:cs="Arial"/>
          <w:sz w:val="22"/>
          <w:szCs w:val="22"/>
        </w:rPr>
        <w:t>s</w:t>
      </w:r>
      <w:r w:rsidR="006C0B69" w:rsidRPr="00F445E5">
        <w:rPr>
          <w:rFonts w:ascii="Arial" w:hAnsi="Arial" w:cs="Arial"/>
          <w:sz w:val="22"/>
          <w:szCs w:val="22"/>
        </w:rPr>
        <w:t xml:space="preserve">otto il profilo metodologico, con l’Autorità di Gestione del PSR, con il </w:t>
      </w:r>
      <w:r w:rsidR="003C7B87">
        <w:rPr>
          <w:rFonts w:ascii="Arial" w:hAnsi="Arial" w:cs="Arial"/>
          <w:sz w:val="22"/>
          <w:szCs w:val="22"/>
        </w:rPr>
        <w:t xml:space="preserve">Servizio </w:t>
      </w:r>
      <w:r w:rsidR="00D63580">
        <w:rPr>
          <w:rFonts w:ascii="Arial" w:hAnsi="Arial" w:cs="Arial"/>
          <w:sz w:val="22"/>
          <w:szCs w:val="22"/>
        </w:rPr>
        <w:t>S</w:t>
      </w:r>
      <w:r w:rsidR="003C7B87">
        <w:rPr>
          <w:rFonts w:ascii="Arial" w:hAnsi="Arial" w:cs="Arial"/>
          <w:sz w:val="22"/>
          <w:szCs w:val="22"/>
        </w:rPr>
        <w:t>viluppo rurale e agricoltura sostenibile</w:t>
      </w:r>
      <w:r w:rsidR="006C0B69" w:rsidRPr="00F445E5">
        <w:rPr>
          <w:rFonts w:ascii="Arial" w:hAnsi="Arial" w:cs="Arial"/>
          <w:sz w:val="22"/>
          <w:szCs w:val="22"/>
        </w:rPr>
        <w:t xml:space="preserve"> e, per ciò che attiene il sistema di monitoraggio e valutazione, con il Ministero delle Politiche Agricole e Forestali (in particolare con la Rete Rurale </w:t>
      </w:r>
      <w:r w:rsidR="00395365" w:rsidRPr="00F445E5">
        <w:rPr>
          <w:rFonts w:ascii="Arial" w:hAnsi="Arial" w:cs="Arial"/>
          <w:sz w:val="22"/>
          <w:szCs w:val="22"/>
        </w:rPr>
        <w:t>Nazionale).</w:t>
      </w:r>
    </w:p>
    <w:p w14:paraId="67CAE8A5" w14:textId="77777777" w:rsidR="00F15C05" w:rsidRDefault="00F15C05" w:rsidP="00F15C05">
      <w:pPr>
        <w:pStyle w:val="Corpodeltesto3"/>
        <w:jc w:val="both"/>
        <w:rPr>
          <w:rFonts w:ascii="Arial" w:hAnsi="Arial" w:cs="Arial"/>
          <w:sz w:val="22"/>
          <w:szCs w:val="22"/>
        </w:rPr>
      </w:pPr>
    </w:p>
    <w:p w14:paraId="77B917F0" w14:textId="2739E2B4" w:rsidR="003A08F0" w:rsidRDefault="00F15C05" w:rsidP="00F15C05">
      <w:pPr>
        <w:pStyle w:val="Corpodeltesto3"/>
        <w:jc w:val="both"/>
        <w:rPr>
          <w:rFonts w:ascii="Arial" w:hAnsi="Arial" w:cs="Arial"/>
          <w:sz w:val="22"/>
          <w:szCs w:val="22"/>
        </w:rPr>
      </w:pPr>
      <w:r w:rsidRPr="00F445E5">
        <w:rPr>
          <w:rFonts w:ascii="Arial" w:hAnsi="Arial" w:cs="Arial"/>
          <w:sz w:val="22"/>
          <w:szCs w:val="22"/>
        </w:rPr>
        <w:t xml:space="preserve">L’aggiudicatario del servizio è soggetto a controllo di qualità del servizio svolto dal </w:t>
      </w:r>
      <w:r w:rsidR="001C4F0E">
        <w:rPr>
          <w:rFonts w:ascii="Arial" w:hAnsi="Arial" w:cs="Arial"/>
          <w:sz w:val="22"/>
          <w:szCs w:val="22"/>
        </w:rPr>
        <w:t>“</w:t>
      </w:r>
      <w:r w:rsidRPr="00F445E5">
        <w:rPr>
          <w:rFonts w:ascii="Arial" w:hAnsi="Arial" w:cs="Arial"/>
          <w:sz w:val="22"/>
          <w:szCs w:val="22"/>
        </w:rPr>
        <w:t xml:space="preserve">Servizio </w:t>
      </w:r>
      <w:r>
        <w:rPr>
          <w:rFonts w:ascii="Arial" w:hAnsi="Arial" w:cs="Arial"/>
          <w:sz w:val="22"/>
          <w:szCs w:val="22"/>
        </w:rPr>
        <w:t>Sviluppo rurale e agricoltura sostenibile</w:t>
      </w:r>
      <w:r w:rsidR="001C4F0E">
        <w:rPr>
          <w:rFonts w:ascii="Arial" w:hAnsi="Arial" w:cs="Arial"/>
          <w:sz w:val="22"/>
          <w:szCs w:val="22"/>
        </w:rPr>
        <w:t>”</w:t>
      </w:r>
      <w:r w:rsidRPr="00F445E5">
        <w:rPr>
          <w:rFonts w:ascii="Arial" w:hAnsi="Arial" w:cs="Arial"/>
          <w:sz w:val="22"/>
          <w:szCs w:val="22"/>
        </w:rPr>
        <w:t>, sentita l’Autorità di Gestione del PSR, con riferimento</w:t>
      </w:r>
      <w:r w:rsidR="003A08F0">
        <w:rPr>
          <w:rFonts w:ascii="Arial" w:hAnsi="Arial" w:cs="Arial"/>
          <w:sz w:val="22"/>
          <w:szCs w:val="22"/>
        </w:rPr>
        <w:t>:</w:t>
      </w:r>
    </w:p>
    <w:p w14:paraId="59822B1F" w14:textId="77777777" w:rsidR="003A08F0" w:rsidRDefault="003A08F0" w:rsidP="00F15C05">
      <w:pPr>
        <w:pStyle w:val="Corpodeltesto3"/>
        <w:jc w:val="both"/>
        <w:rPr>
          <w:rFonts w:ascii="Arial" w:hAnsi="Arial" w:cs="Arial"/>
          <w:sz w:val="22"/>
          <w:szCs w:val="22"/>
        </w:rPr>
      </w:pPr>
      <w:r>
        <w:rPr>
          <w:rFonts w:ascii="Arial" w:hAnsi="Arial" w:cs="Arial"/>
          <w:sz w:val="22"/>
          <w:szCs w:val="22"/>
        </w:rPr>
        <w:t>-</w:t>
      </w:r>
      <w:r w:rsidR="00F15C05" w:rsidRPr="00F445E5">
        <w:rPr>
          <w:rFonts w:ascii="Arial" w:hAnsi="Arial" w:cs="Arial"/>
          <w:sz w:val="22"/>
          <w:szCs w:val="22"/>
        </w:rPr>
        <w:t xml:space="preserve"> alle caratteristiche del processo – </w:t>
      </w:r>
      <w:r>
        <w:rPr>
          <w:rFonts w:ascii="Arial" w:hAnsi="Arial" w:cs="Arial"/>
          <w:sz w:val="22"/>
          <w:szCs w:val="22"/>
        </w:rPr>
        <w:t>ovvero al</w:t>
      </w:r>
      <w:r w:rsidR="00F15C05" w:rsidRPr="00F445E5">
        <w:rPr>
          <w:rFonts w:ascii="Arial" w:hAnsi="Arial" w:cs="Arial"/>
          <w:sz w:val="22"/>
          <w:szCs w:val="22"/>
        </w:rPr>
        <w:t xml:space="preserve"> modo in cui l’amministrazione committente assume la decisione di intraprendere la valutazione, ne definisce la portata e le risorse disponibili, il modo in cui si gestiscono i rapporti fra le varie parti coinvolte, l’effettivo dialogo con i portatori d’interessi ecc.</w:t>
      </w:r>
      <w:r>
        <w:rPr>
          <w:rFonts w:ascii="Arial" w:hAnsi="Arial" w:cs="Arial"/>
          <w:sz w:val="22"/>
          <w:szCs w:val="22"/>
        </w:rPr>
        <w:t>;</w:t>
      </w:r>
    </w:p>
    <w:p w14:paraId="75CA2A6F" w14:textId="07B64CE9" w:rsidR="00F15C05" w:rsidRPr="00F445E5" w:rsidRDefault="003A08F0" w:rsidP="00F15C05">
      <w:pPr>
        <w:pStyle w:val="Corpodeltesto3"/>
        <w:jc w:val="both"/>
        <w:rPr>
          <w:rFonts w:ascii="Arial" w:hAnsi="Arial" w:cs="Arial"/>
          <w:sz w:val="22"/>
          <w:szCs w:val="22"/>
        </w:rPr>
      </w:pPr>
      <w:r>
        <w:rPr>
          <w:rFonts w:ascii="Arial" w:hAnsi="Arial" w:cs="Arial"/>
          <w:sz w:val="22"/>
          <w:szCs w:val="22"/>
        </w:rPr>
        <w:t>- a</w:t>
      </w:r>
      <w:r w:rsidR="00F15C05" w:rsidRPr="00F445E5">
        <w:rPr>
          <w:rFonts w:ascii="Arial" w:hAnsi="Arial" w:cs="Arial"/>
          <w:sz w:val="22"/>
          <w:szCs w:val="22"/>
        </w:rPr>
        <w:t xml:space="preserve">l prodotto della valutazione – </w:t>
      </w:r>
      <w:r>
        <w:rPr>
          <w:rFonts w:ascii="Arial" w:hAnsi="Arial" w:cs="Arial"/>
          <w:sz w:val="22"/>
          <w:szCs w:val="22"/>
        </w:rPr>
        <w:t>ovvero all’</w:t>
      </w:r>
      <w:r w:rsidR="00F15C05" w:rsidRPr="00F445E5">
        <w:rPr>
          <w:rFonts w:ascii="Arial" w:hAnsi="Arial" w:cs="Arial"/>
          <w:sz w:val="22"/>
          <w:szCs w:val="22"/>
        </w:rPr>
        <w:t xml:space="preserve">adeguatezza dei metodi di analisi relativamente al tipo di dati utilizzati, rispetto di determinati criteri di professionalità da parte del valutatore, validità e quantità dei dati, risultati credibili, chiarezza dei rapporti di valutazione, sintesi, ecc.  </w:t>
      </w:r>
    </w:p>
    <w:p w14:paraId="76BD5484" w14:textId="77777777" w:rsidR="00B44DB8" w:rsidRDefault="00B44DB8" w:rsidP="00B44DB8">
      <w:pPr>
        <w:jc w:val="both"/>
        <w:rPr>
          <w:rFonts w:ascii="Arial" w:hAnsi="Arial" w:cs="Arial"/>
          <w:sz w:val="22"/>
          <w:szCs w:val="22"/>
        </w:rPr>
      </w:pPr>
    </w:p>
    <w:p w14:paraId="586032C1" w14:textId="77777777" w:rsidR="00B44DB8" w:rsidRPr="00F445E5" w:rsidRDefault="00B44DB8" w:rsidP="00B44DB8">
      <w:pPr>
        <w:jc w:val="both"/>
        <w:rPr>
          <w:rFonts w:ascii="Arial" w:hAnsi="Arial" w:cs="Arial"/>
          <w:sz w:val="22"/>
          <w:szCs w:val="22"/>
        </w:rPr>
      </w:pPr>
    </w:p>
    <w:p w14:paraId="13334110" w14:textId="51490348" w:rsidR="00092F00" w:rsidRDefault="00BD3C89" w:rsidP="00F7736E">
      <w:pPr>
        <w:pStyle w:val="Default"/>
        <w:spacing w:after="120" w:line="360" w:lineRule="auto"/>
        <w:contextualSpacing/>
        <w:jc w:val="center"/>
        <w:rPr>
          <w:b/>
          <w:bCs/>
          <w:sz w:val="22"/>
          <w:szCs w:val="22"/>
        </w:rPr>
      </w:pPr>
      <w:bookmarkStart w:id="0" w:name="_Toc433628074"/>
      <w:bookmarkStart w:id="1" w:name="_Toc433964772"/>
      <w:r w:rsidRPr="003A3829">
        <w:rPr>
          <w:b/>
          <w:bCs/>
          <w:sz w:val="22"/>
          <w:szCs w:val="22"/>
        </w:rPr>
        <w:t xml:space="preserve">Art. </w:t>
      </w:r>
      <w:r w:rsidR="00092F00">
        <w:rPr>
          <w:b/>
          <w:bCs/>
          <w:sz w:val="22"/>
          <w:szCs w:val="22"/>
        </w:rPr>
        <w:t xml:space="preserve">4 Durata del contratto e importo contrattuale </w:t>
      </w:r>
    </w:p>
    <w:p w14:paraId="0D0C18C1" w14:textId="1E2B1F1C" w:rsidR="00092F00" w:rsidRPr="009E3DEA" w:rsidRDefault="00092F00" w:rsidP="00F7736E">
      <w:pPr>
        <w:jc w:val="both"/>
        <w:rPr>
          <w:rFonts w:ascii="Arial" w:hAnsi="Arial" w:cs="Arial"/>
          <w:sz w:val="22"/>
          <w:szCs w:val="22"/>
        </w:rPr>
      </w:pPr>
      <w:r w:rsidRPr="009E3DEA">
        <w:rPr>
          <w:rFonts w:ascii="Arial" w:hAnsi="Arial" w:cs="Arial"/>
          <w:sz w:val="22"/>
          <w:szCs w:val="22"/>
        </w:rPr>
        <w:t>L’incarico decorre dalla data di stipula del contratto e fino al 31.12.2024 e include, in ogni caso, l’attività di definizione degli atti amministrativi richiesti dalla Commissione Europea.</w:t>
      </w:r>
      <w:r w:rsidR="007E77FC" w:rsidRPr="009E3DEA">
        <w:rPr>
          <w:rFonts w:ascii="Arial" w:hAnsi="Arial" w:cs="Arial"/>
          <w:sz w:val="22"/>
          <w:szCs w:val="22"/>
        </w:rPr>
        <w:t xml:space="preserve"> </w:t>
      </w:r>
      <w:r w:rsidR="006B64FF">
        <w:rPr>
          <w:rFonts w:ascii="Arial" w:hAnsi="Arial" w:cs="Arial"/>
          <w:sz w:val="22"/>
          <w:szCs w:val="22"/>
        </w:rPr>
        <w:t xml:space="preserve">Alla data della stipula il soggetto aggiudicatario deve consegnare le dichiarazioni relative all’assenza di conflitto di interessi indicate nel presente capitolato. </w:t>
      </w:r>
    </w:p>
    <w:p w14:paraId="2322D6A2" w14:textId="77777777" w:rsidR="00DB7F94" w:rsidRDefault="00092F00" w:rsidP="00F7736E">
      <w:pPr>
        <w:pStyle w:val="Default"/>
        <w:spacing w:after="120"/>
        <w:contextualSpacing/>
        <w:jc w:val="both"/>
        <w:rPr>
          <w:sz w:val="22"/>
          <w:szCs w:val="22"/>
        </w:rPr>
      </w:pPr>
      <w:r w:rsidRPr="005C33AD">
        <w:rPr>
          <w:sz w:val="22"/>
          <w:szCs w:val="22"/>
        </w:rPr>
        <w:t xml:space="preserve">L’importo a base d’asta è pari a € </w:t>
      </w:r>
      <w:r w:rsidR="004568AF">
        <w:rPr>
          <w:sz w:val="22"/>
          <w:szCs w:val="22"/>
        </w:rPr>
        <w:t>98</w:t>
      </w:r>
      <w:r w:rsidR="003C6DD8">
        <w:rPr>
          <w:sz w:val="22"/>
          <w:szCs w:val="22"/>
        </w:rPr>
        <w:t>7</w:t>
      </w:r>
      <w:r w:rsidRPr="005C33AD">
        <w:rPr>
          <w:sz w:val="22"/>
          <w:szCs w:val="22"/>
        </w:rPr>
        <w:t>.</w:t>
      </w:r>
      <w:r w:rsidR="003C6DD8">
        <w:rPr>
          <w:sz w:val="22"/>
          <w:szCs w:val="22"/>
        </w:rPr>
        <w:t>464</w:t>
      </w:r>
      <w:r w:rsidRPr="005C33AD">
        <w:rPr>
          <w:sz w:val="22"/>
          <w:szCs w:val="22"/>
        </w:rPr>
        <w:t xml:space="preserve">,00 € IVA </w:t>
      </w:r>
      <w:r w:rsidR="00F07EB5">
        <w:rPr>
          <w:sz w:val="22"/>
          <w:szCs w:val="22"/>
        </w:rPr>
        <w:t xml:space="preserve">esclusa </w:t>
      </w:r>
      <w:r w:rsidR="00DD3053" w:rsidRPr="00DD3053">
        <w:rPr>
          <w:sz w:val="22"/>
          <w:szCs w:val="22"/>
        </w:rPr>
        <w:t>ed</w:t>
      </w:r>
      <w:r w:rsidR="00F07EB5" w:rsidRPr="00DD3053">
        <w:rPr>
          <w:sz w:val="22"/>
          <w:szCs w:val="22"/>
        </w:rPr>
        <w:t xml:space="preserve"> è da ritenersi omnicomprensivo dei prodotti/servizi richiesti come meglio dettagliati nell’allegato A del presente capitolato che ne costituisce parte integrante e sostanziale. I prezzi indicati </w:t>
      </w:r>
      <w:r w:rsidR="00F1736A">
        <w:rPr>
          <w:sz w:val="22"/>
          <w:szCs w:val="22"/>
        </w:rPr>
        <w:t>come meglio dettagliati nell’</w:t>
      </w:r>
      <w:r w:rsidR="00F07EB5" w:rsidRPr="00DD3053">
        <w:rPr>
          <w:sz w:val="22"/>
          <w:szCs w:val="22"/>
        </w:rPr>
        <w:t xml:space="preserve"> allegato </w:t>
      </w:r>
      <w:r w:rsidR="00F1736A">
        <w:rPr>
          <w:sz w:val="22"/>
          <w:szCs w:val="22"/>
        </w:rPr>
        <w:t>B)</w:t>
      </w:r>
      <w:r w:rsidR="00F07EB5" w:rsidRPr="00DD3053">
        <w:rPr>
          <w:sz w:val="22"/>
          <w:szCs w:val="22"/>
        </w:rPr>
        <w:t xml:space="preserve"> sono stati congruiti sulla base di un’indagine di mercato condotta dalla RRN e messa a disposizione delle AdG dei PSR italiani per la determinazione dei prezzi medi dei servizi richiesti per la valutazione dei programmi regionali.</w:t>
      </w:r>
      <w:r w:rsidR="00B05BF5">
        <w:rPr>
          <w:sz w:val="22"/>
          <w:szCs w:val="22"/>
        </w:rPr>
        <w:t xml:space="preserve"> </w:t>
      </w:r>
      <w:r w:rsidRPr="00D34907">
        <w:rPr>
          <w:sz w:val="22"/>
          <w:szCs w:val="22"/>
        </w:rPr>
        <w:t>L’appalto è finanziato con il Programma di sviluppo rurale –FEASR – Misura 20 “Assistenza tecnica”.</w:t>
      </w:r>
      <w:r w:rsidR="00DB7F94">
        <w:rPr>
          <w:sz w:val="22"/>
          <w:szCs w:val="22"/>
        </w:rPr>
        <w:t xml:space="preserve"> </w:t>
      </w:r>
    </w:p>
    <w:p w14:paraId="3673BA82" w14:textId="0A90CA2A" w:rsidR="00092F00" w:rsidRPr="00D34907" w:rsidRDefault="00833F9B" w:rsidP="00F7736E">
      <w:pPr>
        <w:pStyle w:val="Default"/>
        <w:spacing w:after="120"/>
        <w:contextualSpacing/>
        <w:jc w:val="both"/>
        <w:rPr>
          <w:sz w:val="22"/>
          <w:szCs w:val="22"/>
        </w:rPr>
      </w:pPr>
      <w:r>
        <w:rPr>
          <w:sz w:val="22"/>
          <w:szCs w:val="22"/>
        </w:rPr>
        <w:t>P</w:t>
      </w:r>
      <w:r w:rsidRPr="00D34907">
        <w:rPr>
          <w:sz w:val="22"/>
          <w:szCs w:val="22"/>
        </w:rPr>
        <w:t>er la natura prettamente intellettuale del servizio di cui trattasi non è necessario redigere il DUVRI e i costi della sicurezza rischi interferenziali sono pari a zero euro</w:t>
      </w:r>
      <w:r>
        <w:rPr>
          <w:rStyle w:val="Rimandonotaapidipagina"/>
          <w:sz w:val="22"/>
          <w:szCs w:val="22"/>
        </w:rPr>
        <w:footnoteReference w:id="1"/>
      </w:r>
      <w:r w:rsidRPr="00D34907">
        <w:rPr>
          <w:sz w:val="22"/>
          <w:szCs w:val="22"/>
        </w:rPr>
        <w:t>.</w:t>
      </w:r>
    </w:p>
    <w:p w14:paraId="13FB33B2" w14:textId="1A68395A" w:rsidR="00092F00" w:rsidRDefault="00092F00" w:rsidP="00092F00">
      <w:pPr>
        <w:pStyle w:val="Default"/>
        <w:spacing w:after="120"/>
        <w:contextualSpacing/>
        <w:jc w:val="both"/>
        <w:rPr>
          <w:sz w:val="22"/>
          <w:szCs w:val="22"/>
        </w:rPr>
      </w:pPr>
      <w:r w:rsidRPr="00D34907">
        <w:rPr>
          <w:color w:val="auto"/>
          <w:sz w:val="22"/>
          <w:szCs w:val="22"/>
        </w:rPr>
        <w:t>La stazione appaltante, qualora in corso di esecuzione si renda necessario un aumento o una diminuzione delle prestazioni fino a concorrenza del quinto dell’importo del contratto, può imporre all’appaltatore l’esecuzione alle stesse condizioni previste nel contratto originario. In tal caso l’appaltatore non può far valere il diritto alla risoluzione del contratto. Le modifiche e le varianti sono regolate dall’art. 106 del D. Lgs. n. 50/2016</w:t>
      </w:r>
      <w:r w:rsidR="00DB7F94">
        <w:rPr>
          <w:color w:val="auto"/>
          <w:sz w:val="22"/>
          <w:szCs w:val="22"/>
        </w:rPr>
        <w:t xml:space="preserve"> e smi.</w:t>
      </w:r>
    </w:p>
    <w:p w14:paraId="15DBA46F" w14:textId="77777777" w:rsidR="006032D7" w:rsidRPr="003A3829" w:rsidRDefault="006032D7" w:rsidP="006032D7">
      <w:pPr>
        <w:pStyle w:val="Default"/>
        <w:spacing w:after="120"/>
        <w:contextualSpacing/>
        <w:rPr>
          <w:sz w:val="22"/>
          <w:szCs w:val="22"/>
        </w:rPr>
      </w:pPr>
    </w:p>
    <w:p w14:paraId="6CA63881" w14:textId="77777777" w:rsidR="00475279" w:rsidRDefault="00475279" w:rsidP="007B2F5A">
      <w:pPr>
        <w:pStyle w:val="Default"/>
        <w:spacing w:after="120"/>
        <w:contextualSpacing/>
        <w:jc w:val="center"/>
        <w:rPr>
          <w:b/>
          <w:bCs/>
          <w:sz w:val="22"/>
          <w:szCs w:val="22"/>
        </w:rPr>
      </w:pPr>
    </w:p>
    <w:p w14:paraId="55DA9894" w14:textId="3420E3B5" w:rsidR="00475279" w:rsidRDefault="00475279" w:rsidP="00475279">
      <w:pPr>
        <w:pStyle w:val="Default"/>
        <w:spacing w:after="120"/>
        <w:contextualSpacing/>
        <w:jc w:val="center"/>
        <w:rPr>
          <w:b/>
          <w:bCs/>
          <w:sz w:val="22"/>
          <w:szCs w:val="22"/>
        </w:rPr>
      </w:pPr>
      <w:r>
        <w:rPr>
          <w:b/>
          <w:bCs/>
          <w:sz w:val="22"/>
          <w:szCs w:val="22"/>
        </w:rPr>
        <w:t>Art.5 Tempi e luogo di esecuzione del contratto</w:t>
      </w:r>
    </w:p>
    <w:p w14:paraId="71356586" w14:textId="77777777" w:rsidR="008B7FEE" w:rsidRDefault="008B7FEE" w:rsidP="00475279">
      <w:pPr>
        <w:pStyle w:val="Default"/>
        <w:spacing w:after="120"/>
        <w:contextualSpacing/>
        <w:jc w:val="center"/>
      </w:pPr>
    </w:p>
    <w:p w14:paraId="3E1C3DE2" w14:textId="77777777" w:rsidR="00475279" w:rsidRPr="009E3DEA" w:rsidRDefault="00475279" w:rsidP="00475279">
      <w:pPr>
        <w:jc w:val="both"/>
        <w:rPr>
          <w:rFonts w:ascii="Arial" w:hAnsi="Arial" w:cs="Arial"/>
          <w:sz w:val="22"/>
          <w:szCs w:val="22"/>
        </w:rPr>
      </w:pPr>
      <w:r w:rsidRPr="009E3DEA">
        <w:rPr>
          <w:rFonts w:ascii="Arial" w:hAnsi="Arial" w:cs="Arial"/>
          <w:sz w:val="22"/>
          <w:szCs w:val="22"/>
        </w:rPr>
        <w:t>L’attività di valutazione verrà svolta sull’intero territorio della Regione Umbria.</w:t>
      </w:r>
    </w:p>
    <w:p w14:paraId="5C7ED1F4" w14:textId="77777777" w:rsidR="00475279" w:rsidRDefault="00475279" w:rsidP="00475279">
      <w:pPr>
        <w:jc w:val="both"/>
        <w:rPr>
          <w:rFonts w:ascii="Arial" w:hAnsi="Arial" w:cs="Arial"/>
          <w:sz w:val="22"/>
          <w:szCs w:val="22"/>
        </w:rPr>
      </w:pPr>
      <w:r w:rsidRPr="009E3DEA">
        <w:rPr>
          <w:rFonts w:ascii="Arial" w:hAnsi="Arial" w:cs="Arial"/>
          <w:sz w:val="22"/>
          <w:szCs w:val="22"/>
        </w:rPr>
        <w:t>Il calendario di lavoro prevede le seguenti scadenze</w:t>
      </w:r>
    </w:p>
    <w:p w14:paraId="34C7FB60" w14:textId="77777777" w:rsidR="001E44A3" w:rsidRDefault="001E44A3" w:rsidP="00475279">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3969"/>
      </w:tblGrid>
      <w:tr w:rsidR="001E44A3" w:rsidRPr="009E3DEA" w14:paraId="5E5A50C6" w14:textId="77777777" w:rsidTr="001E44A3">
        <w:trPr>
          <w:jc w:val="center"/>
        </w:trPr>
        <w:tc>
          <w:tcPr>
            <w:tcW w:w="3936" w:type="dxa"/>
          </w:tcPr>
          <w:p w14:paraId="6D6741C3" w14:textId="77777777" w:rsidR="001E44A3" w:rsidRPr="009E3DEA" w:rsidRDefault="001E44A3" w:rsidP="006475C3">
            <w:pPr>
              <w:jc w:val="both"/>
              <w:rPr>
                <w:rFonts w:ascii="Arial" w:hAnsi="Arial" w:cs="Arial"/>
                <w:sz w:val="22"/>
                <w:szCs w:val="22"/>
              </w:rPr>
            </w:pPr>
            <w:r w:rsidRPr="009E3DEA">
              <w:rPr>
                <w:rFonts w:ascii="Arial" w:hAnsi="Arial" w:cs="Arial"/>
                <w:sz w:val="22"/>
                <w:szCs w:val="22"/>
              </w:rPr>
              <w:t>Definizione dell’impianto metodologico ed organizzativo generale dell’attività di valutazione</w:t>
            </w:r>
            <w:r>
              <w:rPr>
                <w:rFonts w:ascii="Arial" w:hAnsi="Arial" w:cs="Arial"/>
                <w:sz w:val="22"/>
                <w:szCs w:val="22"/>
              </w:rPr>
              <w:t xml:space="preserve"> (Piano di valutazione) </w:t>
            </w:r>
          </w:p>
        </w:tc>
        <w:tc>
          <w:tcPr>
            <w:tcW w:w="3969" w:type="dxa"/>
          </w:tcPr>
          <w:p w14:paraId="2D52D8F7" w14:textId="77777777" w:rsidR="001E44A3" w:rsidRPr="009E3DEA" w:rsidRDefault="001E44A3" w:rsidP="006475C3">
            <w:pPr>
              <w:jc w:val="both"/>
              <w:rPr>
                <w:rFonts w:ascii="Arial" w:hAnsi="Arial" w:cs="Arial"/>
                <w:sz w:val="22"/>
                <w:szCs w:val="22"/>
              </w:rPr>
            </w:pPr>
            <w:r w:rsidRPr="009E3DEA">
              <w:rPr>
                <w:rFonts w:ascii="Arial" w:hAnsi="Arial" w:cs="Arial"/>
                <w:sz w:val="22"/>
                <w:szCs w:val="22"/>
              </w:rPr>
              <w:t>Entro 45 giorni dalla data di sottoscrizione del contratto</w:t>
            </w:r>
          </w:p>
        </w:tc>
      </w:tr>
      <w:tr w:rsidR="001E44A3" w:rsidRPr="009E3DEA" w14:paraId="4D0CEA79" w14:textId="77777777" w:rsidTr="00CE5729">
        <w:trPr>
          <w:trHeight w:val="845"/>
          <w:jc w:val="center"/>
        </w:trPr>
        <w:tc>
          <w:tcPr>
            <w:tcW w:w="3936" w:type="dxa"/>
          </w:tcPr>
          <w:p w14:paraId="49D99BFD" w14:textId="77777777" w:rsidR="001E44A3" w:rsidRPr="003D77B0" w:rsidRDefault="001E44A3" w:rsidP="006475C3">
            <w:pPr>
              <w:jc w:val="both"/>
              <w:rPr>
                <w:rFonts w:ascii="Arial" w:hAnsi="Arial" w:cs="Arial"/>
                <w:sz w:val="22"/>
                <w:szCs w:val="22"/>
              </w:rPr>
            </w:pPr>
            <w:r w:rsidRPr="003D77B0">
              <w:rPr>
                <w:rFonts w:ascii="Arial" w:hAnsi="Arial" w:cs="Arial"/>
                <w:sz w:val="22"/>
                <w:szCs w:val="22"/>
              </w:rPr>
              <w:t>Rapporto annuale di valutazione (RAV)</w:t>
            </w:r>
          </w:p>
        </w:tc>
        <w:tc>
          <w:tcPr>
            <w:tcW w:w="3969" w:type="dxa"/>
          </w:tcPr>
          <w:p w14:paraId="3C420D81" w14:textId="64381F4A" w:rsidR="001E44A3" w:rsidRPr="003D77B0" w:rsidRDefault="001E44A3" w:rsidP="00CE5729">
            <w:pPr>
              <w:jc w:val="both"/>
              <w:rPr>
                <w:rFonts w:ascii="Arial" w:hAnsi="Arial" w:cs="Arial"/>
                <w:sz w:val="22"/>
                <w:szCs w:val="22"/>
              </w:rPr>
            </w:pPr>
            <w:r w:rsidRPr="003D77B0">
              <w:rPr>
                <w:rFonts w:ascii="Arial" w:hAnsi="Arial" w:cs="Arial"/>
                <w:sz w:val="22"/>
                <w:szCs w:val="22"/>
              </w:rPr>
              <w:t>Entro il 31.03 di ogni anno, a partire dal 201</w:t>
            </w:r>
            <w:r w:rsidR="00CE5729" w:rsidRPr="003D77B0">
              <w:rPr>
                <w:rFonts w:ascii="Arial" w:hAnsi="Arial" w:cs="Arial"/>
                <w:sz w:val="22"/>
                <w:szCs w:val="22"/>
              </w:rPr>
              <w:t>8</w:t>
            </w:r>
            <w:r w:rsidRPr="003D77B0">
              <w:rPr>
                <w:rFonts w:ascii="Arial" w:hAnsi="Arial" w:cs="Arial"/>
                <w:sz w:val="22"/>
                <w:szCs w:val="22"/>
              </w:rPr>
              <w:t xml:space="preserve"> riferito agli anni precedenti a quello di presentazione. </w:t>
            </w:r>
          </w:p>
        </w:tc>
      </w:tr>
      <w:tr w:rsidR="001E44A3" w:rsidRPr="009E3DEA" w14:paraId="4FD5F99E" w14:textId="77777777" w:rsidTr="001E44A3">
        <w:trPr>
          <w:jc w:val="center"/>
        </w:trPr>
        <w:tc>
          <w:tcPr>
            <w:tcW w:w="3936" w:type="dxa"/>
          </w:tcPr>
          <w:p w14:paraId="038C1148" w14:textId="77777777" w:rsidR="001E44A3" w:rsidRPr="003D77B0" w:rsidRDefault="001E44A3" w:rsidP="006475C3">
            <w:pPr>
              <w:jc w:val="both"/>
              <w:rPr>
                <w:rFonts w:ascii="Arial" w:hAnsi="Arial" w:cs="Arial"/>
                <w:sz w:val="22"/>
                <w:szCs w:val="22"/>
              </w:rPr>
            </w:pPr>
            <w:r w:rsidRPr="003D77B0">
              <w:rPr>
                <w:rFonts w:ascii="Arial" w:hAnsi="Arial" w:cs="Arial"/>
                <w:sz w:val="22"/>
                <w:szCs w:val="22"/>
              </w:rPr>
              <w:t>Rapporti di valutazione intermedia o rafforzata</w:t>
            </w:r>
          </w:p>
        </w:tc>
        <w:tc>
          <w:tcPr>
            <w:tcW w:w="3969" w:type="dxa"/>
          </w:tcPr>
          <w:p w14:paraId="2F7FAB28" w14:textId="7A189F22" w:rsidR="001E44A3" w:rsidRPr="003D77B0" w:rsidRDefault="001E44A3" w:rsidP="00CE5729">
            <w:pPr>
              <w:jc w:val="both"/>
              <w:rPr>
                <w:rFonts w:ascii="Arial" w:hAnsi="Arial" w:cs="Arial"/>
                <w:sz w:val="22"/>
                <w:szCs w:val="22"/>
              </w:rPr>
            </w:pPr>
            <w:r w:rsidRPr="003D77B0">
              <w:rPr>
                <w:rFonts w:ascii="Arial" w:hAnsi="Arial" w:cs="Arial"/>
                <w:sz w:val="22"/>
                <w:szCs w:val="22"/>
              </w:rPr>
              <w:t>Entro il 31.03.20</w:t>
            </w:r>
            <w:r w:rsidR="00CE5729" w:rsidRPr="003D77B0">
              <w:rPr>
                <w:rFonts w:ascii="Arial" w:hAnsi="Arial" w:cs="Arial"/>
                <w:sz w:val="22"/>
                <w:szCs w:val="22"/>
              </w:rPr>
              <w:t>19 riferita</w:t>
            </w:r>
            <w:r w:rsidRPr="003D77B0">
              <w:rPr>
                <w:rFonts w:ascii="Arial" w:hAnsi="Arial" w:cs="Arial"/>
                <w:sz w:val="22"/>
                <w:szCs w:val="22"/>
              </w:rPr>
              <w:t xml:space="preserve"> </w:t>
            </w:r>
            <w:r w:rsidR="00CE5729" w:rsidRPr="003D77B0">
              <w:rPr>
                <w:rFonts w:ascii="Arial" w:hAnsi="Arial" w:cs="Arial"/>
                <w:sz w:val="22"/>
                <w:szCs w:val="22"/>
              </w:rPr>
              <w:t>all’anno</w:t>
            </w:r>
            <w:r w:rsidRPr="003D77B0">
              <w:rPr>
                <w:rFonts w:ascii="Arial" w:hAnsi="Arial" w:cs="Arial"/>
                <w:sz w:val="22"/>
                <w:szCs w:val="22"/>
              </w:rPr>
              <w:t xml:space="preserve"> 2018 che assorbe anche la RAV dei rispettivi anni. </w:t>
            </w:r>
          </w:p>
        </w:tc>
      </w:tr>
      <w:tr w:rsidR="00DC4DA3" w:rsidRPr="009E3DEA" w14:paraId="3C242889" w14:textId="77777777" w:rsidTr="001E44A3">
        <w:trPr>
          <w:jc w:val="center"/>
        </w:trPr>
        <w:tc>
          <w:tcPr>
            <w:tcW w:w="3936" w:type="dxa"/>
          </w:tcPr>
          <w:p w14:paraId="4AE269C9" w14:textId="2D5A17AB" w:rsidR="00DC4DA3" w:rsidRPr="003D77B0" w:rsidRDefault="00DC4DA3" w:rsidP="00DC4DA3">
            <w:pPr>
              <w:jc w:val="both"/>
              <w:rPr>
                <w:rFonts w:ascii="Arial" w:hAnsi="Arial" w:cs="Arial"/>
                <w:sz w:val="22"/>
                <w:szCs w:val="22"/>
              </w:rPr>
            </w:pPr>
            <w:r w:rsidRPr="003D77B0">
              <w:rPr>
                <w:rFonts w:ascii="Arial" w:hAnsi="Arial" w:cs="Arial"/>
                <w:sz w:val="22"/>
                <w:szCs w:val="22"/>
              </w:rPr>
              <w:t xml:space="preserve">Valutazione ex-ante e </w:t>
            </w:r>
            <w:r w:rsidR="003F76DD" w:rsidRPr="003D77B0">
              <w:rPr>
                <w:rFonts w:ascii="Arial" w:hAnsi="Arial" w:cs="Arial"/>
                <w:sz w:val="22"/>
                <w:szCs w:val="22"/>
              </w:rPr>
              <w:t>Valutazione Ambientale Strategica (</w:t>
            </w:r>
            <w:r w:rsidRPr="003D77B0">
              <w:rPr>
                <w:rFonts w:ascii="Arial" w:hAnsi="Arial" w:cs="Arial"/>
                <w:sz w:val="22"/>
                <w:szCs w:val="22"/>
              </w:rPr>
              <w:t xml:space="preserve">VAS </w:t>
            </w:r>
            <w:r w:rsidR="003F76DD" w:rsidRPr="003D77B0">
              <w:rPr>
                <w:rFonts w:ascii="Arial" w:hAnsi="Arial" w:cs="Arial"/>
                <w:sz w:val="22"/>
                <w:szCs w:val="22"/>
              </w:rPr>
              <w:t>)</w:t>
            </w:r>
            <w:r w:rsidRPr="003D77B0">
              <w:rPr>
                <w:rFonts w:ascii="Arial" w:hAnsi="Arial" w:cs="Arial"/>
                <w:sz w:val="22"/>
                <w:szCs w:val="22"/>
              </w:rPr>
              <w:t>relativa al Programma di Sviluppo Rurale (PSR) della Regione Umbria 2021-2028</w:t>
            </w:r>
          </w:p>
          <w:p w14:paraId="17AE07B7" w14:textId="77777777" w:rsidR="00DC4DA3" w:rsidRPr="003D77B0" w:rsidRDefault="00DC4DA3" w:rsidP="006475C3">
            <w:pPr>
              <w:jc w:val="both"/>
              <w:rPr>
                <w:rFonts w:ascii="Arial" w:hAnsi="Arial" w:cs="Arial"/>
                <w:sz w:val="22"/>
                <w:szCs w:val="22"/>
              </w:rPr>
            </w:pPr>
          </w:p>
        </w:tc>
        <w:tc>
          <w:tcPr>
            <w:tcW w:w="3969" w:type="dxa"/>
          </w:tcPr>
          <w:p w14:paraId="0A6ABEBE" w14:textId="2557FBDC" w:rsidR="00DC4DA3" w:rsidRPr="003D77B0" w:rsidRDefault="00DC4DA3" w:rsidP="006475C3">
            <w:pPr>
              <w:jc w:val="both"/>
              <w:rPr>
                <w:rFonts w:ascii="Arial" w:hAnsi="Arial" w:cs="Arial"/>
                <w:sz w:val="22"/>
                <w:szCs w:val="22"/>
              </w:rPr>
            </w:pPr>
            <w:r w:rsidRPr="003D77B0">
              <w:rPr>
                <w:rFonts w:ascii="Arial" w:hAnsi="Arial" w:cs="Arial"/>
                <w:sz w:val="22"/>
                <w:szCs w:val="22"/>
              </w:rPr>
              <w:t>Entro il 31.03.2020</w:t>
            </w:r>
          </w:p>
        </w:tc>
      </w:tr>
      <w:tr w:rsidR="001E44A3" w:rsidRPr="009E3DEA" w14:paraId="48DBAE8A" w14:textId="77777777" w:rsidTr="001E44A3">
        <w:trPr>
          <w:jc w:val="center"/>
        </w:trPr>
        <w:tc>
          <w:tcPr>
            <w:tcW w:w="3936" w:type="dxa"/>
          </w:tcPr>
          <w:p w14:paraId="5ED6054D" w14:textId="5233DB5F" w:rsidR="001E44A3" w:rsidRPr="009E3DEA" w:rsidRDefault="001E44A3" w:rsidP="006475C3">
            <w:pPr>
              <w:jc w:val="both"/>
              <w:rPr>
                <w:rFonts w:ascii="Arial" w:hAnsi="Arial" w:cs="Arial"/>
                <w:sz w:val="22"/>
                <w:szCs w:val="22"/>
              </w:rPr>
            </w:pPr>
            <w:r w:rsidRPr="009E3DEA">
              <w:rPr>
                <w:rFonts w:ascii="Arial" w:hAnsi="Arial" w:cs="Arial"/>
                <w:sz w:val="22"/>
                <w:szCs w:val="22"/>
              </w:rPr>
              <w:t>Rapporto di valutazione finale ex post</w:t>
            </w:r>
            <w:r w:rsidR="00DC4DA3">
              <w:rPr>
                <w:rFonts w:ascii="Arial" w:hAnsi="Arial" w:cs="Arial"/>
                <w:sz w:val="22"/>
                <w:szCs w:val="22"/>
              </w:rPr>
              <w:t xml:space="preserve"> PSR 2014-2020</w:t>
            </w:r>
          </w:p>
        </w:tc>
        <w:tc>
          <w:tcPr>
            <w:tcW w:w="3969" w:type="dxa"/>
          </w:tcPr>
          <w:p w14:paraId="5396522F" w14:textId="77777777" w:rsidR="001E44A3" w:rsidRPr="009E3DEA" w:rsidRDefault="001E44A3" w:rsidP="006475C3">
            <w:pPr>
              <w:jc w:val="both"/>
              <w:rPr>
                <w:rFonts w:ascii="Arial" w:hAnsi="Arial" w:cs="Arial"/>
                <w:sz w:val="22"/>
                <w:szCs w:val="22"/>
              </w:rPr>
            </w:pPr>
            <w:r w:rsidRPr="009E3DEA">
              <w:rPr>
                <w:rFonts w:ascii="Arial" w:hAnsi="Arial" w:cs="Arial"/>
                <w:sz w:val="22"/>
                <w:szCs w:val="22"/>
              </w:rPr>
              <w:t>Entro il 31.03.2024</w:t>
            </w:r>
          </w:p>
        </w:tc>
      </w:tr>
    </w:tbl>
    <w:p w14:paraId="08496917" w14:textId="77777777" w:rsidR="00475279" w:rsidRPr="009E3DEA" w:rsidRDefault="00475279" w:rsidP="00475279">
      <w:pPr>
        <w:jc w:val="both"/>
        <w:rPr>
          <w:rFonts w:ascii="Arial" w:hAnsi="Arial" w:cs="Arial"/>
          <w:sz w:val="22"/>
          <w:szCs w:val="22"/>
        </w:rPr>
      </w:pPr>
    </w:p>
    <w:p w14:paraId="09D29D78" w14:textId="3B470CEB" w:rsidR="00F445E5" w:rsidRDefault="0007624D" w:rsidP="00F445E5">
      <w:pPr>
        <w:pStyle w:val="Default"/>
        <w:spacing w:after="120"/>
        <w:contextualSpacing/>
        <w:jc w:val="both"/>
        <w:rPr>
          <w:sz w:val="22"/>
          <w:szCs w:val="22"/>
        </w:rPr>
      </w:pPr>
      <w:r>
        <w:rPr>
          <w:sz w:val="22"/>
          <w:szCs w:val="22"/>
        </w:rPr>
        <w:t>Come emerge dalla</w:t>
      </w:r>
      <w:r w:rsidR="00F445E5">
        <w:rPr>
          <w:sz w:val="22"/>
          <w:szCs w:val="22"/>
        </w:rPr>
        <w:t xml:space="preserve"> </w:t>
      </w:r>
      <w:r>
        <w:rPr>
          <w:sz w:val="22"/>
          <w:szCs w:val="22"/>
        </w:rPr>
        <w:t>tabella sopra riportata</w:t>
      </w:r>
      <w:r w:rsidR="00F445E5">
        <w:rPr>
          <w:sz w:val="22"/>
          <w:szCs w:val="22"/>
        </w:rPr>
        <w:t>, en</w:t>
      </w:r>
      <w:r w:rsidR="00F445E5" w:rsidRPr="003A3829">
        <w:rPr>
          <w:sz w:val="22"/>
          <w:szCs w:val="22"/>
        </w:rPr>
        <w:t>tro 45 giorni successivi alla data della stipula del contratto</w:t>
      </w:r>
      <w:r w:rsidR="00F445E5">
        <w:rPr>
          <w:sz w:val="22"/>
          <w:szCs w:val="22"/>
        </w:rPr>
        <w:t xml:space="preserve"> dovrà essere redatto un piano di valutazione.</w:t>
      </w:r>
      <w:r w:rsidR="00F445E5" w:rsidRPr="008E7180">
        <w:rPr>
          <w:sz w:val="22"/>
          <w:szCs w:val="22"/>
        </w:rPr>
        <w:t xml:space="preserve"> </w:t>
      </w:r>
      <w:r w:rsidR="00F445E5">
        <w:rPr>
          <w:sz w:val="22"/>
          <w:szCs w:val="22"/>
        </w:rPr>
        <w:t>Tale</w:t>
      </w:r>
      <w:r w:rsidR="00F445E5" w:rsidRPr="008E7180">
        <w:rPr>
          <w:sz w:val="22"/>
          <w:szCs w:val="22"/>
        </w:rPr>
        <w:t xml:space="preserve"> piano di valutaz</w:t>
      </w:r>
      <w:r w:rsidR="00F445E5">
        <w:rPr>
          <w:sz w:val="22"/>
          <w:szCs w:val="22"/>
        </w:rPr>
        <w:t>ione</w:t>
      </w:r>
      <w:r w:rsidR="00F445E5" w:rsidRPr="008E7180">
        <w:rPr>
          <w:sz w:val="22"/>
          <w:szCs w:val="22"/>
        </w:rPr>
        <w:t xml:space="preserve"> dovrà delineare le metodologie, la tempistica e le tecniche da applicare per rispondere alle </w:t>
      </w:r>
      <w:r w:rsidR="00F445E5">
        <w:rPr>
          <w:sz w:val="22"/>
          <w:szCs w:val="22"/>
        </w:rPr>
        <w:t xml:space="preserve">attività di analisi. </w:t>
      </w:r>
      <w:r w:rsidR="00F445E5" w:rsidRPr="005776B1">
        <w:rPr>
          <w:rFonts w:eastAsia="TimesNewRoman-Identity-H"/>
          <w:sz w:val="22"/>
          <w:szCs w:val="22"/>
        </w:rPr>
        <w:t xml:space="preserve">Il Piano di Valutazione individua anche le principali </w:t>
      </w:r>
      <w:r w:rsidR="00F445E5" w:rsidRPr="005776B1">
        <w:rPr>
          <w:rFonts w:eastAsia="TimesNewRoman-Identity-H"/>
          <w:i/>
          <w:sz w:val="22"/>
          <w:szCs w:val="22"/>
        </w:rPr>
        <w:t>milestones</w:t>
      </w:r>
      <w:r w:rsidR="00F445E5" w:rsidRPr="005776B1">
        <w:rPr>
          <w:rFonts w:eastAsia="TimesNewRoman-Identity-H"/>
          <w:sz w:val="22"/>
          <w:szCs w:val="22"/>
        </w:rPr>
        <w:t xml:space="preserve"> valutative da raggiungere durante l’implementazione del Programma, nel rispetto delle disposizioni comunitarie e come riportat</w:t>
      </w:r>
      <w:r w:rsidR="00F445E5">
        <w:rPr>
          <w:rFonts w:eastAsia="TimesNewRoman-Identity-H"/>
          <w:sz w:val="22"/>
          <w:szCs w:val="22"/>
        </w:rPr>
        <w:t>o nell’allegato A</w:t>
      </w:r>
      <w:r w:rsidR="00E34BB3">
        <w:rPr>
          <w:rFonts w:eastAsia="TimesNewRoman-Identity-H"/>
          <w:sz w:val="22"/>
          <w:szCs w:val="22"/>
        </w:rPr>
        <w:t xml:space="preserve"> al presente Capitolato d’oneri</w:t>
      </w:r>
      <w:r w:rsidR="00F445E5" w:rsidRPr="003A3829">
        <w:rPr>
          <w:sz w:val="22"/>
          <w:szCs w:val="22"/>
        </w:rPr>
        <w:t>.</w:t>
      </w:r>
      <w:r w:rsidR="00F445E5">
        <w:rPr>
          <w:sz w:val="22"/>
          <w:szCs w:val="22"/>
        </w:rPr>
        <w:t xml:space="preserve"> </w:t>
      </w:r>
      <w:r w:rsidR="00F445E5" w:rsidRPr="003A3829">
        <w:rPr>
          <w:sz w:val="22"/>
          <w:szCs w:val="22"/>
        </w:rPr>
        <w:t xml:space="preserve">Ogni anno, entro il 31 gennaio, dovrà essere prodotto un </w:t>
      </w:r>
      <w:r w:rsidR="00F445E5">
        <w:rPr>
          <w:sz w:val="22"/>
          <w:szCs w:val="22"/>
        </w:rPr>
        <w:t xml:space="preserve">aggiornamento del </w:t>
      </w:r>
      <w:r w:rsidR="00F445E5" w:rsidRPr="003A3829">
        <w:rPr>
          <w:sz w:val="22"/>
          <w:szCs w:val="22"/>
        </w:rPr>
        <w:t xml:space="preserve">piano </w:t>
      </w:r>
      <w:r w:rsidR="00F445E5">
        <w:rPr>
          <w:sz w:val="22"/>
          <w:szCs w:val="22"/>
        </w:rPr>
        <w:t>di valutazione</w:t>
      </w:r>
      <w:r w:rsidR="00F445E5" w:rsidRPr="003A3829">
        <w:rPr>
          <w:sz w:val="22"/>
          <w:szCs w:val="22"/>
        </w:rPr>
        <w:t xml:space="preserve"> </w:t>
      </w:r>
      <w:r w:rsidR="00F445E5">
        <w:rPr>
          <w:sz w:val="22"/>
          <w:szCs w:val="22"/>
        </w:rPr>
        <w:t xml:space="preserve">o, ove ricorra il caso, un nuovo piano di valutazione, </w:t>
      </w:r>
      <w:r w:rsidR="00F445E5" w:rsidRPr="003A3829">
        <w:rPr>
          <w:sz w:val="22"/>
          <w:szCs w:val="22"/>
        </w:rPr>
        <w:t xml:space="preserve">con l’esplicitazione delle modalità e dei temi valutativi allo scopo di inquadrare ed indirizzare l’impianto </w:t>
      </w:r>
      <w:r w:rsidR="00F445E5">
        <w:rPr>
          <w:sz w:val="22"/>
          <w:szCs w:val="22"/>
        </w:rPr>
        <w:t>generale del disegno valutativo.</w:t>
      </w:r>
    </w:p>
    <w:p w14:paraId="4098E6DF" w14:textId="77777777" w:rsidR="00667620" w:rsidRDefault="00636A91" w:rsidP="00F445E5">
      <w:pPr>
        <w:pStyle w:val="Default"/>
        <w:spacing w:after="120"/>
        <w:contextualSpacing/>
        <w:jc w:val="both"/>
        <w:rPr>
          <w:sz w:val="22"/>
          <w:szCs w:val="22"/>
        </w:rPr>
      </w:pPr>
      <w:r>
        <w:rPr>
          <w:sz w:val="22"/>
          <w:szCs w:val="22"/>
        </w:rPr>
        <w:t>I rapporti annuali di valutazione (RAV) dovranno contenere una analisi e valutazione dell’avanzamento del programma con particolare riferimento all’efficienza ed efficacia della realizzazione degli interventi e alle scelte proposte dall’AdG per ottimizzare l’utilizzo delle risorse finanziarie previste dal programma stesso.</w:t>
      </w:r>
      <w:r w:rsidR="00667620">
        <w:rPr>
          <w:sz w:val="22"/>
          <w:szCs w:val="22"/>
        </w:rPr>
        <w:t xml:space="preserve"> Dovranno essere quantificati gli indicatori di risultato e di impatto (quando possibile), seguendo i documenti della Commissione Europea in materia.</w:t>
      </w:r>
    </w:p>
    <w:p w14:paraId="0D93B22D" w14:textId="6CB3CE79" w:rsidR="00636A91" w:rsidRPr="00F62196" w:rsidRDefault="00667620" w:rsidP="00F445E5">
      <w:pPr>
        <w:pStyle w:val="Default"/>
        <w:spacing w:after="120"/>
        <w:contextualSpacing/>
        <w:jc w:val="both"/>
        <w:rPr>
          <w:sz w:val="22"/>
          <w:szCs w:val="22"/>
        </w:rPr>
      </w:pPr>
      <w:r>
        <w:rPr>
          <w:sz w:val="22"/>
          <w:szCs w:val="22"/>
        </w:rPr>
        <w:t xml:space="preserve">Il rapporto annuale di valutazione, dovrà contenere inoltre una sintesi da presentare ai membri del </w:t>
      </w:r>
      <w:r w:rsidR="001C4F0E">
        <w:rPr>
          <w:sz w:val="22"/>
          <w:szCs w:val="22"/>
        </w:rPr>
        <w:t>C</w:t>
      </w:r>
      <w:r>
        <w:rPr>
          <w:sz w:val="22"/>
          <w:szCs w:val="22"/>
        </w:rPr>
        <w:t>dS in occasione della presentazione dei Rapporti annuali Attuazione (RAA) e fornire tutti gli elementi utili per la compilazione della RAA  dell’anno di riferimento ed in particolare dei punti 2,7 e 8 dell’Allegato VII del Reg. (UE) n.808/2014.</w:t>
      </w:r>
    </w:p>
    <w:p w14:paraId="0C87356C" w14:textId="4BAE67CC" w:rsidR="00F445E5" w:rsidRPr="003D77B0" w:rsidRDefault="00F445E5" w:rsidP="00F445E5">
      <w:pPr>
        <w:pStyle w:val="Default"/>
        <w:spacing w:after="120"/>
        <w:contextualSpacing/>
        <w:jc w:val="both"/>
        <w:rPr>
          <w:color w:val="auto"/>
          <w:sz w:val="22"/>
          <w:szCs w:val="22"/>
        </w:rPr>
      </w:pPr>
      <w:r w:rsidRPr="003A3829">
        <w:rPr>
          <w:sz w:val="22"/>
          <w:szCs w:val="22"/>
        </w:rPr>
        <w:t xml:space="preserve">Nel </w:t>
      </w:r>
      <w:r w:rsidRPr="00D540D4">
        <w:rPr>
          <w:sz w:val="22"/>
          <w:szCs w:val="22"/>
        </w:rPr>
        <w:t>2019 dovrà essere predisposta una Valutazione intermedia maggiormente focalizzata sui risultati,</w:t>
      </w:r>
      <w:r>
        <w:rPr>
          <w:sz w:val="22"/>
          <w:szCs w:val="22"/>
        </w:rPr>
        <w:t xml:space="preserve"> nonché sul perseguimento degli obiettivi trasversali (innovazione, ambiente e cambiamenti </w:t>
      </w:r>
      <w:r w:rsidRPr="003D77B0">
        <w:rPr>
          <w:color w:val="auto"/>
          <w:sz w:val="22"/>
          <w:szCs w:val="22"/>
        </w:rPr>
        <w:t>climatici), sugli impatti raggiunti sulla base dell’avanzamento del PSR, sull’uso dei fondi per l’assistenza tecnica, sul piano di comunicazione del PSR e sull’aggiornamento della VAS.</w:t>
      </w:r>
    </w:p>
    <w:p w14:paraId="520EE337" w14:textId="1563D45C" w:rsidR="00DC4DA3" w:rsidRPr="003D77B0" w:rsidRDefault="00DC4DA3" w:rsidP="00DC4DA3">
      <w:pPr>
        <w:jc w:val="both"/>
        <w:rPr>
          <w:rFonts w:ascii="Arial" w:eastAsia="Times New Roman" w:hAnsi="Arial" w:cs="Arial"/>
          <w:sz w:val="22"/>
          <w:szCs w:val="22"/>
        </w:rPr>
      </w:pPr>
      <w:r w:rsidRPr="003D77B0">
        <w:rPr>
          <w:rFonts w:ascii="Arial" w:eastAsia="Times New Roman" w:hAnsi="Arial" w:cs="Arial"/>
          <w:sz w:val="22"/>
          <w:szCs w:val="22"/>
        </w:rPr>
        <w:t>Entro il 31/12/2020</w:t>
      </w:r>
      <w:r w:rsidR="003F76DD" w:rsidRPr="003D77B0">
        <w:rPr>
          <w:rFonts w:ascii="Arial" w:eastAsia="Times New Roman" w:hAnsi="Arial" w:cs="Arial"/>
          <w:sz w:val="22"/>
          <w:szCs w:val="22"/>
        </w:rPr>
        <w:t xml:space="preserve"> </w:t>
      </w:r>
      <w:r w:rsidR="002F2651" w:rsidRPr="003D77B0">
        <w:rPr>
          <w:rFonts w:ascii="Arial" w:eastAsia="Times New Roman" w:hAnsi="Arial" w:cs="Arial"/>
          <w:sz w:val="22"/>
          <w:szCs w:val="22"/>
        </w:rPr>
        <w:t>dovranno essere presentate la</w:t>
      </w:r>
      <w:r w:rsidR="003F76DD" w:rsidRPr="003D77B0">
        <w:rPr>
          <w:rFonts w:ascii="Arial" w:eastAsia="Times New Roman" w:hAnsi="Arial" w:cs="Arial"/>
          <w:sz w:val="22"/>
          <w:szCs w:val="22"/>
        </w:rPr>
        <w:t xml:space="preserve"> </w:t>
      </w:r>
      <w:r w:rsidRPr="003D77B0">
        <w:rPr>
          <w:rFonts w:ascii="Arial" w:eastAsia="Times New Roman" w:hAnsi="Arial" w:cs="Arial"/>
          <w:sz w:val="22"/>
          <w:szCs w:val="22"/>
        </w:rPr>
        <w:t xml:space="preserve">Valutazione ex-ante </w:t>
      </w:r>
      <w:r w:rsidR="003F76DD" w:rsidRPr="003D77B0">
        <w:rPr>
          <w:rFonts w:ascii="Arial" w:eastAsia="Times New Roman" w:hAnsi="Arial" w:cs="Arial"/>
          <w:sz w:val="22"/>
          <w:szCs w:val="22"/>
        </w:rPr>
        <w:t xml:space="preserve">e </w:t>
      </w:r>
      <w:r w:rsidR="002F2651" w:rsidRPr="003D77B0">
        <w:rPr>
          <w:rFonts w:ascii="Arial" w:eastAsia="Times New Roman" w:hAnsi="Arial" w:cs="Arial"/>
          <w:sz w:val="22"/>
          <w:szCs w:val="22"/>
        </w:rPr>
        <w:t xml:space="preserve">la </w:t>
      </w:r>
      <w:r w:rsidR="003F76DD" w:rsidRPr="003D77B0">
        <w:rPr>
          <w:rFonts w:ascii="Arial" w:eastAsia="Times New Roman" w:hAnsi="Arial" w:cs="Arial"/>
          <w:sz w:val="22"/>
          <w:szCs w:val="22"/>
        </w:rPr>
        <w:t xml:space="preserve">Valutazione Ambientale Strategica (VAS) </w:t>
      </w:r>
      <w:r w:rsidRPr="003D77B0">
        <w:rPr>
          <w:rFonts w:ascii="Arial" w:eastAsia="Times New Roman" w:hAnsi="Arial" w:cs="Arial"/>
          <w:sz w:val="22"/>
          <w:szCs w:val="22"/>
        </w:rPr>
        <w:t>relativ</w:t>
      </w:r>
      <w:r w:rsidR="003F76DD" w:rsidRPr="003D77B0">
        <w:rPr>
          <w:rFonts w:ascii="Arial" w:eastAsia="Times New Roman" w:hAnsi="Arial" w:cs="Arial"/>
          <w:sz w:val="22"/>
          <w:szCs w:val="22"/>
        </w:rPr>
        <w:t>e</w:t>
      </w:r>
      <w:r w:rsidRPr="003D77B0">
        <w:rPr>
          <w:rFonts w:ascii="Arial" w:eastAsia="Times New Roman" w:hAnsi="Arial" w:cs="Arial"/>
          <w:sz w:val="22"/>
          <w:szCs w:val="22"/>
        </w:rPr>
        <w:t xml:space="preserve"> al Programma di Sviluppo Rurale (PSR) della Regione Umbria 2021-2028</w:t>
      </w:r>
      <w:r w:rsidR="003F76DD" w:rsidRPr="003D77B0">
        <w:rPr>
          <w:rFonts w:ascii="Arial" w:eastAsia="Times New Roman" w:hAnsi="Arial" w:cs="Arial"/>
          <w:sz w:val="22"/>
          <w:szCs w:val="22"/>
        </w:rPr>
        <w:t>.</w:t>
      </w:r>
    </w:p>
    <w:p w14:paraId="1F6C1FEC" w14:textId="277D926C" w:rsidR="00DC4DA3" w:rsidRPr="003D77B0" w:rsidRDefault="00DC4DA3" w:rsidP="00F445E5">
      <w:pPr>
        <w:pStyle w:val="Default"/>
        <w:spacing w:after="120"/>
        <w:contextualSpacing/>
        <w:jc w:val="both"/>
        <w:rPr>
          <w:color w:val="auto"/>
          <w:sz w:val="22"/>
          <w:szCs w:val="22"/>
        </w:rPr>
      </w:pPr>
    </w:p>
    <w:p w14:paraId="6FF20081" w14:textId="77777777" w:rsidR="00F445E5" w:rsidRPr="00B416A8" w:rsidRDefault="00F445E5" w:rsidP="00F445E5">
      <w:pPr>
        <w:pStyle w:val="Default"/>
        <w:spacing w:after="120"/>
        <w:contextualSpacing/>
        <w:jc w:val="both"/>
        <w:rPr>
          <w:rFonts w:eastAsia="TimesNewRoman-Identity-H"/>
          <w:sz w:val="22"/>
          <w:szCs w:val="22"/>
        </w:rPr>
      </w:pPr>
      <w:r w:rsidRPr="00F00DC0">
        <w:rPr>
          <w:sz w:val="22"/>
          <w:szCs w:val="22"/>
        </w:rPr>
        <w:t xml:space="preserve">Entro il 31 dicembre 2024 dovrà essere presentata </w:t>
      </w:r>
      <w:r w:rsidRPr="00F00DC0">
        <w:rPr>
          <w:iCs/>
          <w:sz w:val="22"/>
          <w:szCs w:val="22"/>
        </w:rPr>
        <w:t>la Valutazione ex post (ai sensi dell’</w:t>
      </w:r>
      <w:r w:rsidRPr="00F00DC0">
        <w:rPr>
          <w:sz w:val="22"/>
          <w:szCs w:val="22"/>
        </w:rPr>
        <w:t xml:space="preserve">Art. 57 Reg. (UE) 1303/2013) che prenda in esame l’efficacia e l’efficienza dell’utilizzo delle risorse del FEASR, il loro contributo alla strategia dell’Unione per una crescita intelligente, sostenibile ed </w:t>
      </w:r>
      <w:r w:rsidRPr="00B416A8">
        <w:rPr>
          <w:sz w:val="22"/>
          <w:szCs w:val="22"/>
        </w:rPr>
        <w:t>inclusiva, tenendo conto degli obiettivi definiti in tale strategia e conformemente ai requisiti specifici previsti dal Programma regionale.</w:t>
      </w:r>
      <w:r w:rsidRPr="00B416A8">
        <w:rPr>
          <w:iCs/>
          <w:sz w:val="22"/>
          <w:szCs w:val="22"/>
        </w:rPr>
        <w:t xml:space="preserve"> La valutazione ex-post </w:t>
      </w:r>
      <w:r w:rsidRPr="00B416A8">
        <w:rPr>
          <w:sz w:val="22"/>
          <w:szCs w:val="22"/>
        </w:rPr>
        <w:t xml:space="preserve">dovrà contenere altresì il presupposto per le analisi e le scelte alla base della successiva programmazione 2021-2028. </w:t>
      </w:r>
    </w:p>
    <w:p w14:paraId="327F12AD" w14:textId="3B4F6F6E" w:rsidR="00F445E5" w:rsidRPr="00B416A8" w:rsidRDefault="00893C87" w:rsidP="00F445E5">
      <w:pPr>
        <w:pStyle w:val="Default"/>
        <w:spacing w:after="120"/>
        <w:contextualSpacing/>
        <w:jc w:val="both"/>
        <w:rPr>
          <w:color w:val="auto"/>
          <w:sz w:val="22"/>
          <w:szCs w:val="22"/>
        </w:rPr>
      </w:pPr>
      <w:r>
        <w:rPr>
          <w:sz w:val="22"/>
          <w:szCs w:val="22"/>
        </w:rPr>
        <w:t xml:space="preserve">I rapporti </w:t>
      </w:r>
      <w:r w:rsidR="00F445E5" w:rsidRPr="00B416A8">
        <w:rPr>
          <w:sz w:val="22"/>
          <w:szCs w:val="22"/>
        </w:rPr>
        <w:t xml:space="preserve">di valutazione dovranno essere presentati all’Autorità di Gestione in tempi </w:t>
      </w:r>
      <w:r w:rsidR="00F445E5" w:rsidRPr="00B416A8">
        <w:rPr>
          <w:color w:val="auto"/>
          <w:sz w:val="22"/>
          <w:szCs w:val="22"/>
        </w:rPr>
        <w:t>che consentano la presentazione della sintesi dei risultati delle valutazioni del Programma nella Relazione annuale di attuazione</w:t>
      </w:r>
      <w:r w:rsidR="00B416A8">
        <w:rPr>
          <w:color w:val="auto"/>
          <w:sz w:val="22"/>
          <w:szCs w:val="22"/>
        </w:rPr>
        <w:t>,</w:t>
      </w:r>
      <w:r w:rsidR="00F445E5" w:rsidRPr="00B416A8">
        <w:rPr>
          <w:color w:val="auto"/>
          <w:sz w:val="22"/>
          <w:szCs w:val="22"/>
        </w:rPr>
        <w:t xml:space="preserve"> che è presentata dall’Autorità di Gestione </w:t>
      </w:r>
      <w:r w:rsidR="00F445E5" w:rsidRPr="00B416A8">
        <w:rPr>
          <w:sz w:val="22"/>
          <w:szCs w:val="22"/>
        </w:rPr>
        <w:t>entro il 30 giugno di ogni anno,</w:t>
      </w:r>
      <w:r w:rsidR="00F445E5" w:rsidRPr="00B416A8">
        <w:rPr>
          <w:color w:val="auto"/>
          <w:sz w:val="22"/>
          <w:szCs w:val="22"/>
        </w:rPr>
        <w:t xml:space="preserve"> ai sensi degli artt. 50 e 111 del Regolamento (UE) n. 1303/2013 e dell’art. 75 del Regolamento (UE) n. 1305/2013. </w:t>
      </w:r>
    </w:p>
    <w:p w14:paraId="16F80E1F" w14:textId="77777777" w:rsidR="00475279" w:rsidRDefault="00475279" w:rsidP="005F6B1A">
      <w:pPr>
        <w:pStyle w:val="Default"/>
        <w:spacing w:after="120"/>
        <w:contextualSpacing/>
        <w:rPr>
          <w:b/>
          <w:bCs/>
          <w:sz w:val="22"/>
          <w:szCs w:val="22"/>
        </w:rPr>
      </w:pPr>
    </w:p>
    <w:p w14:paraId="5BDCAF3B" w14:textId="77777777" w:rsidR="00885281" w:rsidRDefault="00885281" w:rsidP="005F6B1A">
      <w:pPr>
        <w:pStyle w:val="Default"/>
        <w:spacing w:after="120"/>
        <w:contextualSpacing/>
        <w:rPr>
          <w:b/>
          <w:bCs/>
          <w:sz w:val="22"/>
          <w:szCs w:val="22"/>
        </w:rPr>
      </w:pPr>
    </w:p>
    <w:p w14:paraId="57035E68" w14:textId="77777777" w:rsidR="00475279" w:rsidRDefault="00475279" w:rsidP="00475279">
      <w:pPr>
        <w:pStyle w:val="Default"/>
        <w:spacing w:after="120"/>
        <w:contextualSpacing/>
        <w:jc w:val="center"/>
        <w:rPr>
          <w:rFonts w:eastAsia="TimesNewRoman-Identity-H"/>
          <w:b/>
          <w:color w:val="auto"/>
          <w:sz w:val="22"/>
          <w:szCs w:val="22"/>
        </w:rPr>
      </w:pPr>
      <w:r>
        <w:rPr>
          <w:b/>
          <w:bCs/>
          <w:sz w:val="22"/>
          <w:szCs w:val="22"/>
        </w:rPr>
        <w:t xml:space="preserve">Art.6 </w:t>
      </w:r>
      <w:r w:rsidRPr="003A3829">
        <w:rPr>
          <w:rFonts w:eastAsia="TimesNewRoman-Identity-H"/>
          <w:b/>
          <w:color w:val="auto"/>
          <w:sz w:val="22"/>
          <w:szCs w:val="22"/>
        </w:rPr>
        <w:t>Criterio di aggiudicazione</w:t>
      </w:r>
    </w:p>
    <w:p w14:paraId="2884AA9C" w14:textId="77777777" w:rsidR="008B7FEE" w:rsidRPr="004137B6" w:rsidRDefault="008B7FEE" w:rsidP="00475279">
      <w:pPr>
        <w:pStyle w:val="Default"/>
        <w:spacing w:after="120"/>
        <w:contextualSpacing/>
        <w:jc w:val="center"/>
      </w:pPr>
    </w:p>
    <w:p w14:paraId="3749995E" w14:textId="3640AEC8" w:rsidR="00475279" w:rsidRDefault="00475279" w:rsidP="00475279">
      <w:pPr>
        <w:pStyle w:val="Default"/>
        <w:spacing w:after="120"/>
        <w:contextualSpacing/>
        <w:jc w:val="both"/>
        <w:rPr>
          <w:rFonts w:eastAsia="TimesNewRoman-Identity-H"/>
          <w:color w:val="auto"/>
          <w:sz w:val="22"/>
          <w:szCs w:val="22"/>
        </w:rPr>
      </w:pPr>
      <w:r w:rsidRPr="003A3829">
        <w:rPr>
          <w:rFonts w:eastAsia="TimesNewRoman-Identity-H"/>
          <w:color w:val="auto"/>
          <w:sz w:val="22"/>
          <w:szCs w:val="22"/>
        </w:rPr>
        <w:t xml:space="preserve">L’aggiudicazione della gara avviene previo espletamento di una procedura aperta </w:t>
      </w:r>
      <w:r>
        <w:rPr>
          <w:rFonts w:eastAsia="TimesNewRoman-Identity-H"/>
          <w:color w:val="auto"/>
          <w:sz w:val="22"/>
          <w:szCs w:val="22"/>
        </w:rPr>
        <w:t xml:space="preserve">e con il criterio </w:t>
      </w:r>
      <w:r w:rsidRPr="003A3829">
        <w:rPr>
          <w:rFonts w:eastAsia="TimesNewRoman-Identity-H"/>
          <w:color w:val="auto"/>
          <w:sz w:val="22"/>
          <w:szCs w:val="22"/>
        </w:rPr>
        <w:t>dell’offerta economicamente più vantaggiosa</w:t>
      </w:r>
      <w:r>
        <w:rPr>
          <w:rFonts w:eastAsia="TimesNewRoman-Identity-H"/>
          <w:color w:val="auto"/>
          <w:sz w:val="22"/>
          <w:szCs w:val="22"/>
        </w:rPr>
        <w:t xml:space="preserve"> </w:t>
      </w:r>
      <w:r w:rsidRPr="0006411C">
        <w:rPr>
          <w:rFonts w:eastAsia="TimesNewRoman-Identity-H"/>
          <w:color w:val="auto"/>
          <w:sz w:val="22"/>
          <w:szCs w:val="22"/>
        </w:rPr>
        <w:t>individuata sulla base del miglior rapporto qualità/prezzo, ai sensi degli artt. 36, 60 e 95 comma</w:t>
      </w:r>
      <w:r>
        <w:rPr>
          <w:rFonts w:eastAsia="TimesNewRoman-Identity-H"/>
          <w:color w:val="auto"/>
          <w:sz w:val="22"/>
          <w:szCs w:val="22"/>
        </w:rPr>
        <w:t xml:space="preserve"> 2</w:t>
      </w:r>
      <w:r w:rsidRPr="003A3829">
        <w:rPr>
          <w:rFonts w:eastAsia="TimesNewRoman-Identity-H"/>
          <w:color w:val="auto"/>
          <w:sz w:val="22"/>
          <w:szCs w:val="22"/>
        </w:rPr>
        <w:t xml:space="preserve"> del </w:t>
      </w:r>
      <w:r w:rsidRPr="003A3829">
        <w:rPr>
          <w:sz w:val="22"/>
          <w:szCs w:val="22"/>
        </w:rPr>
        <w:t>D.Lgs. 18 aprile 2016, n. 50</w:t>
      </w:r>
      <w:r w:rsidRPr="003A3829">
        <w:rPr>
          <w:rFonts w:eastAsia="TimesNewRoman-Identity-H"/>
          <w:color w:val="auto"/>
          <w:sz w:val="22"/>
          <w:szCs w:val="22"/>
        </w:rPr>
        <w:t>.</w:t>
      </w:r>
    </w:p>
    <w:p w14:paraId="1D8D7FF8" w14:textId="77777777" w:rsidR="00475279" w:rsidRDefault="00475279" w:rsidP="00475279">
      <w:pPr>
        <w:pStyle w:val="Default"/>
        <w:spacing w:after="120"/>
        <w:contextualSpacing/>
        <w:jc w:val="both"/>
        <w:rPr>
          <w:rFonts w:eastAsia="TimesNewRoman-Identity-H"/>
          <w:color w:val="auto"/>
          <w:sz w:val="22"/>
          <w:szCs w:val="22"/>
        </w:rPr>
      </w:pPr>
      <w:r>
        <w:rPr>
          <w:rFonts w:eastAsia="TimesNewRoman-Identity-H"/>
          <w:color w:val="auto"/>
          <w:sz w:val="22"/>
          <w:szCs w:val="22"/>
        </w:rPr>
        <w:t>I criteri</w:t>
      </w:r>
      <w:r w:rsidRPr="003A3829">
        <w:rPr>
          <w:rFonts w:eastAsia="TimesNewRoman-Identity-H"/>
          <w:color w:val="auto"/>
          <w:sz w:val="22"/>
          <w:szCs w:val="22"/>
        </w:rPr>
        <w:t xml:space="preserve"> di valutazione</w:t>
      </w:r>
      <w:r>
        <w:rPr>
          <w:rFonts w:eastAsia="TimesNewRoman-Identity-H"/>
          <w:color w:val="auto"/>
          <w:sz w:val="22"/>
          <w:szCs w:val="22"/>
        </w:rPr>
        <w:t>, per un punteggio complessivo pari a 100,</w:t>
      </w:r>
      <w:r w:rsidRPr="003A3829">
        <w:rPr>
          <w:rFonts w:eastAsia="TimesNewRoman-Identity-H"/>
          <w:color w:val="auto"/>
          <w:sz w:val="22"/>
          <w:szCs w:val="22"/>
        </w:rPr>
        <w:t xml:space="preserve"> sono i seguenti:</w:t>
      </w:r>
    </w:p>
    <w:p w14:paraId="5873183F" w14:textId="77777777" w:rsidR="00475279" w:rsidRDefault="00475279" w:rsidP="00475279">
      <w:pPr>
        <w:pStyle w:val="Default"/>
        <w:spacing w:after="120"/>
        <w:contextualSpacing/>
        <w:jc w:val="both"/>
        <w:rPr>
          <w:rFonts w:eastAsia="TimesNewRoman-Identity-H"/>
          <w:color w:val="auto"/>
          <w:sz w:val="22"/>
          <w:szCs w:val="22"/>
        </w:rPr>
      </w:pPr>
    </w:p>
    <w:tbl>
      <w:tblPr>
        <w:tblStyle w:val="Grigliatabella"/>
        <w:tblW w:w="0" w:type="auto"/>
        <w:tblInd w:w="108" w:type="dxa"/>
        <w:tblLook w:val="04A0" w:firstRow="1" w:lastRow="0" w:firstColumn="1" w:lastColumn="0" w:noHBand="0" w:noVBand="1"/>
      </w:tblPr>
      <w:tblGrid>
        <w:gridCol w:w="4778"/>
        <w:gridCol w:w="4886"/>
      </w:tblGrid>
      <w:tr w:rsidR="00475279" w14:paraId="4B674E87" w14:textId="77777777" w:rsidTr="00475279">
        <w:tc>
          <w:tcPr>
            <w:tcW w:w="4778" w:type="dxa"/>
          </w:tcPr>
          <w:p w14:paraId="527609D8" w14:textId="77777777" w:rsidR="00475279" w:rsidRDefault="00475279" w:rsidP="00475279">
            <w:pPr>
              <w:pStyle w:val="Default"/>
              <w:spacing w:after="120"/>
              <w:contextualSpacing/>
              <w:jc w:val="both"/>
              <w:rPr>
                <w:rFonts w:eastAsia="TimesNewRoman-Identity-H"/>
                <w:color w:val="auto"/>
                <w:sz w:val="22"/>
                <w:szCs w:val="22"/>
              </w:rPr>
            </w:pPr>
            <w:r>
              <w:rPr>
                <w:rFonts w:eastAsia="TimesNewRoman-Identity-H"/>
                <w:color w:val="auto"/>
                <w:sz w:val="22"/>
                <w:szCs w:val="22"/>
              </w:rPr>
              <w:t>CRITERI DI VALUTAZIONE</w:t>
            </w:r>
          </w:p>
        </w:tc>
        <w:tc>
          <w:tcPr>
            <w:tcW w:w="4886" w:type="dxa"/>
          </w:tcPr>
          <w:p w14:paraId="15647EF6" w14:textId="77777777" w:rsidR="00475279" w:rsidRDefault="00475279" w:rsidP="00475279">
            <w:pPr>
              <w:pStyle w:val="Default"/>
              <w:spacing w:after="120"/>
              <w:contextualSpacing/>
              <w:jc w:val="center"/>
              <w:rPr>
                <w:rFonts w:eastAsia="TimesNewRoman-Identity-H"/>
                <w:color w:val="auto"/>
                <w:sz w:val="22"/>
                <w:szCs w:val="22"/>
              </w:rPr>
            </w:pPr>
            <w:r>
              <w:rPr>
                <w:rFonts w:eastAsia="TimesNewRoman-Identity-H"/>
                <w:color w:val="auto"/>
                <w:sz w:val="22"/>
                <w:szCs w:val="22"/>
              </w:rPr>
              <w:t>Punteggio massimo</w:t>
            </w:r>
          </w:p>
        </w:tc>
      </w:tr>
      <w:tr w:rsidR="00475279" w14:paraId="50FBE750" w14:textId="77777777" w:rsidTr="00475279">
        <w:tc>
          <w:tcPr>
            <w:tcW w:w="4778" w:type="dxa"/>
          </w:tcPr>
          <w:p w14:paraId="553C5C7F" w14:textId="77777777" w:rsidR="00475279" w:rsidRDefault="00475279" w:rsidP="001241A7">
            <w:pPr>
              <w:pStyle w:val="Default"/>
              <w:numPr>
                <w:ilvl w:val="0"/>
                <w:numId w:val="30"/>
              </w:numPr>
              <w:spacing w:after="120"/>
              <w:contextualSpacing/>
              <w:jc w:val="both"/>
              <w:rPr>
                <w:rFonts w:eastAsia="TimesNewRoman-Identity-H"/>
                <w:color w:val="auto"/>
                <w:sz w:val="22"/>
                <w:szCs w:val="22"/>
              </w:rPr>
            </w:pPr>
            <w:r>
              <w:rPr>
                <w:rFonts w:eastAsia="TimesNewRoman-Identity-H"/>
                <w:color w:val="auto"/>
                <w:sz w:val="22"/>
                <w:szCs w:val="22"/>
              </w:rPr>
              <w:t>OFFERTA TECNICA</w:t>
            </w:r>
          </w:p>
        </w:tc>
        <w:tc>
          <w:tcPr>
            <w:tcW w:w="4886" w:type="dxa"/>
          </w:tcPr>
          <w:p w14:paraId="07B54A9C" w14:textId="77777777" w:rsidR="00475279" w:rsidRDefault="00475279" w:rsidP="00475279">
            <w:pPr>
              <w:pStyle w:val="Default"/>
              <w:spacing w:after="120"/>
              <w:contextualSpacing/>
              <w:jc w:val="center"/>
              <w:rPr>
                <w:rFonts w:eastAsia="TimesNewRoman-Identity-H"/>
                <w:color w:val="auto"/>
                <w:sz w:val="22"/>
                <w:szCs w:val="22"/>
              </w:rPr>
            </w:pPr>
            <w:r>
              <w:rPr>
                <w:rFonts w:eastAsia="TimesNewRoman-Identity-H"/>
                <w:color w:val="auto"/>
                <w:sz w:val="22"/>
                <w:szCs w:val="22"/>
              </w:rPr>
              <w:t>70</w:t>
            </w:r>
          </w:p>
        </w:tc>
      </w:tr>
      <w:tr w:rsidR="00475279" w14:paraId="5FB2B245" w14:textId="77777777" w:rsidTr="00475279">
        <w:tc>
          <w:tcPr>
            <w:tcW w:w="4778" w:type="dxa"/>
          </w:tcPr>
          <w:p w14:paraId="6AE5BB15" w14:textId="77777777" w:rsidR="00475279" w:rsidRDefault="00475279" w:rsidP="001241A7">
            <w:pPr>
              <w:pStyle w:val="Default"/>
              <w:numPr>
                <w:ilvl w:val="0"/>
                <w:numId w:val="30"/>
              </w:numPr>
              <w:spacing w:after="120"/>
              <w:contextualSpacing/>
              <w:jc w:val="both"/>
              <w:rPr>
                <w:rFonts w:eastAsia="TimesNewRoman-Identity-H"/>
                <w:color w:val="auto"/>
                <w:sz w:val="22"/>
                <w:szCs w:val="22"/>
              </w:rPr>
            </w:pPr>
            <w:r>
              <w:rPr>
                <w:rFonts w:eastAsia="TimesNewRoman-Identity-H"/>
                <w:color w:val="auto"/>
                <w:sz w:val="22"/>
                <w:szCs w:val="22"/>
              </w:rPr>
              <w:t>PREZZO</w:t>
            </w:r>
          </w:p>
        </w:tc>
        <w:tc>
          <w:tcPr>
            <w:tcW w:w="4886" w:type="dxa"/>
          </w:tcPr>
          <w:p w14:paraId="0A46F85D" w14:textId="77777777" w:rsidR="00475279" w:rsidRDefault="00475279" w:rsidP="00475279">
            <w:pPr>
              <w:pStyle w:val="Default"/>
              <w:spacing w:after="120"/>
              <w:contextualSpacing/>
              <w:jc w:val="center"/>
              <w:rPr>
                <w:rFonts w:eastAsia="TimesNewRoman-Identity-H"/>
                <w:color w:val="auto"/>
                <w:sz w:val="22"/>
                <w:szCs w:val="22"/>
              </w:rPr>
            </w:pPr>
            <w:r>
              <w:rPr>
                <w:rFonts w:eastAsia="TimesNewRoman-Identity-H"/>
                <w:color w:val="auto"/>
                <w:sz w:val="22"/>
                <w:szCs w:val="22"/>
              </w:rPr>
              <w:t>30</w:t>
            </w:r>
          </w:p>
        </w:tc>
      </w:tr>
    </w:tbl>
    <w:p w14:paraId="656DDA87" w14:textId="77777777" w:rsidR="00475279" w:rsidRPr="003A3829" w:rsidRDefault="00475279" w:rsidP="00475279">
      <w:pPr>
        <w:pStyle w:val="Default"/>
        <w:spacing w:after="120"/>
        <w:contextualSpacing/>
        <w:jc w:val="both"/>
        <w:rPr>
          <w:rFonts w:eastAsia="TimesNewRoman-Identity-H"/>
          <w:color w:val="auto"/>
          <w:sz w:val="22"/>
          <w:szCs w:val="22"/>
        </w:rPr>
      </w:pPr>
    </w:p>
    <w:p w14:paraId="4265689A" w14:textId="77777777" w:rsidR="00475279" w:rsidRPr="008B425F" w:rsidRDefault="00475279" w:rsidP="00475279">
      <w:pPr>
        <w:pStyle w:val="Corpodeltesto31"/>
        <w:widowControl/>
        <w:spacing w:line="240" w:lineRule="auto"/>
        <w:rPr>
          <w:rFonts w:ascii="Arial" w:hAnsi="Arial" w:cs="Arial"/>
          <w:sz w:val="22"/>
          <w:szCs w:val="22"/>
        </w:rPr>
      </w:pPr>
      <w:r w:rsidRPr="008B425F">
        <w:rPr>
          <w:rFonts w:ascii="Arial" w:hAnsi="Arial" w:cs="Arial"/>
          <w:sz w:val="22"/>
          <w:szCs w:val="22"/>
        </w:rPr>
        <w:t xml:space="preserve">Il calcolo dell’offerta economicamente più vantaggiosa è effettuato con il metodo aggregativo compensatore </w:t>
      </w:r>
      <w:r>
        <w:rPr>
          <w:rFonts w:ascii="Arial" w:hAnsi="Arial" w:cs="Arial"/>
          <w:sz w:val="22"/>
          <w:szCs w:val="22"/>
        </w:rPr>
        <w:t>come meglio dettagliato nel disciplinare di gara.</w:t>
      </w:r>
    </w:p>
    <w:p w14:paraId="476AA394" w14:textId="77777777" w:rsidR="00475279" w:rsidRDefault="00475279" w:rsidP="00475279">
      <w:pPr>
        <w:pStyle w:val="Corpodeltesto31"/>
        <w:widowControl/>
        <w:spacing w:line="240" w:lineRule="auto"/>
        <w:rPr>
          <w:rFonts w:eastAsia="TimesNewRoman-Identity-H"/>
          <w:sz w:val="22"/>
          <w:szCs w:val="22"/>
        </w:rPr>
      </w:pPr>
    </w:p>
    <w:p w14:paraId="2FABCB23" w14:textId="77777777" w:rsidR="003A08F0" w:rsidRDefault="003A08F0" w:rsidP="005F6B1A">
      <w:pPr>
        <w:pStyle w:val="Default"/>
        <w:spacing w:after="120"/>
        <w:contextualSpacing/>
        <w:jc w:val="center"/>
        <w:rPr>
          <w:b/>
          <w:bCs/>
          <w:sz w:val="22"/>
          <w:szCs w:val="22"/>
        </w:rPr>
      </w:pPr>
    </w:p>
    <w:p w14:paraId="3C90EEC0" w14:textId="25464535" w:rsidR="003A08F0" w:rsidRDefault="003A08F0" w:rsidP="003A08F0">
      <w:pPr>
        <w:pStyle w:val="Default"/>
        <w:spacing w:after="120"/>
        <w:contextualSpacing/>
        <w:jc w:val="center"/>
        <w:rPr>
          <w:b/>
          <w:bCs/>
          <w:sz w:val="22"/>
          <w:szCs w:val="22"/>
        </w:rPr>
      </w:pPr>
      <w:r>
        <w:rPr>
          <w:b/>
          <w:bCs/>
          <w:sz w:val="22"/>
          <w:szCs w:val="22"/>
        </w:rPr>
        <w:t>Art.</w:t>
      </w:r>
      <w:r w:rsidR="003D77B0">
        <w:rPr>
          <w:b/>
          <w:bCs/>
          <w:sz w:val="22"/>
          <w:szCs w:val="22"/>
        </w:rPr>
        <w:t>7</w:t>
      </w:r>
      <w:r>
        <w:rPr>
          <w:b/>
          <w:bCs/>
          <w:sz w:val="22"/>
          <w:szCs w:val="22"/>
        </w:rPr>
        <w:t xml:space="preserve"> </w:t>
      </w:r>
    </w:p>
    <w:p w14:paraId="11F32943" w14:textId="3DDE27AC" w:rsidR="00475279" w:rsidRDefault="00475279" w:rsidP="005F6B1A">
      <w:pPr>
        <w:pStyle w:val="Default"/>
        <w:spacing w:after="120"/>
        <w:contextualSpacing/>
        <w:jc w:val="center"/>
        <w:rPr>
          <w:b/>
          <w:bCs/>
          <w:sz w:val="22"/>
          <w:szCs w:val="22"/>
        </w:rPr>
      </w:pPr>
      <w:r>
        <w:rPr>
          <w:b/>
          <w:bCs/>
          <w:sz w:val="22"/>
          <w:szCs w:val="22"/>
        </w:rPr>
        <w:t xml:space="preserve">Modalità di consegna degli elaborati </w:t>
      </w:r>
    </w:p>
    <w:p w14:paraId="5871B486" w14:textId="77777777" w:rsidR="008B7FEE" w:rsidRDefault="008B7FEE" w:rsidP="005F6B1A">
      <w:pPr>
        <w:pStyle w:val="Default"/>
        <w:spacing w:after="120"/>
        <w:contextualSpacing/>
        <w:jc w:val="center"/>
      </w:pPr>
    </w:p>
    <w:p w14:paraId="3882AF41" w14:textId="34207764" w:rsidR="00475279" w:rsidRPr="009E3DEA" w:rsidRDefault="00475279" w:rsidP="00475279">
      <w:pPr>
        <w:contextualSpacing/>
        <w:jc w:val="both"/>
        <w:rPr>
          <w:rFonts w:ascii="Arial" w:hAnsi="Arial" w:cs="Arial"/>
          <w:sz w:val="22"/>
          <w:szCs w:val="22"/>
        </w:rPr>
      </w:pPr>
      <w:r w:rsidRPr="009E3DEA">
        <w:rPr>
          <w:rFonts w:ascii="Arial" w:hAnsi="Arial" w:cs="Arial"/>
          <w:sz w:val="22"/>
          <w:szCs w:val="22"/>
        </w:rPr>
        <w:t>Le relazioni dovranno essere consegnate improrogabilmente entro le scadenze indicate nel calendario di l</w:t>
      </w:r>
      <w:r w:rsidR="00FF344C" w:rsidRPr="009E3DEA">
        <w:rPr>
          <w:rFonts w:ascii="Arial" w:hAnsi="Arial" w:cs="Arial"/>
          <w:sz w:val="22"/>
          <w:szCs w:val="22"/>
        </w:rPr>
        <w:t>avoro di cui al precedente art.5</w:t>
      </w:r>
      <w:r w:rsidRPr="009E3DEA">
        <w:rPr>
          <w:rFonts w:ascii="Arial" w:hAnsi="Arial" w:cs="Arial"/>
          <w:sz w:val="22"/>
          <w:szCs w:val="22"/>
        </w:rPr>
        <w:t xml:space="preserve">. Entro il mese successivo alle scadenze indicate, l’Autorità di Gestione e il Responsabile del Servizio regionale </w:t>
      </w:r>
      <w:r w:rsidR="009E3DEA">
        <w:rPr>
          <w:rFonts w:ascii="Arial" w:hAnsi="Arial" w:cs="Arial"/>
          <w:sz w:val="22"/>
          <w:szCs w:val="22"/>
        </w:rPr>
        <w:t>“Sviluppo rurale e agricoltura sostenibile”</w:t>
      </w:r>
      <w:r w:rsidRPr="009E3DEA">
        <w:rPr>
          <w:rFonts w:ascii="Arial" w:hAnsi="Arial" w:cs="Arial"/>
          <w:sz w:val="22"/>
          <w:szCs w:val="22"/>
        </w:rPr>
        <w:t>, con la presenza di un componente del soggetto aggiudicat</w:t>
      </w:r>
      <w:r w:rsidR="006E52C1">
        <w:rPr>
          <w:rFonts w:ascii="Arial" w:hAnsi="Arial" w:cs="Arial"/>
          <w:sz w:val="22"/>
          <w:szCs w:val="22"/>
        </w:rPr>
        <w:t>ario, valuteranno gli elaborati</w:t>
      </w:r>
      <w:r w:rsidRPr="009E3DEA">
        <w:rPr>
          <w:rFonts w:ascii="Arial" w:hAnsi="Arial" w:cs="Arial"/>
          <w:sz w:val="22"/>
          <w:szCs w:val="22"/>
        </w:rPr>
        <w:t xml:space="preserve"> presentati che possono subire variazioni, integrazioni, modifiche.</w:t>
      </w:r>
    </w:p>
    <w:p w14:paraId="088A2822" w14:textId="4554E465" w:rsidR="00475279" w:rsidRPr="009E3DEA" w:rsidRDefault="00475279" w:rsidP="00475279">
      <w:pPr>
        <w:jc w:val="both"/>
        <w:rPr>
          <w:rFonts w:ascii="Arial" w:hAnsi="Arial" w:cs="Arial"/>
          <w:sz w:val="22"/>
          <w:szCs w:val="22"/>
        </w:rPr>
      </w:pPr>
      <w:r w:rsidRPr="009E3DEA">
        <w:rPr>
          <w:rFonts w:ascii="Arial" w:hAnsi="Arial" w:cs="Arial"/>
          <w:sz w:val="22"/>
          <w:szCs w:val="22"/>
        </w:rPr>
        <w:t xml:space="preserve">Definita la stesura finale, entro 15 giorni successivi dovranno altresì essere consegnati ulteriori </w:t>
      </w:r>
      <w:r w:rsidR="009E3DEA">
        <w:rPr>
          <w:rFonts w:ascii="Arial" w:hAnsi="Arial" w:cs="Arial"/>
          <w:sz w:val="22"/>
          <w:szCs w:val="22"/>
        </w:rPr>
        <w:t>3</w:t>
      </w:r>
      <w:r w:rsidRPr="009E3DEA">
        <w:rPr>
          <w:rFonts w:ascii="Arial" w:hAnsi="Arial" w:cs="Arial"/>
          <w:sz w:val="22"/>
          <w:szCs w:val="22"/>
        </w:rPr>
        <w:t xml:space="preserve"> copi</w:t>
      </w:r>
      <w:r w:rsidR="006E52C1">
        <w:rPr>
          <w:rFonts w:ascii="Arial" w:hAnsi="Arial" w:cs="Arial"/>
          <w:sz w:val="22"/>
          <w:szCs w:val="22"/>
        </w:rPr>
        <w:t xml:space="preserve">e stampate a colori su carta e </w:t>
      </w:r>
      <w:r w:rsidR="009E3DEA">
        <w:rPr>
          <w:rFonts w:ascii="Arial" w:hAnsi="Arial" w:cs="Arial"/>
          <w:sz w:val="22"/>
          <w:szCs w:val="22"/>
        </w:rPr>
        <w:t>3</w:t>
      </w:r>
      <w:r w:rsidRPr="009E3DEA">
        <w:rPr>
          <w:rFonts w:ascii="Arial" w:hAnsi="Arial" w:cs="Arial"/>
          <w:sz w:val="22"/>
          <w:szCs w:val="22"/>
        </w:rPr>
        <w:t xml:space="preserve"> copie su supporto informatico (in word e PDF).</w:t>
      </w:r>
    </w:p>
    <w:p w14:paraId="68DE596F" w14:textId="77777777" w:rsidR="00D200AA" w:rsidRPr="009E3DEA" w:rsidRDefault="00D200AA" w:rsidP="00D200AA">
      <w:pPr>
        <w:rPr>
          <w:rFonts w:ascii="Arial" w:hAnsi="Arial" w:cs="Arial"/>
          <w:sz w:val="22"/>
          <w:szCs w:val="22"/>
        </w:rPr>
      </w:pPr>
    </w:p>
    <w:p w14:paraId="10DBB033" w14:textId="77777777" w:rsidR="00475279" w:rsidRDefault="00475279" w:rsidP="007B2F5A">
      <w:pPr>
        <w:pStyle w:val="Default"/>
        <w:spacing w:after="120"/>
        <w:contextualSpacing/>
        <w:jc w:val="center"/>
        <w:rPr>
          <w:b/>
          <w:bCs/>
          <w:sz w:val="22"/>
          <w:szCs w:val="22"/>
        </w:rPr>
      </w:pPr>
    </w:p>
    <w:p w14:paraId="378681EE" w14:textId="26D7C229" w:rsidR="009E3DEA" w:rsidRDefault="00654CF8" w:rsidP="006E52C1">
      <w:pPr>
        <w:pStyle w:val="Default"/>
        <w:spacing w:after="120"/>
        <w:contextualSpacing/>
        <w:jc w:val="center"/>
        <w:rPr>
          <w:b/>
          <w:bCs/>
          <w:sz w:val="22"/>
          <w:szCs w:val="22"/>
        </w:rPr>
      </w:pPr>
      <w:r w:rsidRPr="00F82D79">
        <w:rPr>
          <w:b/>
          <w:bCs/>
          <w:sz w:val="22"/>
          <w:szCs w:val="22"/>
        </w:rPr>
        <w:t>Art</w:t>
      </w:r>
      <w:r w:rsidRPr="003A3829">
        <w:rPr>
          <w:b/>
          <w:bCs/>
          <w:sz w:val="22"/>
          <w:szCs w:val="22"/>
        </w:rPr>
        <w:t xml:space="preserve">. </w:t>
      </w:r>
      <w:r w:rsidR="003D77B0">
        <w:rPr>
          <w:b/>
          <w:bCs/>
          <w:sz w:val="22"/>
          <w:szCs w:val="22"/>
        </w:rPr>
        <w:t>8</w:t>
      </w:r>
      <w:r w:rsidRPr="003A3829">
        <w:rPr>
          <w:b/>
          <w:bCs/>
          <w:sz w:val="22"/>
          <w:szCs w:val="22"/>
        </w:rPr>
        <w:t xml:space="preserve"> </w:t>
      </w:r>
      <w:bookmarkEnd w:id="0"/>
      <w:r w:rsidR="00D200AA">
        <w:rPr>
          <w:b/>
          <w:bCs/>
          <w:sz w:val="22"/>
          <w:szCs w:val="22"/>
        </w:rPr>
        <w:t>Modalità di pagamento del corrispettivo contrattuale</w:t>
      </w:r>
    </w:p>
    <w:p w14:paraId="1D276FE5" w14:textId="77777777" w:rsidR="008B7FEE" w:rsidRDefault="008B7FEE" w:rsidP="006E52C1">
      <w:pPr>
        <w:pStyle w:val="Default"/>
        <w:spacing w:after="120"/>
        <w:contextualSpacing/>
        <w:jc w:val="center"/>
        <w:rPr>
          <w:b/>
          <w:bCs/>
          <w:sz w:val="22"/>
          <w:szCs w:val="22"/>
        </w:rPr>
      </w:pPr>
    </w:p>
    <w:p w14:paraId="04533426" w14:textId="0E19422D" w:rsidR="00A51FA0" w:rsidRPr="003A3829" w:rsidRDefault="00A51FA0" w:rsidP="00A51FA0">
      <w:pPr>
        <w:pStyle w:val="Default"/>
        <w:spacing w:after="120"/>
        <w:contextualSpacing/>
        <w:jc w:val="both"/>
        <w:rPr>
          <w:sz w:val="22"/>
          <w:szCs w:val="22"/>
        </w:rPr>
      </w:pPr>
      <w:r>
        <w:rPr>
          <w:sz w:val="22"/>
          <w:szCs w:val="22"/>
        </w:rPr>
        <w:t>La m</w:t>
      </w:r>
      <w:r w:rsidRPr="003A3829">
        <w:rPr>
          <w:sz w:val="22"/>
          <w:szCs w:val="22"/>
        </w:rPr>
        <w:t>odalità di pagamento</w:t>
      </w:r>
      <w:r w:rsidR="003719B3">
        <w:rPr>
          <w:sz w:val="22"/>
          <w:szCs w:val="22"/>
        </w:rPr>
        <w:t xml:space="preserve"> prevede il seguente frazionamento</w:t>
      </w:r>
      <w:r w:rsidRPr="003A3829">
        <w:rPr>
          <w:sz w:val="22"/>
          <w:szCs w:val="22"/>
        </w:rPr>
        <w:t>:</w:t>
      </w:r>
    </w:p>
    <w:p w14:paraId="07044DEE" w14:textId="77777777" w:rsidR="00A51FA0" w:rsidRPr="003A3829" w:rsidRDefault="00A51FA0" w:rsidP="00A51FA0">
      <w:pPr>
        <w:pStyle w:val="Default"/>
        <w:numPr>
          <w:ilvl w:val="0"/>
          <w:numId w:val="12"/>
        </w:numPr>
        <w:spacing w:after="120"/>
        <w:contextualSpacing/>
        <w:jc w:val="both"/>
        <w:rPr>
          <w:sz w:val="22"/>
          <w:szCs w:val="22"/>
        </w:rPr>
      </w:pPr>
      <w:r w:rsidRPr="003A3829">
        <w:rPr>
          <w:sz w:val="22"/>
          <w:szCs w:val="22"/>
        </w:rPr>
        <w:t xml:space="preserve">10% dell’importo contrattuale, previa emissione di relativa fattura, a seguito dell’approvazione da parte dell’Autorità di Gestione del primo Piano di valutazione, che descrive l’impianto metodologico e le modalità operative con cui si svolgerà l’attività di valutazione del Programma; </w:t>
      </w:r>
    </w:p>
    <w:p w14:paraId="4B2E58CF" w14:textId="77777777" w:rsidR="00A51FA0" w:rsidRPr="003A3829" w:rsidRDefault="00A51FA0" w:rsidP="00A51FA0">
      <w:pPr>
        <w:pStyle w:val="Default"/>
        <w:numPr>
          <w:ilvl w:val="0"/>
          <w:numId w:val="12"/>
        </w:numPr>
        <w:spacing w:after="120"/>
        <w:contextualSpacing/>
        <w:jc w:val="both"/>
        <w:rPr>
          <w:sz w:val="22"/>
          <w:szCs w:val="22"/>
        </w:rPr>
      </w:pPr>
      <w:r w:rsidRPr="003A3829">
        <w:rPr>
          <w:sz w:val="22"/>
          <w:szCs w:val="22"/>
        </w:rPr>
        <w:t>80% con erogazioni annuali successive, previa emissione di relativa fattura, sulla base dei rapporti di valutazione e della relazione di sintesi (Rapport</w:t>
      </w:r>
      <w:r>
        <w:rPr>
          <w:sz w:val="22"/>
          <w:szCs w:val="22"/>
        </w:rPr>
        <w:t>i</w:t>
      </w:r>
      <w:r w:rsidRPr="003A3829">
        <w:rPr>
          <w:sz w:val="22"/>
          <w:szCs w:val="22"/>
        </w:rPr>
        <w:t xml:space="preserve"> d</w:t>
      </w:r>
      <w:r>
        <w:rPr>
          <w:sz w:val="22"/>
          <w:szCs w:val="22"/>
        </w:rPr>
        <w:t>i valutazione annuale, Rapporti di valutazione intermedi, Relazioni</w:t>
      </w:r>
      <w:r w:rsidRPr="003A3829">
        <w:rPr>
          <w:sz w:val="22"/>
          <w:szCs w:val="22"/>
        </w:rPr>
        <w:t xml:space="preserve"> di sintesi); </w:t>
      </w:r>
    </w:p>
    <w:p w14:paraId="4C11E3A0" w14:textId="607F540F" w:rsidR="00A51FA0" w:rsidRDefault="00A51FA0" w:rsidP="00A51FA0">
      <w:pPr>
        <w:pStyle w:val="Default"/>
        <w:numPr>
          <w:ilvl w:val="0"/>
          <w:numId w:val="12"/>
        </w:numPr>
        <w:spacing w:after="120"/>
        <w:contextualSpacing/>
        <w:jc w:val="both"/>
        <w:rPr>
          <w:sz w:val="22"/>
          <w:szCs w:val="22"/>
        </w:rPr>
      </w:pPr>
      <w:r w:rsidRPr="00096CA6">
        <w:rPr>
          <w:sz w:val="22"/>
          <w:szCs w:val="22"/>
        </w:rPr>
        <w:t>10% dell’importo contrattuale, a conclusione del servizio, previa emissione di relativa fattura e consegna del rapporto di valut</w:t>
      </w:r>
      <w:r>
        <w:rPr>
          <w:sz w:val="22"/>
          <w:szCs w:val="22"/>
        </w:rPr>
        <w:t>azione ex post.</w:t>
      </w:r>
      <w:r>
        <w:rPr>
          <w:sz w:val="22"/>
          <w:szCs w:val="22"/>
        </w:rPr>
        <w:tab/>
      </w:r>
    </w:p>
    <w:p w14:paraId="69AC4894" w14:textId="77777777" w:rsidR="00DB7F94" w:rsidRPr="00DB7F94" w:rsidRDefault="00DB7F94" w:rsidP="00DB7F94">
      <w:pPr>
        <w:widowControl w:val="0"/>
        <w:ind w:right="57"/>
        <w:jc w:val="both"/>
        <w:rPr>
          <w:rFonts w:ascii="Arial" w:hAnsi="Arial" w:cs="Arial"/>
          <w:sz w:val="22"/>
          <w:szCs w:val="22"/>
        </w:rPr>
      </w:pPr>
      <w:r w:rsidRPr="00DB7F94">
        <w:rPr>
          <w:rFonts w:ascii="Arial" w:hAnsi="Arial" w:cs="Arial"/>
          <w:sz w:val="22"/>
          <w:szCs w:val="22"/>
        </w:rPr>
        <w:t>In relazione alla necessità di rispettare le disposizioni comunitarie in materia di eleggibilità delle spese, il pagamento dell’ultimo stato di avanzamento potrà essere anticipato, ad insindacabile giudizio della Regione Umbria, al quarto trimestre 2023, subordinatamente alla presentazione di copertura fidejussoria che verrà svincolata a seguito degli esiti della verifica dei prodotti finiti.</w:t>
      </w:r>
    </w:p>
    <w:p w14:paraId="11693FDE" w14:textId="77777777" w:rsidR="00DB7F94" w:rsidRPr="00DB7F94" w:rsidRDefault="00DB7F94" w:rsidP="00DB7F94">
      <w:pPr>
        <w:widowControl w:val="0"/>
        <w:ind w:right="57"/>
        <w:jc w:val="both"/>
        <w:rPr>
          <w:rFonts w:ascii="Arial" w:hAnsi="Arial" w:cs="Arial"/>
          <w:sz w:val="22"/>
          <w:szCs w:val="22"/>
        </w:rPr>
      </w:pPr>
      <w:r w:rsidRPr="00DB7F94">
        <w:rPr>
          <w:rFonts w:ascii="Arial" w:hAnsi="Arial" w:cs="Arial"/>
          <w:sz w:val="22"/>
          <w:szCs w:val="22"/>
        </w:rPr>
        <w:t>Le modalità di pagamento seguiranno quanto previsto da Programma di Sviluppo Rurale 2014-2020 dal Reg. (UE) 1305/2013;</w:t>
      </w:r>
    </w:p>
    <w:p w14:paraId="65565693" w14:textId="77777777" w:rsidR="00A51FA0" w:rsidRPr="00096CA6" w:rsidRDefault="00A51FA0" w:rsidP="00A51FA0">
      <w:pPr>
        <w:pStyle w:val="Default"/>
        <w:spacing w:after="120"/>
        <w:contextualSpacing/>
        <w:jc w:val="both"/>
        <w:rPr>
          <w:sz w:val="22"/>
          <w:szCs w:val="22"/>
        </w:rPr>
      </w:pPr>
      <w:r w:rsidRPr="00096CA6">
        <w:rPr>
          <w:sz w:val="22"/>
          <w:szCs w:val="22"/>
        </w:rPr>
        <w:t xml:space="preserve">In ottemperanza a quanto stabilito dall’art. 1, comma 629, della L. n. 190/2014 (Legge di stabilità 2015) la Giunta corrisponderà alla società il solo corrispettivo imponibile mentre la quota relativa dell’IVA verrà versata direttamente all’Erario. Le fatture dovranno pertanto riportare l’annotazione </w:t>
      </w:r>
      <w:r w:rsidRPr="00096CA6">
        <w:rPr>
          <w:i/>
          <w:iCs/>
          <w:sz w:val="22"/>
          <w:szCs w:val="22"/>
        </w:rPr>
        <w:t>“scissione dei pagamenti”</w:t>
      </w:r>
      <w:r w:rsidRPr="00096CA6">
        <w:rPr>
          <w:sz w:val="22"/>
          <w:szCs w:val="22"/>
        </w:rPr>
        <w:t xml:space="preserve">. </w:t>
      </w:r>
    </w:p>
    <w:p w14:paraId="074EFE43" w14:textId="6F05DA6D" w:rsidR="00B819E7" w:rsidRPr="003A3829" w:rsidRDefault="00B819E7" w:rsidP="00B819E7">
      <w:pPr>
        <w:pStyle w:val="Default"/>
        <w:spacing w:after="120"/>
        <w:contextualSpacing/>
        <w:rPr>
          <w:sz w:val="22"/>
          <w:szCs w:val="22"/>
        </w:rPr>
      </w:pPr>
      <w:r w:rsidRPr="003A3829">
        <w:rPr>
          <w:sz w:val="22"/>
          <w:szCs w:val="22"/>
        </w:rPr>
        <w:t xml:space="preserve">I corrispettivi contrattuali sono comprensivi di ogni attività necessaria alla prestazione del Servizio. </w:t>
      </w:r>
    </w:p>
    <w:p w14:paraId="7C7D0250" w14:textId="77777777" w:rsidR="00B819E7" w:rsidRPr="003A3829" w:rsidRDefault="00B819E7" w:rsidP="00B819E7">
      <w:pPr>
        <w:pStyle w:val="Default"/>
        <w:spacing w:after="120"/>
        <w:contextualSpacing/>
        <w:jc w:val="both"/>
        <w:rPr>
          <w:sz w:val="22"/>
          <w:szCs w:val="22"/>
        </w:rPr>
      </w:pPr>
      <w:r w:rsidRPr="003A3829">
        <w:rPr>
          <w:sz w:val="22"/>
          <w:szCs w:val="22"/>
        </w:rPr>
        <w:t xml:space="preserve">Tutti i predetti corrispettivi sono stati determinati a proprio rischio dal </w:t>
      </w:r>
      <w:r w:rsidRPr="003A3829">
        <w:rPr>
          <w:i/>
          <w:iCs/>
          <w:sz w:val="22"/>
          <w:szCs w:val="22"/>
        </w:rPr>
        <w:t xml:space="preserve">Fornitore </w:t>
      </w:r>
      <w:r w:rsidRPr="003A3829">
        <w:rPr>
          <w:sz w:val="22"/>
          <w:szCs w:val="22"/>
        </w:rPr>
        <w:t xml:space="preserve">in base ai propri calcoli, alle proprie indagini, alle proprie stime, e sono, pertanto, </w:t>
      </w:r>
      <w:r w:rsidRPr="003A3829">
        <w:rPr>
          <w:b/>
          <w:bCs/>
          <w:sz w:val="22"/>
          <w:szCs w:val="22"/>
        </w:rPr>
        <w:t>fissi ed invariabili</w:t>
      </w:r>
      <w:r w:rsidRPr="003A3829">
        <w:rPr>
          <w:sz w:val="22"/>
          <w:szCs w:val="22"/>
        </w:rPr>
        <w:t xml:space="preserve">, indipendentemente da qualsiasi imprevisto o eventualità, facendosi carico il </w:t>
      </w:r>
      <w:r w:rsidRPr="003A3829">
        <w:rPr>
          <w:i/>
          <w:iCs/>
          <w:sz w:val="22"/>
          <w:szCs w:val="22"/>
        </w:rPr>
        <w:t xml:space="preserve">Fornitore </w:t>
      </w:r>
      <w:r w:rsidRPr="003A3829">
        <w:rPr>
          <w:sz w:val="22"/>
          <w:szCs w:val="22"/>
        </w:rPr>
        <w:t xml:space="preserve">di ogni relativo rischio e/o alea, ivi incluso quello relativo all’adempimento e/o ottemperanza di obblighi ed oneri derivanti al </w:t>
      </w:r>
      <w:r w:rsidRPr="003A3829">
        <w:rPr>
          <w:i/>
          <w:iCs/>
          <w:sz w:val="22"/>
          <w:szCs w:val="22"/>
        </w:rPr>
        <w:t xml:space="preserve">Fornitore </w:t>
      </w:r>
      <w:r w:rsidRPr="003A3829">
        <w:rPr>
          <w:sz w:val="22"/>
          <w:szCs w:val="22"/>
        </w:rPr>
        <w:t xml:space="preserve">medesimo dall’osservanza di leggi e regolamenti, nonché dalle disposizioni emanate o che venissero emanate dalle competenti autorità. </w:t>
      </w:r>
    </w:p>
    <w:p w14:paraId="62CEBD2F" w14:textId="7F777013" w:rsidR="00B819E7" w:rsidRPr="003A3829" w:rsidRDefault="00B819E7" w:rsidP="00B819E7">
      <w:pPr>
        <w:pStyle w:val="Default"/>
        <w:spacing w:after="120"/>
        <w:contextualSpacing/>
        <w:jc w:val="both"/>
        <w:rPr>
          <w:sz w:val="22"/>
          <w:szCs w:val="22"/>
        </w:rPr>
      </w:pPr>
      <w:r w:rsidRPr="003A3829">
        <w:rPr>
          <w:sz w:val="22"/>
          <w:szCs w:val="22"/>
        </w:rPr>
        <w:t xml:space="preserve">Il </w:t>
      </w:r>
      <w:r w:rsidRPr="003A3829">
        <w:rPr>
          <w:i/>
          <w:iCs/>
          <w:sz w:val="22"/>
          <w:szCs w:val="22"/>
        </w:rPr>
        <w:t xml:space="preserve">Fornitore </w:t>
      </w:r>
      <w:r w:rsidRPr="003A3829">
        <w:rPr>
          <w:sz w:val="22"/>
          <w:szCs w:val="22"/>
        </w:rPr>
        <w:t xml:space="preserve">non potrà vantare diritto ad altri compensi, ovvero ad ulteriori adeguamenti, revisioni o aumenti dei corrispettivi come sopra indicati, ad eccezione di quanto previsto all’art. 106, D.Lgs </w:t>
      </w:r>
      <w:r w:rsidR="00626AFF">
        <w:rPr>
          <w:sz w:val="22"/>
          <w:szCs w:val="22"/>
        </w:rPr>
        <w:t xml:space="preserve">n°50 del </w:t>
      </w:r>
      <w:r w:rsidRPr="003A3829">
        <w:rPr>
          <w:sz w:val="22"/>
          <w:szCs w:val="22"/>
        </w:rPr>
        <w:t xml:space="preserve">18 aprile 2016. Con la sottoscrizione del Contratto, il Fornitore assume tutti gli obblighi di tracciabilità dei flussi finanziari previsti dall’art. 3 della Legge n. 136/2010 “Piano straordinario contro le mafie, nonché delega al Governo in materia di normativa antimafia” (G.U. n. 196 del 23 agosto 2010) e successive modifiche ed integrazioni, anche nei confronti di eventuali subappaltatori e subfornitori. </w:t>
      </w:r>
    </w:p>
    <w:p w14:paraId="303C934F" w14:textId="77777777" w:rsidR="00B819E7" w:rsidRPr="003A3829" w:rsidRDefault="00B819E7" w:rsidP="00B819E7">
      <w:pPr>
        <w:pStyle w:val="Default"/>
        <w:spacing w:after="120"/>
        <w:contextualSpacing/>
        <w:jc w:val="both"/>
        <w:rPr>
          <w:sz w:val="22"/>
          <w:szCs w:val="22"/>
        </w:rPr>
      </w:pPr>
      <w:r w:rsidRPr="003A3829">
        <w:rPr>
          <w:sz w:val="22"/>
          <w:szCs w:val="22"/>
        </w:rPr>
        <w:t xml:space="preserve">In caso di inadempimento degli obblighi stabiliti nella citata legge, il contratto si intende risolto di diritto, oltre a determinare l’applicazione delle sanzioni amministrative di cui all’art. 6 della Legge n. 136/2010 e ss.mm.ii </w:t>
      </w:r>
    </w:p>
    <w:p w14:paraId="1EEC125F" w14:textId="77777777" w:rsidR="00B819E7" w:rsidRPr="003A3829" w:rsidRDefault="00B819E7" w:rsidP="00B819E7">
      <w:pPr>
        <w:pStyle w:val="Default"/>
        <w:spacing w:after="120"/>
        <w:contextualSpacing/>
        <w:jc w:val="both"/>
        <w:rPr>
          <w:sz w:val="22"/>
          <w:szCs w:val="22"/>
        </w:rPr>
      </w:pPr>
      <w:r w:rsidRPr="003A3829">
        <w:rPr>
          <w:sz w:val="22"/>
          <w:szCs w:val="22"/>
        </w:rPr>
        <w:t xml:space="preserve">In particolare, il Fornitore si obbliga ad utilizzare uno o più conti correnti bancari o postali dedicati, anche non in via esclusiva, dove devono transitare tutti i movimenti finanziari relativi al presente appalto, attraverso lo strumento del bonifico bancario o postale, ovvero con altri strumenti di pagamento idonei a consentire la piena tracciabilità delle operazioni. </w:t>
      </w:r>
    </w:p>
    <w:p w14:paraId="618983BA" w14:textId="77777777" w:rsidR="00B819E7" w:rsidRPr="003A3829" w:rsidRDefault="00B819E7" w:rsidP="00B819E7">
      <w:pPr>
        <w:pStyle w:val="Default"/>
        <w:spacing w:after="120"/>
        <w:contextualSpacing/>
        <w:jc w:val="both"/>
        <w:rPr>
          <w:sz w:val="22"/>
          <w:szCs w:val="22"/>
        </w:rPr>
      </w:pPr>
      <w:r w:rsidRPr="003A3829">
        <w:rPr>
          <w:sz w:val="22"/>
          <w:szCs w:val="22"/>
        </w:rPr>
        <w:t xml:space="preserve">A tal fine, il Fornitore s’impegna a comunicare tempestivamente, prima dell’aggiudicazione definitiva, il conto corrente bancario o postale dedicato, anche non via esclusiva, all’appalto nonché le persone delegate ad operare sul conto corrente; la mancata comunicazione impedisce di procedere all’aggiudicazione definitiva. </w:t>
      </w:r>
    </w:p>
    <w:p w14:paraId="738F5FC4" w14:textId="77777777" w:rsidR="00B819E7" w:rsidRPr="003A3829" w:rsidRDefault="00B819E7" w:rsidP="00B819E7">
      <w:pPr>
        <w:pStyle w:val="Default"/>
        <w:spacing w:after="120"/>
        <w:contextualSpacing/>
        <w:jc w:val="both"/>
        <w:rPr>
          <w:sz w:val="22"/>
          <w:szCs w:val="22"/>
        </w:rPr>
      </w:pPr>
      <w:r w:rsidRPr="003A3829">
        <w:rPr>
          <w:sz w:val="22"/>
          <w:szCs w:val="22"/>
        </w:rPr>
        <w:t xml:space="preserve">Il Fornitore inoltre: </w:t>
      </w:r>
    </w:p>
    <w:p w14:paraId="5E59E34E" w14:textId="77777777" w:rsidR="00B819E7" w:rsidRPr="003A3829" w:rsidRDefault="00B819E7" w:rsidP="001241A7">
      <w:pPr>
        <w:pStyle w:val="Default"/>
        <w:numPr>
          <w:ilvl w:val="0"/>
          <w:numId w:val="17"/>
        </w:numPr>
        <w:spacing w:after="120"/>
        <w:contextualSpacing/>
        <w:jc w:val="both"/>
        <w:rPr>
          <w:sz w:val="22"/>
          <w:szCs w:val="22"/>
        </w:rPr>
      </w:pPr>
      <w:r w:rsidRPr="003A3829">
        <w:rPr>
          <w:sz w:val="22"/>
          <w:szCs w:val="22"/>
        </w:rPr>
        <w:t xml:space="preserve">si impegna a comunicare entro il termine perentorio di 7 (sette) giorni solari le variazioni al conto corrente sopra menzionato, ovvero l’accensione di nuovi conti correnti dedicati, anche non in via esclusiva, all’appalto, nonché le variazioni inerenti le persone delegate ad operare sul conto corrente; </w:t>
      </w:r>
    </w:p>
    <w:p w14:paraId="3971FFFA" w14:textId="77777777" w:rsidR="00B819E7" w:rsidRPr="003A3829" w:rsidRDefault="00B819E7" w:rsidP="001241A7">
      <w:pPr>
        <w:pStyle w:val="Default"/>
        <w:numPr>
          <w:ilvl w:val="0"/>
          <w:numId w:val="17"/>
        </w:numPr>
        <w:spacing w:after="120"/>
        <w:contextualSpacing/>
        <w:jc w:val="both"/>
        <w:rPr>
          <w:sz w:val="22"/>
          <w:szCs w:val="22"/>
        </w:rPr>
      </w:pPr>
      <w:r w:rsidRPr="003A3829">
        <w:rPr>
          <w:sz w:val="22"/>
          <w:szCs w:val="22"/>
        </w:rPr>
        <w:t xml:space="preserve">ha l’obbligo di indicare in ogni fattura che verrà emessa, ovvero in una comunicazione allegata alla fattura, pena l’irricevibilità della fattura medesima, il CIG della procedura; </w:t>
      </w:r>
    </w:p>
    <w:p w14:paraId="6575EF16" w14:textId="77777777" w:rsidR="00B819E7" w:rsidRPr="003A3829" w:rsidRDefault="00B819E7" w:rsidP="001241A7">
      <w:pPr>
        <w:pStyle w:val="Default"/>
        <w:numPr>
          <w:ilvl w:val="0"/>
          <w:numId w:val="17"/>
        </w:numPr>
        <w:spacing w:after="120"/>
        <w:contextualSpacing/>
        <w:jc w:val="both"/>
        <w:rPr>
          <w:sz w:val="22"/>
          <w:szCs w:val="22"/>
        </w:rPr>
      </w:pPr>
      <w:r w:rsidRPr="003A3829">
        <w:rPr>
          <w:sz w:val="22"/>
          <w:szCs w:val="22"/>
        </w:rPr>
        <w:t xml:space="preserve">ha l’obbligo di prevedere nei contratti sottoscritti con i subappaltatori e i subcontraenti (subforniture) della filiera delle imprese a qualsiasi titolo interessati all’appalto, un’apposita clausola con la quale ciascun contraente assume gli obblighi di tracciabilità dei flussi finanziari di cui all’art. 3 della Legge n.136/2010 e ss.mm.ii, pena la nullità assoluta del contratto medesimo. </w:t>
      </w:r>
    </w:p>
    <w:p w14:paraId="786213F4" w14:textId="77777777" w:rsidR="00B819E7" w:rsidRPr="003A3829" w:rsidRDefault="00B819E7" w:rsidP="00B819E7">
      <w:pPr>
        <w:pStyle w:val="Default"/>
        <w:spacing w:after="120"/>
        <w:contextualSpacing/>
        <w:jc w:val="both"/>
        <w:rPr>
          <w:sz w:val="22"/>
          <w:szCs w:val="22"/>
        </w:rPr>
      </w:pPr>
    </w:p>
    <w:p w14:paraId="65A4663C" w14:textId="106D02BD" w:rsidR="00B819E7" w:rsidRPr="003A3829" w:rsidRDefault="00B819E7" w:rsidP="00B819E7">
      <w:pPr>
        <w:pStyle w:val="Default"/>
        <w:spacing w:after="120"/>
        <w:contextualSpacing/>
        <w:jc w:val="both"/>
        <w:rPr>
          <w:sz w:val="22"/>
          <w:szCs w:val="22"/>
        </w:rPr>
      </w:pPr>
      <w:r w:rsidRPr="003A3829">
        <w:rPr>
          <w:sz w:val="22"/>
          <w:szCs w:val="22"/>
        </w:rPr>
        <w:t xml:space="preserve">Ciascuna fattura </w:t>
      </w:r>
      <w:r w:rsidR="00BF04D6">
        <w:rPr>
          <w:sz w:val="22"/>
          <w:szCs w:val="22"/>
        </w:rPr>
        <w:t xml:space="preserve">(inviata come fattura elettronica) </w:t>
      </w:r>
      <w:r w:rsidRPr="003A3829">
        <w:rPr>
          <w:sz w:val="22"/>
          <w:szCs w:val="22"/>
        </w:rPr>
        <w:t xml:space="preserve">dovrà contenere il riferimento alle attività effettivamente svolte, con indicazione dei corrispettivi per ciascuna attività, </w:t>
      </w:r>
      <w:r w:rsidR="001214B5">
        <w:rPr>
          <w:sz w:val="22"/>
          <w:szCs w:val="22"/>
        </w:rPr>
        <w:t xml:space="preserve">il codice unico di progetto, il codice identificativo della gara, </w:t>
      </w:r>
      <w:r w:rsidRPr="003A3829">
        <w:rPr>
          <w:sz w:val="22"/>
          <w:szCs w:val="22"/>
        </w:rPr>
        <w:t xml:space="preserve">e dovrà essere intestata alla Regione, Via Mario Angeloni 61, 06127 Perugia, Direzione </w:t>
      </w:r>
      <w:r w:rsidR="001214B5">
        <w:rPr>
          <w:sz w:val="22"/>
          <w:szCs w:val="22"/>
        </w:rPr>
        <w:t>Regionale Agricoltura e Foreste, Aree Protette, valorizzazione dei sistemi naturalistici e paesaggistici, beni e attività culturali, sport e spettacolo</w:t>
      </w:r>
      <w:r w:rsidRPr="003A3829">
        <w:rPr>
          <w:sz w:val="22"/>
          <w:szCs w:val="22"/>
        </w:rPr>
        <w:t xml:space="preserve"> – </w:t>
      </w:r>
      <w:r w:rsidR="001B0AB7">
        <w:rPr>
          <w:sz w:val="22"/>
          <w:szCs w:val="22"/>
        </w:rPr>
        <w:t>“</w:t>
      </w:r>
      <w:r w:rsidRPr="003A3829">
        <w:rPr>
          <w:sz w:val="22"/>
          <w:szCs w:val="22"/>
        </w:rPr>
        <w:t>Servizio Sviluppo R</w:t>
      </w:r>
      <w:bookmarkStart w:id="2" w:name="_Toc433628080"/>
      <w:bookmarkStart w:id="3" w:name="_Toc433964777"/>
      <w:r w:rsidR="00740F22">
        <w:rPr>
          <w:sz w:val="22"/>
          <w:szCs w:val="22"/>
        </w:rPr>
        <w:t>urale e Agricoltura sostenibile</w:t>
      </w:r>
      <w:r w:rsidR="001B0AB7">
        <w:rPr>
          <w:sz w:val="22"/>
          <w:szCs w:val="22"/>
        </w:rPr>
        <w:t>”.</w:t>
      </w:r>
      <w:r w:rsidR="00740F22">
        <w:rPr>
          <w:sz w:val="22"/>
          <w:szCs w:val="22"/>
        </w:rPr>
        <w:t xml:space="preserve"> </w:t>
      </w:r>
    </w:p>
    <w:p w14:paraId="6EF2E988" w14:textId="77777777" w:rsidR="00B819E7" w:rsidRPr="003A3829" w:rsidRDefault="00B819E7" w:rsidP="00B819E7">
      <w:pPr>
        <w:pStyle w:val="Default"/>
        <w:spacing w:after="120"/>
        <w:contextualSpacing/>
        <w:jc w:val="both"/>
        <w:rPr>
          <w:sz w:val="22"/>
          <w:szCs w:val="22"/>
        </w:rPr>
      </w:pPr>
      <w:r w:rsidRPr="003A3829">
        <w:rPr>
          <w:sz w:val="22"/>
          <w:szCs w:val="22"/>
        </w:rPr>
        <w:t xml:space="preserve">Il Fornitore invierà la fattura secondo le modalità prescritte dalla normativa vigente in materia di fatturazione elettronica e secondo le disposizioni regionali in materia. </w:t>
      </w:r>
    </w:p>
    <w:p w14:paraId="77F5E929" w14:textId="18DE2A64" w:rsidR="00B819E7" w:rsidRPr="003A3829" w:rsidRDefault="001214B5" w:rsidP="00B819E7">
      <w:pPr>
        <w:pStyle w:val="Default"/>
        <w:spacing w:after="120"/>
        <w:contextualSpacing/>
        <w:jc w:val="both"/>
        <w:rPr>
          <w:sz w:val="22"/>
          <w:szCs w:val="22"/>
        </w:rPr>
      </w:pPr>
      <w:r>
        <w:rPr>
          <w:sz w:val="22"/>
          <w:szCs w:val="22"/>
        </w:rPr>
        <w:t>A</w:t>
      </w:r>
      <w:r w:rsidR="00FF7279">
        <w:rPr>
          <w:sz w:val="22"/>
          <w:szCs w:val="22"/>
        </w:rPr>
        <w:t xml:space="preserve"> </w:t>
      </w:r>
      <w:r w:rsidR="00B819E7" w:rsidRPr="003A3829">
        <w:rPr>
          <w:sz w:val="22"/>
          <w:szCs w:val="22"/>
        </w:rPr>
        <w:t>seguito dei controlli effettuati sulle</w:t>
      </w:r>
      <w:r>
        <w:rPr>
          <w:sz w:val="22"/>
          <w:szCs w:val="22"/>
        </w:rPr>
        <w:t xml:space="preserve"> attività svolte</w:t>
      </w:r>
      <w:r w:rsidR="00B819E7" w:rsidRPr="003A3829">
        <w:rPr>
          <w:sz w:val="22"/>
          <w:szCs w:val="22"/>
        </w:rPr>
        <w:t>,</w:t>
      </w:r>
      <w:r>
        <w:rPr>
          <w:sz w:val="22"/>
          <w:szCs w:val="22"/>
        </w:rPr>
        <w:t xml:space="preserve"> si provvederà</w:t>
      </w:r>
      <w:r w:rsidR="00B819E7" w:rsidRPr="003A3829">
        <w:rPr>
          <w:sz w:val="22"/>
          <w:szCs w:val="22"/>
        </w:rPr>
        <w:t xml:space="preserve"> al pagamento del corrispettivo contrattuale dopo aver </w:t>
      </w:r>
      <w:r>
        <w:rPr>
          <w:sz w:val="22"/>
          <w:szCs w:val="22"/>
        </w:rPr>
        <w:t xml:space="preserve">altresì </w:t>
      </w:r>
      <w:r w:rsidR="00B819E7" w:rsidRPr="003A3829">
        <w:rPr>
          <w:sz w:val="22"/>
          <w:szCs w:val="22"/>
        </w:rPr>
        <w:t>verificato che</w:t>
      </w:r>
      <w:r>
        <w:rPr>
          <w:sz w:val="22"/>
          <w:szCs w:val="22"/>
        </w:rPr>
        <w:t xml:space="preserve">, </w:t>
      </w:r>
      <w:r w:rsidR="00B819E7" w:rsidRPr="003A3829">
        <w:rPr>
          <w:sz w:val="22"/>
          <w:szCs w:val="22"/>
        </w:rPr>
        <w:t>da parte del soggetto aggiudicatario</w:t>
      </w:r>
      <w:r>
        <w:rPr>
          <w:sz w:val="22"/>
          <w:szCs w:val="22"/>
        </w:rPr>
        <w:t>,</w:t>
      </w:r>
      <w:r w:rsidR="00B819E7" w:rsidRPr="003A3829">
        <w:rPr>
          <w:sz w:val="22"/>
          <w:szCs w:val="22"/>
        </w:rPr>
        <w:t xml:space="preserve"> sia stato effettuato il versamento delle ritenute fiscali, dei contributi previdenziali e assicurativi dei dipendenti mediante acquisizione d’ufficio del Documento unico di regolarità contributiva (DURC) in corso di validità relativo all’affidatario e a tutti i subappaltatori se presenti.</w:t>
      </w:r>
    </w:p>
    <w:p w14:paraId="58EE9287" w14:textId="77777777" w:rsidR="00B819E7" w:rsidRPr="003A3829" w:rsidRDefault="00B819E7" w:rsidP="00B819E7">
      <w:pPr>
        <w:pStyle w:val="Default"/>
        <w:spacing w:after="120"/>
        <w:contextualSpacing/>
        <w:jc w:val="both"/>
        <w:rPr>
          <w:sz w:val="22"/>
          <w:szCs w:val="22"/>
        </w:rPr>
      </w:pPr>
      <w:r w:rsidRPr="003A3829">
        <w:rPr>
          <w:sz w:val="22"/>
          <w:szCs w:val="22"/>
        </w:rPr>
        <w:t xml:space="preserve">Inoltre, In ottemperanza a quanto disposto dall’art. </w:t>
      </w:r>
      <w:r>
        <w:rPr>
          <w:sz w:val="22"/>
          <w:szCs w:val="22"/>
        </w:rPr>
        <w:t xml:space="preserve">30, comma 5 del </w:t>
      </w:r>
      <w:r w:rsidRPr="003A3829">
        <w:rPr>
          <w:sz w:val="22"/>
          <w:szCs w:val="22"/>
        </w:rPr>
        <w:t xml:space="preserve">D.Lgs. 18 aprile 2016, n. 50, deve essere operata una ritenuta dello 0,50 per cento sull'importo netto progressivo delle prestazioni. Tale ritenuta non deve essere effettuata nel caso di pagamento in un’unica soluzione. </w:t>
      </w:r>
    </w:p>
    <w:p w14:paraId="53783031" w14:textId="77777777" w:rsidR="00B819E7" w:rsidRPr="003A3829" w:rsidRDefault="00B819E7" w:rsidP="00B819E7">
      <w:pPr>
        <w:pStyle w:val="Default"/>
        <w:spacing w:after="120"/>
        <w:contextualSpacing/>
        <w:jc w:val="both"/>
        <w:rPr>
          <w:sz w:val="22"/>
          <w:szCs w:val="22"/>
        </w:rPr>
      </w:pPr>
      <w:r w:rsidRPr="003A3829">
        <w:rPr>
          <w:sz w:val="22"/>
          <w:szCs w:val="22"/>
        </w:rPr>
        <w:t xml:space="preserve">Pertanto, a prescindere dal regime IVA della fornitura/del servizio, l'imponibile indicato in fattura dovrà essere esplicitamente ridotto oppure esposto direttamente al netto della ritenuta di garanzia, con espressa indicazione di questa circostanza. La fatturazione delle ritenute applicate sarà effettuata alla chiusura del contratto, in sede di liquidazione finale, qualora ricorrano le condizioni normative per le svincolo. </w:t>
      </w:r>
    </w:p>
    <w:p w14:paraId="44DD97E6" w14:textId="1A4416AE" w:rsidR="00B819E7" w:rsidRPr="003A3829" w:rsidRDefault="00B819E7" w:rsidP="00B819E7">
      <w:pPr>
        <w:pStyle w:val="Default"/>
        <w:spacing w:after="120"/>
        <w:contextualSpacing/>
        <w:jc w:val="both"/>
        <w:rPr>
          <w:sz w:val="22"/>
          <w:szCs w:val="22"/>
        </w:rPr>
      </w:pPr>
      <w:r w:rsidRPr="003A3829">
        <w:rPr>
          <w:sz w:val="22"/>
          <w:szCs w:val="22"/>
        </w:rPr>
        <w:t>Il pagamento dei corrispettivi sarà effettuato conformemente alle modalità previste dalla normativa, anche secondaria, vigente in materia, entro 30 giorni dal ricevimento di regolare fattura</w:t>
      </w:r>
      <w:r w:rsidR="000F429E">
        <w:rPr>
          <w:sz w:val="22"/>
          <w:szCs w:val="22"/>
        </w:rPr>
        <w:t xml:space="preserve"> e previa approvazione da parte del “Servizio sviluppo rurale e agricoltura sostenibile” del rapporto presentato</w:t>
      </w:r>
      <w:r w:rsidRPr="003A3829">
        <w:rPr>
          <w:sz w:val="22"/>
          <w:szCs w:val="22"/>
        </w:rPr>
        <w:t xml:space="preserve">. </w:t>
      </w:r>
    </w:p>
    <w:p w14:paraId="04193311" w14:textId="42FB7FDE" w:rsidR="00B819E7" w:rsidRPr="003A3829" w:rsidRDefault="00B819E7" w:rsidP="00B819E7">
      <w:pPr>
        <w:pStyle w:val="Default"/>
        <w:spacing w:after="120"/>
        <w:contextualSpacing/>
        <w:jc w:val="both"/>
        <w:rPr>
          <w:sz w:val="22"/>
          <w:szCs w:val="22"/>
        </w:rPr>
      </w:pPr>
      <w:r w:rsidRPr="003A3829">
        <w:rPr>
          <w:sz w:val="22"/>
          <w:szCs w:val="22"/>
        </w:rPr>
        <w:t xml:space="preserve">Resta espressamente inteso che in nessun caso, ivi compreso il caso di ritardi nei pagamenti dei corrispettivi dovuti, il </w:t>
      </w:r>
      <w:r w:rsidRPr="003A3829">
        <w:rPr>
          <w:i/>
          <w:iCs/>
          <w:sz w:val="22"/>
          <w:szCs w:val="22"/>
        </w:rPr>
        <w:t xml:space="preserve">Fornitore </w:t>
      </w:r>
      <w:r w:rsidRPr="003A3829">
        <w:rPr>
          <w:sz w:val="22"/>
          <w:szCs w:val="22"/>
        </w:rPr>
        <w:t xml:space="preserve">potrà sospendere la fornitura e la prestazione dei servizi e, comunque, delle attività previste nel </w:t>
      </w:r>
      <w:r w:rsidRPr="003A3829">
        <w:rPr>
          <w:i/>
          <w:iCs/>
          <w:sz w:val="22"/>
          <w:szCs w:val="22"/>
        </w:rPr>
        <w:t>Contratto</w:t>
      </w:r>
      <w:r w:rsidRPr="003A3829">
        <w:rPr>
          <w:sz w:val="22"/>
          <w:szCs w:val="22"/>
        </w:rPr>
        <w:t xml:space="preserve">. Qualora il </w:t>
      </w:r>
      <w:r w:rsidRPr="003A3829">
        <w:rPr>
          <w:i/>
          <w:iCs/>
          <w:sz w:val="22"/>
          <w:szCs w:val="22"/>
        </w:rPr>
        <w:t xml:space="preserve">Fornitore </w:t>
      </w:r>
      <w:r w:rsidRPr="003A3829">
        <w:rPr>
          <w:sz w:val="22"/>
          <w:szCs w:val="22"/>
        </w:rPr>
        <w:t xml:space="preserve">si rendesse inadempiente a tale obbligo, il </w:t>
      </w:r>
      <w:r w:rsidRPr="003A3829">
        <w:rPr>
          <w:i/>
          <w:iCs/>
          <w:sz w:val="22"/>
          <w:szCs w:val="22"/>
        </w:rPr>
        <w:t xml:space="preserve">Contratto </w:t>
      </w:r>
      <w:r w:rsidRPr="003A3829">
        <w:rPr>
          <w:sz w:val="22"/>
          <w:szCs w:val="22"/>
        </w:rPr>
        <w:t xml:space="preserve">si potrà risolvere di diritto mediante semplice ed unilaterale dichiarazione da comunicarsi con lettera raccomandata A/R, dalla </w:t>
      </w:r>
      <w:r w:rsidRPr="003A3829">
        <w:rPr>
          <w:i/>
          <w:iCs/>
          <w:sz w:val="22"/>
          <w:szCs w:val="22"/>
        </w:rPr>
        <w:t>Regione</w:t>
      </w:r>
      <w:r w:rsidR="00B728FA">
        <w:rPr>
          <w:sz w:val="22"/>
          <w:szCs w:val="22"/>
        </w:rPr>
        <w:t>.</w:t>
      </w:r>
      <w:r w:rsidRPr="003A3829">
        <w:rPr>
          <w:sz w:val="22"/>
          <w:szCs w:val="22"/>
        </w:rPr>
        <w:t xml:space="preserve"> </w:t>
      </w:r>
    </w:p>
    <w:p w14:paraId="55C8C4DA" w14:textId="77777777" w:rsidR="00B819E7" w:rsidRPr="003A3829" w:rsidRDefault="00B819E7" w:rsidP="00B819E7">
      <w:pPr>
        <w:pStyle w:val="Default"/>
        <w:spacing w:after="120"/>
        <w:contextualSpacing/>
        <w:jc w:val="both"/>
        <w:rPr>
          <w:sz w:val="22"/>
          <w:szCs w:val="22"/>
        </w:rPr>
      </w:pPr>
      <w:r w:rsidRPr="003A3829">
        <w:rPr>
          <w:sz w:val="22"/>
          <w:szCs w:val="22"/>
        </w:rPr>
        <w:t xml:space="preserve">Nel caso in cui risulti aggiudicatario un Raggruppamento Temporaneo di Imprese, dovrà essere emessa una sola fattura dalla società capofila dell’attività di valutazione. </w:t>
      </w:r>
      <w:bookmarkEnd w:id="2"/>
      <w:bookmarkEnd w:id="3"/>
    </w:p>
    <w:p w14:paraId="0B9A59D5" w14:textId="77777777" w:rsidR="00D200AA" w:rsidRDefault="00D200AA" w:rsidP="007B2F5A">
      <w:pPr>
        <w:pStyle w:val="Default"/>
        <w:spacing w:after="120"/>
        <w:contextualSpacing/>
        <w:jc w:val="center"/>
        <w:rPr>
          <w:b/>
          <w:bCs/>
          <w:sz w:val="22"/>
          <w:szCs w:val="22"/>
        </w:rPr>
      </w:pPr>
    </w:p>
    <w:p w14:paraId="0F85E667" w14:textId="77777777" w:rsidR="00AF356B" w:rsidRDefault="00AF356B" w:rsidP="007B2F5A">
      <w:pPr>
        <w:pStyle w:val="Default"/>
        <w:spacing w:after="120"/>
        <w:contextualSpacing/>
        <w:jc w:val="center"/>
        <w:rPr>
          <w:b/>
          <w:bCs/>
          <w:sz w:val="22"/>
          <w:szCs w:val="22"/>
        </w:rPr>
      </w:pPr>
    </w:p>
    <w:bookmarkEnd w:id="1"/>
    <w:p w14:paraId="7C4395E2" w14:textId="709217B6" w:rsidR="00C844BE" w:rsidRDefault="00C844BE" w:rsidP="00CA75D3">
      <w:pPr>
        <w:pStyle w:val="Default"/>
        <w:spacing w:after="120" w:line="360" w:lineRule="auto"/>
        <w:contextualSpacing/>
        <w:jc w:val="center"/>
        <w:rPr>
          <w:b/>
          <w:sz w:val="22"/>
          <w:szCs w:val="22"/>
        </w:rPr>
      </w:pPr>
      <w:r w:rsidRPr="00D34907">
        <w:rPr>
          <w:b/>
          <w:sz w:val="22"/>
          <w:szCs w:val="22"/>
        </w:rPr>
        <w:t xml:space="preserve">Art. </w:t>
      </w:r>
      <w:r w:rsidR="003D77B0">
        <w:rPr>
          <w:b/>
          <w:sz w:val="22"/>
          <w:szCs w:val="22"/>
        </w:rPr>
        <w:t>9</w:t>
      </w:r>
      <w:r w:rsidRPr="00D34907">
        <w:rPr>
          <w:b/>
          <w:sz w:val="22"/>
          <w:szCs w:val="22"/>
        </w:rPr>
        <w:t xml:space="preserve"> Requisiti tecnici e professionali</w:t>
      </w:r>
    </w:p>
    <w:p w14:paraId="47D9F5A3" w14:textId="77777777" w:rsidR="00C844BE" w:rsidRPr="003A3829" w:rsidRDefault="00C844BE" w:rsidP="00CA75D3">
      <w:pPr>
        <w:tabs>
          <w:tab w:val="left" w:pos="4284"/>
        </w:tabs>
        <w:spacing w:after="120"/>
        <w:contextualSpacing/>
        <w:jc w:val="both"/>
        <w:rPr>
          <w:rFonts w:ascii="Arial" w:hAnsi="Arial" w:cs="Arial"/>
          <w:sz w:val="22"/>
          <w:szCs w:val="22"/>
        </w:rPr>
      </w:pPr>
      <w:r w:rsidRPr="00D34907">
        <w:rPr>
          <w:rFonts w:ascii="Arial" w:hAnsi="Arial" w:cs="Arial"/>
          <w:sz w:val="22"/>
          <w:szCs w:val="22"/>
        </w:rPr>
        <w:t xml:space="preserve">Si richiede la disponibilità di un </w:t>
      </w:r>
      <w:r w:rsidRPr="00B258C2">
        <w:rPr>
          <w:rFonts w:ascii="Arial" w:hAnsi="Arial" w:cs="Arial"/>
          <w:i/>
          <w:sz w:val="22"/>
          <w:szCs w:val="22"/>
        </w:rPr>
        <w:t>gruppo di lavoro</w:t>
      </w:r>
      <w:r w:rsidRPr="00D34907">
        <w:rPr>
          <w:rFonts w:ascii="Arial" w:hAnsi="Arial" w:cs="Arial"/>
          <w:sz w:val="22"/>
          <w:szCs w:val="22"/>
        </w:rPr>
        <w:t xml:space="preserve"> coerente per qualificazione e dimensione con le esigenze del servizio richiesto. Per ciascun componente del gruppo di lavoro dovrà essere prodotto un curriculum vitae e professionale nel quale si evincano oltre i dati anagrafici, la qualifica, i titoli di studio e le esperienze professionali maturate, così da poterne considerare l’effettiva qualificazione coerente con le esigenze del servizio richiesto. Nel caso di Raggruppamento temporaneo tale requisito deve essere posseduto dal raggruppamento nel suo complesso. Nella composizione del gruppo di lavoro si richiede la presenza almeno dei seguenti ambiti di competenza e profili professionali:</w:t>
      </w:r>
    </w:p>
    <w:p w14:paraId="0FB155D8" w14:textId="77777777" w:rsidR="00C844BE" w:rsidRPr="003A3829" w:rsidRDefault="00C844BE" w:rsidP="00C844BE">
      <w:pPr>
        <w:tabs>
          <w:tab w:val="left" w:pos="4284"/>
        </w:tabs>
        <w:spacing w:after="120"/>
        <w:contextualSpacing/>
        <w:jc w:val="both"/>
        <w:rPr>
          <w:rFonts w:ascii="Arial" w:hAnsi="Arial" w:cs="Arial"/>
          <w:sz w:val="22"/>
          <w:szCs w:val="22"/>
          <w:u w:val="single"/>
        </w:rPr>
      </w:pPr>
    </w:p>
    <w:p w14:paraId="2136FAF7" w14:textId="6C61223B" w:rsidR="00C844BE" w:rsidRPr="003A3829" w:rsidRDefault="00C844BE" w:rsidP="00C844BE">
      <w:pPr>
        <w:tabs>
          <w:tab w:val="left" w:pos="4284"/>
        </w:tabs>
        <w:spacing w:after="120"/>
        <w:contextualSpacing/>
        <w:jc w:val="both"/>
        <w:rPr>
          <w:rFonts w:ascii="Arial" w:hAnsi="Arial" w:cs="Arial"/>
          <w:sz w:val="22"/>
          <w:szCs w:val="22"/>
        </w:rPr>
      </w:pPr>
      <w:r w:rsidRPr="003A3829">
        <w:rPr>
          <w:rFonts w:ascii="Arial" w:hAnsi="Arial" w:cs="Arial"/>
          <w:sz w:val="22"/>
          <w:szCs w:val="22"/>
          <w:u w:val="single"/>
        </w:rPr>
        <w:t>Ambiti di competenza ed esperienza degli esperti:</w:t>
      </w:r>
      <w:r w:rsidRPr="003A3829">
        <w:rPr>
          <w:rFonts w:ascii="Arial" w:hAnsi="Arial" w:cs="Arial"/>
          <w:sz w:val="22"/>
          <w:szCs w:val="22"/>
        </w:rPr>
        <w:t xml:space="preserve"> </w:t>
      </w:r>
      <w:r w:rsidRPr="003A3829">
        <w:rPr>
          <w:rFonts w:ascii="Arial" w:hAnsi="Arial" w:cs="Arial"/>
          <w:sz w:val="22"/>
          <w:szCs w:val="22"/>
        </w:rPr>
        <w:tab/>
      </w:r>
      <w:r w:rsidRPr="003A3829">
        <w:rPr>
          <w:rFonts w:ascii="Arial" w:hAnsi="Arial" w:cs="Arial"/>
          <w:sz w:val="22"/>
          <w:szCs w:val="22"/>
        </w:rPr>
        <w:br/>
        <w:t>Le competenze relative a metodi e strumenti che devono essere presenti all’interno de</w:t>
      </w:r>
      <w:r w:rsidR="001B0AB7">
        <w:rPr>
          <w:rFonts w:ascii="Arial" w:hAnsi="Arial" w:cs="Arial"/>
          <w:sz w:val="22"/>
          <w:szCs w:val="22"/>
        </w:rPr>
        <w:t>l</w:t>
      </w:r>
      <w:r w:rsidRPr="003A3829">
        <w:rPr>
          <w:rFonts w:ascii="Arial" w:hAnsi="Arial" w:cs="Arial"/>
          <w:sz w:val="22"/>
          <w:szCs w:val="22"/>
        </w:rPr>
        <w:t xml:space="preserve"> Gruppo di Lavoro (GdL) sono: analisi settoriali e territoriali; ricerca sociale, monitoraggio e valutazione di programmi pubblici; elaborazione di dati statistici; elaborazioni informatiche e cartografiche; analisi delle perfomance della PA; comunicazione di politiche pubbliche.</w:t>
      </w:r>
    </w:p>
    <w:p w14:paraId="554691BF" w14:textId="77777777" w:rsidR="00C844BE" w:rsidRPr="003A3829" w:rsidRDefault="00C844BE" w:rsidP="00C844BE">
      <w:pPr>
        <w:tabs>
          <w:tab w:val="left" w:pos="4284"/>
        </w:tabs>
        <w:spacing w:after="120"/>
        <w:contextualSpacing/>
        <w:jc w:val="both"/>
        <w:rPr>
          <w:rFonts w:ascii="Arial" w:hAnsi="Arial" w:cs="Arial"/>
          <w:sz w:val="22"/>
          <w:szCs w:val="22"/>
        </w:rPr>
      </w:pPr>
      <w:r w:rsidRPr="003A3829">
        <w:rPr>
          <w:rFonts w:ascii="Arial" w:hAnsi="Arial" w:cs="Arial"/>
          <w:sz w:val="22"/>
          <w:szCs w:val="22"/>
        </w:rPr>
        <w:t xml:space="preserve">I temi sui quali sono state acquisite le competenze all’interno del GdL sono: politiche comunitarie con focus sulla PAC; VAS; competitività rurale e dei sistemi locali; progettazione integrata territoriale, incluso LEADER; strumenti finanziari; gestione del rischio; politiche di sostegno dell’imprenditorialità giovanile in agricoltura; politiche di sostegno allo sviluppo del capitale umano; politiche di sostegno ai sistemi locali della conoscenza e dell’innovazione; politiche ambientali; agroambiente, sistemi forestali, cambiamenti climatici; politiche sociali e del lavoro. </w:t>
      </w:r>
    </w:p>
    <w:p w14:paraId="0F523930" w14:textId="77777777" w:rsidR="00C844BE" w:rsidRPr="003A3829" w:rsidRDefault="00C844BE" w:rsidP="00C844BE">
      <w:pPr>
        <w:tabs>
          <w:tab w:val="left" w:pos="4284"/>
        </w:tabs>
        <w:spacing w:after="120"/>
        <w:contextualSpacing/>
        <w:jc w:val="both"/>
        <w:rPr>
          <w:rFonts w:ascii="Arial" w:hAnsi="Arial" w:cs="Arial"/>
          <w:sz w:val="22"/>
          <w:szCs w:val="22"/>
        </w:rPr>
      </w:pPr>
    </w:p>
    <w:p w14:paraId="60689005" w14:textId="0AB526B1" w:rsidR="00C844BE" w:rsidRPr="003A3829" w:rsidRDefault="00C844BE" w:rsidP="00C844BE">
      <w:pPr>
        <w:tabs>
          <w:tab w:val="left" w:pos="4284"/>
        </w:tabs>
        <w:spacing w:after="120"/>
        <w:contextualSpacing/>
        <w:jc w:val="both"/>
        <w:rPr>
          <w:rFonts w:ascii="Arial" w:hAnsi="Arial" w:cs="Arial"/>
          <w:sz w:val="22"/>
          <w:szCs w:val="22"/>
          <w:u w:val="single"/>
        </w:rPr>
      </w:pPr>
      <w:r w:rsidRPr="003A3829">
        <w:rPr>
          <w:rFonts w:ascii="Arial" w:hAnsi="Arial" w:cs="Arial"/>
          <w:sz w:val="22"/>
          <w:szCs w:val="22"/>
          <w:u w:val="single"/>
        </w:rPr>
        <w:t>Composizione del G</w:t>
      </w:r>
      <w:r w:rsidR="009E55D5">
        <w:rPr>
          <w:rFonts w:ascii="Arial" w:hAnsi="Arial" w:cs="Arial"/>
          <w:sz w:val="22"/>
          <w:szCs w:val="22"/>
          <w:u w:val="single"/>
        </w:rPr>
        <w:t>ruppo di Lavoro (G</w:t>
      </w:r>
      <w:r w:rsidRPr="003A3829">
        <w:rPr>
          <w:rFonts w:ascii="Arial" w:hAnsi="Arial" w:cs="Arial"/>
          <w:sz w:val="22"/>
          <w:szCs w:val="22"/>
          <w:u w:val="single"/>
        </w:rPr>
        <w:t>dL</w:t>
      </w:r>
      <w:r w:rsidR="009E55D5">
        <w:rPr>
          <w:rFonts w:ascii="Arial" w:hAnsi="Arial" w:cs="Arial"/>
          <w:sz w:val="22"/>
          <w:szCs w:val="22"/>
          <w:u w:val="single"/>
        </w:rPr>
        <w:t>)</w:t>
      </w:r>
    </w:p>
    <w:p w14:paraId="266A08C1" w14:textId="77777777" w:rsidR="00C844BE" w:rsidRPr="003A3829" w:rsidRDefault="00C844BE" w:rsidP="00C844BE">
      <w:pPr>
        <w:tabs>
          <w:tab w:val="left" w:pos="4284"/>
        </w:tabs>
        <w:spacing w:after="120"/>
        <w:contextualSpacing/>
        <w:jc w:val="both"/>
        <w:rPr>
          <w:rFonts w:ascii="Arial" w:hAnsi="Arial" w:cs="Arial"/>
          <w:sz w:val="22"/>
          <w:szCs w:val="22"/>
        </w:rPr>
      </w:pPr>
      <w:r w:rsidRPr="003A3829">
        <w:rPr>
          <w:rFonts w:ascii="Arial" w:hAnsi="Arial" w:cs="Arial"/>
          <w:sz w:val="22"/>
          <w:szCs w:val="22"/>
        </w:rPr>
        <w:t xml:space="preserve">La composizione del GdL </w:t>
      </w:r>
      <w:r w:rsidRPr="00BB30CA">
        <w:rPr>
          <w:rFonts w:ascii="Arial" w:hAnsi="Arial" w:cs="Arial"/>
          <w:sz w:val="22"/>
          <w:szCs w:val="22"/>
        </w:rPr>
        <w:t>selezionata nel rispetto dei principi di parità di trattamento e non discriminazione,</w:t>
      </w:r>
      <w:r>
        <w:rPr>
          <w:rFonts w:ascii="Arial" w:hAnsi="Arial" w:cs="Arial"/>
          <w:color w:val="008000"/>
          <w:sz w:val="22"/>
          <w:szCs w:val="22"/>
        </w:rPr>
        <w:t xml:space="preserve"> </w:t>
      </w:r>
      <w:r w:rsidRPr="003A3829">
        <w:rPr>
          <w:rFonts w:ascii="Arial" w:hAnsi="Arial" w:cs="Arial"/>
          <w:sz w:val="22"/>
          <w:szCs w:val="22"/>
        </w:rPr>
        <w:t>dovrebbe garantire un buon equilibrio tra competenze ed esperienze maturate nell’ambito della PAC in generale e su specifici temi strategici del PSR, oltre che sulle altre politiche. Il gruppo di lavoro dovrebbe includere almeno le seguenti professionalità:</w:t>
      </w:r>
    </w:p>
    <w:p w14:paraId="4CDE8E08" w14:textId="0ABC3A58" w:rsidR="00C844BE" w:rsidRPr="003A3829" w:rsidRDefault="00C844BE" w:rsidP="001241A7">
      <w:pPr>
        <w:pStyle w:val="Paragrafoelenco"/>
        <w:numPr>
          <w:ilvl w:val="0"/>
          <w:numId w:val="14"/>
        </w:numPr>
        <w:tabs>
          <w:tab w:val="left" w:pos="4284"/>
        </w:tabs>
        <w:spacing w:after="120"/>
        <w:jc w:val="both"/>
        <w:rPr>
          <w:rFonts w:ascii="Arial" w:hAnsi="Arial" w:cs="Arial"/>
          <w:sz w:val="22"/>
          <w:szCs w:val="22"/>
        </w:rPr>
      </w:pPr>
      <w:r w:rsidRPr="003A3829">
        <w:rPr>
          <w:rFonts w:ascii="Arial" w:hAnsi="Arial" w:cs="Arial"/>
          <w:sz w:val="22"/>
          <w:szCs w:val="22"/>
        </w:rPr>
        <w:t>un esperto con funzioni di capo progetto e con esperienza nell’attività di valutazione di programmi comunitari e politiche pubbliche con almeno 10 anni di esperienza (componente senior) nell’ambito della programmazione comunitaria dello sviluppo rurale ed almeno una esperienza di coordinamento (responsabile del servizio) di un servizio valutazione di un Programma di Sviluppo Rurale (FEASR)</w:t>
      </w:r>
      <w:r w:rsidR="00DC2FAB">
        <w:rPr>
          <w:rFonts w:ascii="Arial" w:hAnsi="Arial" w:cs="Arial"/>
          <w:sz w:val="22"/>
          <w:szCs w:val="22"/>
        </w:rPr>
        <w:t>;</w:t>
      </w:r>
    </w:p>
    <w:p w14:paraId="10FBB269" w14:textId="73B68065" w:rsidR="00C844BE" w:rsidRPr="003A3829" w:rsidRDefault="00C844BE" w:rsidP="001241A7">
      <w:pPr>
        <w:pStyle w:val="Paragrafoelenco"/>
        <w:numPr>
          <w:ilvl w:val="0"/>
          <w:numId w:val="14"/>
        </w:numPr>
        <w:tabs>
          <w:tab w:val="left" w:pos="4284"/>
        </w:tabs>
        <w:spacing w:after="120"/>
        <w:jc w:val="both"/>
        <w:rPr>
          <w:rFonts w:ascii="Arial" w:hAnsi="Arial" w:cs="Arial"/>
          <w:sz w:val="22"/>
          <w:szCs w:val="22"/>
        </w:rPr>
      </w:pPr>
      <w:r w:rsidRPr="003A3829">
        <w:rPr>
          <w:rFonts w:ascii="Arial" w:hAnsi="Arial" w:cs="Arial"/>
          <w:sz w:val="22"/>
          <w:szCs w:val="22"/>
        </w:rPr>
        <w:t xml:space="preserve">un esperto di attività di valutazione di programmi cofinanziati da Fondi comunitari, con almeno 7 anni di esperienza (componente senior) nell’ambito della programmazione comunitaria dello sviluppo rurale – area competitività </w:t>
      </w:r>
      <w:r w:rsidR="00DC2FAB">
        <w:rPr>
          <w:rFonts w:ascii="Arial" w:hAnsi="Arial" w:cs="Arial"/>
          <w:sz w:val="22"/>
          <w:szCs w:val="22"/>
        </w:rPr>
        <w:t>delle imprese e sviluppo locale;</w:t>
      </w:r>
    </w:p>
    <w:p w14:paraId="22F81008" w14:textId="3B68AA16" w:rsidR="00C844BE" w:rsidRPr="003A3829" w:rsidRDefault="00C844BE" w:rsidP="001241A7">
      <w:pPr>
        <w:pStyle w:val="Paragrafoelenco"/>
        <w:numPr>
          <w:ilvl w:val="0"/>
          <w:numId w:val="14"/>
        </w:numPr>
        <w:tabs>
          <w:tab w:val="left" w:pos="4284"/>
        </w:tabs>
        <w:spacing w:after="120"/>
        <w:jc w:val="both"/>
        <w:rPr>
          <w:rFonts w:ascii="Arial" w:hAnsi="Arial" w:cs="Arial"/>
          <w:sz w:val="22"/>
          <w:szCs w:val="22"/>
        </w:rPr>
      </w:pPr>
      <w:r w:rsidRPr="003A3829">
        <w:rPr>
          <w:rFonts w:ascii="Arial" w:hAnsi="Arial" w:cs="Arial"/>
          <w:sz w:val="22"/>
          <w:szCs w:val="22"/>
        </w:rPr>
        <w:t>un esperto di attività di valutazione di programmi cofinanziati da Fondi comunitari, con almeno 7 anni di esperienza (componente senior) nell’ambito della programmazione comunitaria dello sviluppo rurale – area sviluppo sostenibile delle imprese e del territorio e tutela ambientale</w:t>
      </w:r>
      <w:r w:rsidR="00DC2FAB">
        <w:rPr>
          <w:rFonts w:ascii="Arial" w:hAnsi="Arial" w:cs="Arial"/>
          <w:sz w:val="22"/>
          <w:szCs w:val="22"/>
        </w:rPr>
        <w:t>;</w:t>
      </w:r>
      <w:r w:rsidRPr="003A3829">
        <w:rPr>
          <w:rFonts w:ascii="Arial" w:hAnsi="Arial" w:cs="Arial"/>
          <w:sz w:val="22"/>
          <w:szCs w:val="22"/>
        </w:rPr>
        <w:t xml:space="preserve"> </w:t>
      </w:r>
    </w:p>
    <w:p w14:paraId="218BCAFD" w14:textId="3951F086" w:rsidR="00C844BE" w:rsidRPr="003A3829" w:rsidRDefault="00C844BE" w:rsidP="001241A7">
      <w:pPr>
        <w:pStyle w:val="Paragrafoelenco"/>
        <w:numPr>
          <w:ilvl w:val="0"/>
          <w:numId w:val="14"/>
        </w:numPr>
        <w:tabs>
          <w:tab w:val="left" w:pos="4284"/>
        </w:tabs>
        <w:spacing w:after="120"/>
        <w:jc w:val="both"/>
        <w:rPr>
          <w:rFonts w:ascii="Arial" w:hAnsi="Arial" w:cs="Arial"/>
          <w:sz w:val="22"/>
          <w:szCs w:val="22"/>
        </w:rPr>
      </w:pPr>
      <w:r w:rsidRPr="003A3829">
        <w:rPr>
          <w:rFonts w:ascii="Arial" w:hAnsi="Arial" w:cs="Arial"/>
          <w:sz w:val="22"/>
          <w:szCs w:val="22"/>
        </w:rPr>
        <w:t>un esperto di sistemi informativi a supporto delle attività di valutazione di programmi cofinanziati da Fondi comunitari, con almeno 7 anni di esperienza (componente senior)</w:t>
      </w:r>
      <w:r w:rsidR="00DC2FAB">
        <w:rPr>
          <w:rFonts w:ascii="Arial" w:hAnsi="Arial" w:cs="Arial"/>
          <w:sz w:val="22"/>
          <w:szCs w:val="22"/>
        </w:rPr>
        <w:t>;</w:t>
      </w:r>
      <w:r w:rsidRPr="003A3829">
        <w:rPr>
          <w:rFonts w:ascii="Arial" w:hAnsi="Arial" w:cs="Arial"/>
          <w:sz w:val="22"/>
          <w:szCs w:val="22"/>
        </w:rPr>
        <w:t xml:space="preserve"> </w:t>
      </w:r>
    </w:p>
    <w:p w14:paraId="0AF71BB6" w14:textId="1785190D" w:rsidR="00C844BE" w:rsidRPr="003A3829" w:rsidRDefault="00C844BE" w:rsidP="001241A7">
      <w:pPr>
        <w:pStyle w:val="Paragrafoelenco"/>
        <w:numPr>
          <w:ilvl w:val="0"/>
          <w:numId w:val="14"/>
        </w:numPr>
        <w:tabs>
          <w:tab w:val="left" w:pos="4284"/>
        </w:tabs>
        <w:spacing w:after="120"/>
        <w:jc w:val="both"/>
        <w:rPr>
          <w:rFonts w:ascii="Arial" w:hAnsi="Arial" w:cs="Arial"/>
          <w:sz w:val="22"/>
          <w:szCs w:val="22"/>
        </w:rPr>
      </w:pPr>
      <w:r w:rsidRPr="003A3829">
        <w:rPr>
          <w:rFonts w:ascii="Arial" w:hAnsi="Arial" w:cs="Arial"/>
          <w:sz w:val="22"/>
          <w:szCs w:val="22"/>
        </w:rPr>
        <w:t>un esperto agronomo con almeno 7 anni di esperienza (componente senior) nell’ambito delle tematiche agro climatiche ambientali dello sviluppo rurale ed almeno una esperienza di lavoro nell’ambito di un servizio valutazione di un Programma di Sviluppo Rurale (FEASR)</w:t>
      </w:r>
      <w:r w:rsidR="00DC2FAB">
        <w:rPr>
          <w:rFonts w:ascii="Arial" w:hAnsi="Arial" w:cs="Arial"/>
          <w:sz w:val="22"/>
          <w:szCs w:val="22"/>
        </w:rPr>
        <w:t>;</w:t>
      </w:r>
      <w:r w:rsidRPr="003A3829">
        <w:rPr>
          <w:rFonts w:ascii="Arial" w:hAnsi="Arial" w:cs="Arial"/>
          <w:sz w:val="22"/>
          <w:szCs w:val="22"/>
        </w:rPr>
        <w:t xml:space="preserve"> </w:t>
      </w:r>
    </w:p>
    <w:p w14:paraId="44EED9C0" w14:textId="77777777" w:rsidR="00C844BE" w:rsidRPr="003A3829" w:rsidRDefault="00C844BE" w:rsidP="001241A7">
      <w:pPr>
        <w:pStyle w:val="Paragrafoelenco"/>
        <w:numPr>
          <w:ilvl w:val="0"/>
          <w:numId w:val="14"/>
        </w:numPr>
        <w:tabs>
          <w:tab w:val="left" w:pos="4284"/>
        </w:tabs>
        <w:spacing w:after="120"/>
        <w:jc w:val="both"/>
        <w:rPr>
          <w:rFonts w:ascii="Arial" w:hAnsi="Arial" w:cs="Arial"/>
          <w:sz w:val="22"/>
          <w:szCs w:val="22"/>
        </w:rPr>
      </w:pPr>
      <w:r w:rsidRPr="003A3829">
        <w:rPr>
          <w:rFonts w:ascii="Arial" w:hAnsi="Arial" w:cs="Arial"/>
          <w:sz w:val="22"/>
          <w:szCs w:val="22"/>
        </w:rPr>
        <w:t xml:space="preserve">un esperto forestale con almeno 7 anni di esperienza (componente senior) nell’ambito delle tematiche agro climatiche ambientali dello sviluppo rurale ed almeno una esperienza di lavoro nell’ambito di un servizio valutazione di un Programma di Sviluppo Rurale (FEASR) </w:t>
      </w:r>
    </w:p>
    <w:p w14:paraId="1A248347" w14:textId="01088249" w:rsidR="00C844BE" w:rsidRPr="003A3829" w:rsidRDefault="00C844BE" w:rsidP="001241A7">
      <w:pPr>
        <w:pStyle w:val="Paragrafoelenco"/>
        <w:numPr>
          <w:ilvl w:val="0"/>
          <w:numId w:val="14"/>
        </w:numPr>
        <w:tabs>
          <w:tab w:val="left" w:pos="4284"/>
        </w:tabs>
        <w:spacing w:after="120"/>
        <w:jc w:val="both"/>
        <w:rPr>
          <w:rFonts w:ascii="Arial" w:hAnsi="Arial" w:cs="Arial"/>
          <w:sz w:val="22"/>
          <w:szCs w:val="22"/>
        </w:rPr>
      </w:pPr>
      <w:r w:rsidRPr="003A3829">
        <w:rPr>
          <w:rFonts w:ascii="Arial" w:hAnsi="Arial" w:cs="Arial"/>
          <w:sz w:val="22"/>
          <w:szCs w:val="22"/>
        </w:rPr>
        <w:t>due esperti con almeno una esperienza di lavoro (componente junior) nell’ambito di un servizio di valutazione di un Progr</w:t>
      </w:r>
      <w:r w:rsidR="00DC2FAB">
        <w:rPr>
          <w:rFonts w:ascii="Arial" w:hAnsi="Arial" w:cs="Arial"/>
          <w:sz w:val="22"/>
          <w:szCs w:val="22"/>
        </w:rPr>
        <w:t>amma di Sviluppo Rurale (FEASR);</w:t>
      </w:r>
    </w:p>
    <w:p w14:paraId="2419A501" w14:textId="3E7ADD65" w:rsidR="00C844BE" w:rsidRPr="000132DA" w:rsidRDefault="00C844BE" w:rsidP="001241A7">
      <w:pPr>
        <w:pStyle w:val="Paragrafoelenco"/>
        <w:numPr>
          <w:ilvl w:val="0"/>
          <w:numId w:val="14"/>
        </w:numPr>
        <w:tabs>
          <w:tab w:val="left" w:pos="4284"/>
        </w:tabs>
        <w:spacing w:after="120"/>
        <w:jc w:val="both"/>
        <w:rPr>
          <w:rFonts w:ascii="Arial" w:hAnsi="Arial" w:cs="Arial"/>
          <w:sz w:val="22"/>
          <w:szCs w:val="22"/>
        </w:rPr>
      </w:pPr>
      <w:r w:rsidRPr="003A3829">
        <w:rPr>
          <w:rFonts w:ascii="Arial" w:hAnsi="Arial" w:cs="Arial"/>
          <w:sz w:val="22"/>
          <w:szCs w:val="22"/>
        </w:rPr>
        <w:t>un esperto in sviluppo locale con almeno 7 anni di esperienza (componente senior)</w:t>
      </w:r>
      <w:r w:rsidR="00DC2FAB">
        <w:rPr>
          <w:rFonts w:ascii="Arial" w:hAnsi="Arial" w:cs="Arial"/>
          <w:sz w:val="22"/>
          <w:szCs w:val="22"/>
        </w:rPr>
        <w:t>.</w:t>
      </w:r>
    </w:p>
    <w:p w14:paraId="06DBE24C" w14:textId="77777777" w:rsidR="00C844BE" w:rsidRPr="00BB30CA" w:rsidRDefault="00C844BE" w:rsidP="00C844BE">
      <w:pPr>
        <w:tabs>
          <w:tab w:val="left" w:pos="4284"/>
        </w:tabs>
        <w:spacing w:after="120"/>
        <w:jc w:val="both"/>
        <w:rPr>
          <w:rFonts w:ascii="Arial" w:eastAsia="Times New Roman" w:hAnsi="Arial" w:cs="Arial"/>
          <w:color w:val="000000"/>
          <w:sz w:val="22"/>
          <w:szCs w:val="22"/>
        </w:rPr>
      </w:pPr>
      <w:r w:rsidRPr="00BB30CA">
        <w:rPr>
          <w:rFonts w:ascii="Arial" w:eastAsia="Times New Roman" w:hAnsi="Arial" w:cs="Arial"/>
          <w:color w:val="000000"/>
          <w:sz w:val="22"/>
          <w:szCs w:val="22"/>
        </w:rPr>
        <w:t xml:space="preserve">E’ richiesta una buona conoscenza della lingua inglese per almeno due dei membri del Gruppo di Lavoro e un’ottima conoscenza della lingua inglese per almeno un membro del Gruppo di Lavoro. </w:t>
      </w:r>
    </w:p>
    <w:p w14:paraId="3C85234D" w14:textId="77777777" w:rsidR="00C844BE" w:rsidRDefault="00C844BE" w:rsidP="00C844BE">
      <w:pPr>
        <w:pStyle w:val="Default"/>
        <w:spacing w:after="120"/>
        <w:contextualSpacing/>
        <w:jc w:val="both"/>
        <w:rPr>
          <w:sz w:val="22"/>
          <w:szCs w:val="22"/>
        </w:rPr>
      </w:pPr>
      <w:r w:rsidRPr="003A3829">
        <w:rPr>
          <w:sz w:val="22"/>
          <w:szCs w:val="22"/>
        </w:rPr>
        <w:t>I componenti del gruppo di lavoro non potranno essere sostituiti a meno della presentazione di professionalità equivalenti o superiori a quelli posseduti dai componenti al momento della selezione. Tali componenti si potranno sostituire soltanto a seguito del parere positivo espresso dall’Amministrazione regionale. La sostituzione non dovrà in ogni caso pregiudicare lo svolgimento delle attività di valutazione.</w:t>
      </w:r>
    </w:p>
    <w:p w14:paraId="5AA80275" w14:textId="77777777" w:rsidR="00C844BE" w:rsidRPr="003A3829" w:rsidRDefault="00C844BE" w:rsidP="00C844BE">
      <w:pPr>
        <w:pStyle w:val="Default"/>
        <w:spacing w:after="120"/>
        <w:contextualSpacing/>
        <w:jc w:val="both"/>
        <w:rPr>
          <w:color w:val="auto"/>
          <w:sz w:val="22"/>
          <w:szCs w:val="22"/>
        </w:rPr>
      </w:pPr>
      <w:r w:rsidRPr="003A3829">
        <w:rPr>
          <w:color w:val="auto"/>
          <w:sz w:val="22"/>
          <w:szCs w:val="22"/>
        </w:rPr>
        <w:t>Si precisa che una stessa persona non può rappresentare più di due dei profili professionali sopra elencati. In caso di aggiudicazione, ciascun componente del gruppo di lavoro si impegna a non assumere nel periodo di vigenza del contratto incarichi in conflitto di interesse con l’attività oggetto del presente servizio. Nello specifico l</w:t>
      </w:r>
      <w:r w:rsidRPr="003A3829">
        <w:rPr>
          <w:sz w:val="22"/>
          <w:szCs w:val="22"/>
        </w:rPr>
        <w:t xml:space="preserve">’appaltatore deve garantire, in corso d’opera, il permanere delle condizioni di ammissibilità dichiarate all’atto del bando di gara ed in particolare dovrà assumere i seguenti impegni: </w:t>
      </w:r>
    </w:p>
    <w:p w14:paraId="7A733943" w14:textId="708AE6E2" w:rsidR="00C844BE" w:rsidRPr="00A9373D" w:rsidRDefault="00C844BE" w:rsidP="001241A7">
      <w:pPr>
        <w:pStyle w:val="Default"/>
        <w:numPr>
          <w:ilvl w:val="0"/>
          <w:numId w:val="16"/>
        </w:numPr>
        <w:spacing w:after="120"/>
        <w:contextualSpacing/>
        <w:jc w:val="both"/>
        <w:rPr>
          <w:rFonts w:eastAsiaTheme="minorEastAsia"/>
          <w:color w:val="auto"/>
          <w:sz w:val="22"/>
          <w:szCs w:val="22"/>
        </w:rPr>
      </w:pPr>
      <w:r w:rsidRPr="00A9373D">
        <w:rPr>
          <w:rFonts w:eastAsiaTheme="minorEastAsia"/>
          <w:color w:val="auto"/>
          <w:sz w:val="22"/>
          <w:szCs w:val="22"/>
        </w:rPr>
        <w:t>astenersi dall’essere titolare di richieste di contributi in qualità di beneficiario a valere sul PSR 2014-2020 della Regione Umbria</w:t>
      </w:r>
      <w:r w:rsidR="00D81B95">
        <w:rPr>
          <w:rFonts w:eastAsiaTheme="minorEastAsia"/>
          <w:color w:val="auto"/>
          <w:sz w:val="22"/>
          <w:szCs w:val="22"/>
        </w:rPr>
        <w:t xml:space="preserve"> ed inoltre</w:t>
      </w:r>
      <w:r w:rsidRPr="00A9373D">
        <w:rPr>
          <w:rFonts w:eastAsiaTheme="minorEastAsia"/>
          <w:color w:val="auto"/>
          <w:sz w:val="22"/>
          <w:szCs w:val="22"/>
        </w:rPr>
        <w:t xml:space="preserve"> le persone che collaboreranno nell’esecuzione della valutazione </w:t>
      </w:r>
      <w:r w:rsidRPr="00D81B95">
        <w:rPr>
          <w:rFonts w:eastAsiaTheme="minorEastAsia"/>
          <w:color w:val="auto"/>
          <w:sz w:val="22"/>
          <w:szCs w:val="22"/>
        </w:rPr>
        <w:t>non potranno collaborare con soggetti terzi alla presentazione di progetti cofinanziati dal Programma cui si riferisce il presente servizio;</w:t>
      </w:r>
      <w:r w:rsidRPr="00D81B95">
        <w:rPr>
          <w:rFonts w:eastAsiaTheme="minorEastAsia"/>
          <w:color w:val="FF0000"/>
          <w:sz w:val="22"/>
          <w:szCs w:val="22"/>
        </w:rPr>
        <w:t xml:space="preserve"> </w:t>
      </w:r>
    </w:p>
    <w:p w14:paraId="3168BBB9" w14:textId="77777777" w:rsidR="00C844BE" w:rsidRPr="00A9373D" w:rsidRDefault="00C844BE" w:rsidP="001241A7">
      <w:pPr>
        <w:pStyle w:val="Default"/>
        <w:numPr>
          <w:ilvl w:val="0"/>
          <w:numId w:val="16"/>
        </w:numPr>
        <w:spacing w:after="120"/>
        <w:contextualSpacing/>
        <w:jc w:val="both"/>
        <w:rPr>
          <w:rFonts w:eastAsiaTheme="minorEastAsia"/>
          <w:color w:val="auto"/>
          <w:sz w:val="22"/>
          <w:szCs w:val="22"/>
        </w:rPr>
      </w:pPr>
      <w:r>
        <w:rPr>
          <w:rFonts w:eastAsiaTheme="minorEastAsia"/>
          <w:color w:val="auto"/>
          <w:sz w:val="22"/>
          <w:szCs w:val="22"/>
        </w:rPr>
        <w:t xml:space="preserve">astenersi dal </w:t>
      </w:r>
      <w:r w:rsidRPr="00A9373D">
        <w:rPr>
          <w:rFonts w:eastAsiaTheme="minorEastAsia"/>
          <w:color w:val="auto"/>
          <w:sz w:val="22"/>
          <w:szCs w:val="22"/>
        </w:rPr>
        <w:t xml:space="preserve">collaborare con l’organismo pagatore AGEA per le attività di controllo </w:t>
      </w:r>
      <w:r>
        <w:rPr>
          <w:rFonts w:eastAsiaTheme="minorEastAsia"/>
          <w:color w:val="auto"/>
          <w:sz w:val="22"/>
          <w:szCs w:val="22"/>
        </w:rPr>
        <w:t>in loco ed ex post sulle domande</w:t>
      </w:r>
      <w:r w:rsidRPr="00A9373D">
        <w:rPr>
          <w:rFonts w:eastAsiaTheme="minorEastAsia"/>
          <w:color w:val="auto"/>
          <w:sz w:val="22"/>
          <w:szCs w:val="22"/>
        </w:rPr>
        <w:t xml:space="preserve"> del PSR 2014 – 2020 della Regione Umbria</w:t>
      </w:r>
      <w:r>
        <w:rPr>
          <w:rFonts w:eastAsiaTheme="minorEastAsia"/>
          <w:color w:val="auto"/>
          <w:sz w:val="22"/>
          <w:szCs w:val="22"/>
        </w:rPr>
        <w:t>.</w:t>
      </w:r>
    </w:p>
    <w:p w14:paraId="19F66FC4" w14:textId="6B2B0B3E" w:rsidR="00C844BE" w:rsidRPr="003A3829" w:rsidRDefault="00C844BE" w:rsidP="00C844BE">
      <w:pPr>
        <w:pStyle w:val="Default"/>
        <w:spacing w:after="120"/>
        <w:contextualSpacing/>
        <w:jc w:val="both"/>
        <w:rPr>
          <w:color w:val="auto"/>
          <w:sz w:val="22"/>
          <w:szCs w:val="22"/>
        </w:rPr>
      </w:pPr>
      <w:r w:rsidRPr="003A3829">
        <w:rPr>
          <w:color w:val="auto"/>
          <w:sz w:val="22"/>
          <w:szCs w:val="22"/>
        </w:rPr>
        <w:t>Inoltre il concorrente e ciascun componente del gruppo di lavoro di cui sopra devono risultare indipendenti dall’Amministrazione regionale nel senso che non devono assumere per la durata dell’incarico</w:t>
      </w:r>
      <w:r w:rsidR="00686752">
        <w:rPr>
          <w:color w:val="auto"/>
          <w:sz w:val="22"/>
          <w:szCs w:val="22"/>
        </w:rPr>
        <w:t>,</w:t>
      </w:r>
      <w:r w:rsidR="00E62F7F">
        <w:rPr>
          <w:color w:val="auto"/>
          <w:sz w:val="22"/>
          <w:szCs w:val="22"/>
        </w:rPr>
        <w:t xml:space="preserve"> </w:t>
      </w:r>
      <w:r w:rsidRPr="003A3829">
        <w:rPr>
          <w:color w:val="auto"/>
          <w:sz w:val="22"/>
          <w:szCs w:val="22"/>
        </w:rPr>
        <w:t xml:space="preserve">direttamente o indirettamente, incarichi dall’Amministrazione regionale per </w:t>
      </w:r>
      <w:r w:rsidRPr="00E62F7F">
        <w:rPr>
          <w:color w:val="auto"/>
          <w:sz w:val="22"/>
          <w:szCs w:val="22"/>
        </w:rPr>
        <w:t>servizi di valutazione</w:t>
      </w:r>
      <w:r w:rsidRPr="003A3829">
        <w:rPr>
          <w:color w:val="auto"/>
          <w:sz w:val="22"/>
          <w:szCs w:val="22"/>
        </w:rPr>
        <w:t xml:space="preserve">, consulenza, progettazione, </w:t>
      </w:r>
      <w:r w:rsidR="002F2651">
        <w:rPr>
          <w:color w:val="auto"/>
          <w:sz w:val="22"/>
          <w:szCs w:val="22"/>
        </w:rPr>
        <w:t xml:space="preserve">controlli, </w:t>
      </w:r>
      <w:r w:rsidRPr="003A3829">
        <w:rPr>
          <w:color w:val="auto"/>
          <w:sz w:val="22"/>
          <w:szCs w:val="22"/>
        </w:rPr>
        <w:t>assistenza tecnica e monitoraggio per attività finanziate dal P</w:t>
      </w:r>
      <w:r w:rsidR="00D81B95">
        <w:rPr>
          <w:color w:val="auto"/>
          <w:sz w:val="22"/>
          <w:szCs w:val="22"/>
        </w:rPr>
        <w:t>SR</w:t>
      </w:r>
      <w:r w:rsidRPr="003A3829">
        <w:rPr>
          <w:color w:val="auto"/>
          <w:sz w:val="22"/>
          <w:szCs w:val="22"/>
        </w:rPr>
        <w:t xml:space="preserve"> dell’Umbria 2014-2020. </w:t>
      </w:r>
    </w:p>
    <w:p w14:paraId="1E2A7797" w14:textId="77777777" w:rsidR="00C844BE" w:rsidRDefault="00C844BE" w:rsidP="00C844BE">
      <w:pPr>
        <w:tabs>
          <w:tab w:val="left" w:pos="4284"/>
        </w:tabs>
        <w:spacing w:after="120"/>
        <w:contextualSpacing/>
        <w:jc w:val="both"/>
        <w:rPr>
          <w:rFonts w:ascii="Arial" w:hAnsi="Arial" w:cs="Arial"/>
          <w:sz w:val="22"/>
          <w:szCs w:val="22"/>
          <w:u w:val="single"/>
        </w:rPr>
      </w:pPr>
    </w:p>
    <w:p w14:paraId="08BEB45D" w14:textId="51A6F2DE" w:rsidR="00C844BE" w:rsidRDefault="00C844BE" w:rsidP="008A3F94">
      <w:pPr>
        <w:tabs>
          <w:tab w:val="left" w:pos="4284"/>
        </w:tabs>
        <w:spacing w:after="120"/>
        <w:contextualSpacing/>
        <w:jc w:val="both"/>
        <w:rPr>
          <w:rFonts w:ascii="Arial" w:hAnsi="Arial" w:cs="Arial"/>
          <w:sz w:val="22"/>
          <w:szCs w:val="22"/>
        </w:rPr>
      </w:pPr>
      <w:r w:rsidRPr="003A3829">
        <w:rPr>
          <w:rFonts w:ascii="Arial" w:hAnsi="Arial" w:cs="Arial"/>
          <w:sz w:val="22"/>
          <w:szCs w:val="22"/>
          <w:u w:val="single"/>
        </w:rPr>
        <w:t>Modalità di organizzazione</w:t>
      </w:r>
      <w:r w:rsidRPr="003A3829">
        <w:rPr>
          <w:rFonts w:ascii="Arial" w:hAnsi="Arial" w:cs="Arial"/>
          <w:sz w:val="22"/>
          <w:szCs w:val="22"/>
        </w:rPr>
        <w:t>:</w:t>
      </w:r>
    </w:p>
    <w:p w14:paraId="171A0876" w14:textId="77777777" w:rsidR="00C844BE" w:rsidRPr="00BB30CA" w:rsidRDefault="00C844BE" w:rsidP="00C844BE">
      <w:pPr>
        <w:autoSpaceDE w:val="0"/>
        <w:autoSpaceDN w:val="0"/>
        <w:adjustRightInd w:val="0"/>
        <w:jc w:val="both"/>
        <w:rPr>
          <w:rFonts w:ascii="Arial" w:eastAsia="Times New Roman" w:hAnsi="Arial" w:cs="Arial"/>
          <w:sz w:val="22"/>
          <w:szCs w:val="22"/>
        </w:rPr>
      </w:pPr>
      <w:r w:rsidRPr="00BB30CA">
        <w:rPr>
          <w:rFonts w:ascii="Arial" w:eastAsia="Times New Roman" w:hAnsi="Arial" w:cs="Arial"/>
          <w:sz w:val="22"/>
          <w:szCs w:val="22"/>
        </w:rPr>
        <w:t>Le prestazioni contrattuali saranno eseguite principalmente presso la sede dell’Aggiudicatario, fatta salva la possibilità della presenza del personale dedicato al servizio, per specifiche esigenze, presso le sedi della Regione Umbria e presso le sedi che ospitano riunioni ed incontri in Italia e anche all’estero.</w:t>
      </w:r>
    </w:p>
    <w:p w14:paraId="5CC364F1" w14:textId="799B1F8B" w:rsidR="00C844BE" w:rsidRPr="00BB30CA" w:rsidRDefault="00C844BE" w:rsidP="00C844BE">
      <w:pPr>
        <w:autoSpaceDE w:val="0"/>
        <w:autoSpaceDN w:val="0"/>
        <w:adjustRightInd w:val="0"/>
        <w:jc w:val="both"/>
        <w:rPr>
          <w:rFonts w:ascii="Arial" w:eastAsia="Times New Roman" w:hAnsi="Arial" w:cs="Arial"/>
          <w:sz w:val="22"/>
          <w:szCs w:val="22"/>
        </w:rPr>
      </w:pPr>
      <w:r w:rsidRPr="00BB30CA">
        <w:rPr>
          <w:rFonts w:ascii="Arial" w:eastAsia="Times New Roman" w:hAnsi="Arial" w:cs="Arial"/>
          <w:sz w:val="22"/>
          <w:szCs w:val="22"/>
        </w:rPr>
        <w:t>Il soggetto aggiudicatario deve inoltre garantire la presenza per 2</w:t>
      </w:r>
      <w:r w:rsidR="001214B5">
        <w:rPr>
          <w:rFonts w:ascii="Arial" w:eastAsia="Times New Roman" w:hAnsi="Arial" w:cs="Arial"/>
          <w:sz w:val="22"/>
          <w:szCs w:val="22"/>
        </w:rPr>
        <w:t>0</w:t>
      </w:r>
      <w:r w:rsidRPr="00BB30CA">
        <w:rPr>
          <w:rFonts w:ascii="Arial" w:eastAsia="Times New Roman" w:hAnsi="Arial" w:cs="Arial"/>
          <w:sz w:val="22"/>
          <w:szCs w:val="22"/>
        </w:rPr>
        <w:t>0 giornate/anno presso gli uffici regionali, di almeno una unità durante tutta la durata contrattuale secondo le esigenze della stazione appaltante e concordate all’inizio di ciascun anno solare.</w:t>
      </w:r>
    </w:p>
    <w:p w14:paraId="56B8109C" w14:textId="0EBB106C" w:rsidR="00C844BE" w:rsidRPr="00626AFF" w:rsidRDefault="00C844BE" w:rsidP="00626AFF">
      <w:pPr>
        <w:autoSpaceDE w:val="0"/>
        <w:autoSpaceDN w:val="0"/>
        <w:adjustRightInd w:val="0"/>
        <w:jc w:val="both"/>
        <w:rPr>
          <w:rFonts w:ascii="Arial" w:eastAsia="Times New Roman" w:hAnsi="Arial" w:cs="Arial"/>
          <w:sz w:val="22"/>
          <w:szCs w:val="22"/>
        </w:rPr>
      </w:pPr>
      <w:r w:rsidRPr="00BB30CA">
        <w:rPr>
          <w:rFonts w:ascii="Arial" w:eastAsia="Times New Roman" w:hAnsi="Arial" w:cs="Arial"/>
          <w:sz w:val="22"/>
          <w:szCs w:val="22"/>
        </w:rPr>
        <w:t>Sono a carico dell’Aggiudicatario, intendendosi ricompresi nei corrispettivi, le spese di trasferta</w:t>
      </w:r>
      <w:r w:rsidR="00626AFF">
        <w:rPr>
          <w:rFonts w:ascii="Arial" w:eastAsia="Times New Roman" w:hAnsi="Arial" w:cs="Arial"/>
          <w:sz w:val="22"/>
          <w:szCs w:val="22"/>
        </w:rPr>
        <w:t xml:space="preserve"> </w:t>
      </w:r>
      <w:r w:rsidRPr="00BB30CA">
        <w:rPr>
          <w:rFonts w:ascii="Arial" w:eastAsia="Times New Roman" w:hAnsi="Arial" w:cs="Arial"/>
          <w:sz w:val="22"/>
          <w:szCs w:val="22"/>
        </w:rPr>
        <w:t>relative alle attività e agli adempimenti occorrenti all’integrale esecuzione di tutte le attività e i</w:t>
      </w:r>
      <w:r w:rsidR="00626AFF">
        <w:rPr>
          <w:rFonts w:ascii="Arial" w:eastAsia="Times New Roman" w:hAnsi="Arial" w:cs="Arial"/>
          <w:sz w:val="22"/>
          <w:szCs w:val="22"/>
        </w:rPr>
        <w:t xml:space="preserve"> </w:t>
      </w:r>
      <w:r w:rsidRPr="00626AFF">
        <w:rPr>
          <w:rFonts w:ascii="Arial" w:eastAsia="Times New Roman" w:hAnsi="Arial" w:cs="Arial"/>
          <w:sz w:val="22"/>
          <w:szCs w:val="22"/>
        </w:rPr>
        <w:t>servizi oggetto del contratto.</w:t>
      </w:r>
      <w:r w:rsidR="00626AFF" w:rsidRPr="00626AFF">
        <w:rPr>
          <w:rFonts w:ascii="Arial" w:eastAsia="Times New Roman" w:hAnsi="Arial" w:cs="Arial"/>
          <w:sz w:val="22"/>
          <w:szCs w:val="22"/>
        </w:rPr>
        <w:t xml:space="preserve"> </w:t>
      </w:r>
      <w:r w:rsidRPr="00BB30CA">
        <w:rPr>
          <w:rFonts w:ascii="Arial" w:eastAsia="Times New Roman" w:hAnsi="Arial" w:cs="Arial"/>
          <w:sz w:val="22"/>
          <w:szCs w:val="22"/>
        </w:rPr>
        <w:t>Al valutatore potrà anche essere richiesto di garantire:</w:t>
      </w:r>
    </w:p>
    <w:p w14:paraId="6E621021" w14:textId="77777777" w:rsidR="00C844BE" w:rsidRPr="00BB30CA" w:rsidRDefault="00C844BE" w:rsidP="001241A7">
      <w:pPr>
        <w:pStyle w:val="Paragrafoelenco"/>
        <w:numPr>
          <w:ilvl w:val="0"/>
          <w:numId w:val="13"/>
        </w:numPr>
        <w:tabs>
          <w:tab w:val="left" w:pos="4284"/>
        </w:tabs>
        <w:spacing w:after="120"/>
        <w:jc w:val="both"/>
        <w:rPr>
          <w:rFonts w:ascii="Arial" w:eastAsia="Times New Roman" w:hAnsi="Arial" w:cs="Arial"/>
          <w:sz w:val="22"/>
          <w:szCs w:val="22"/>
        </w:rPr>
      </w:pPr>
      <w:r w:rsidRPr="00BB30CA">
        <w:rPr>
          <w:rFonts w:ascii="Arial" w:eastAsia="Times New Roman" w:hAnsi="Arial" w:cs="Arial"/>
          <w:sz w:val="22"/>
          <w:szCs w:val="22"/>
        </w:rPr>
        <w:t>la partecipazione a riunioni, convegni, seminari, attività di diffusione nell’ambito delle azioni di rete della CE e nazionali, anche in qualità di relatore,</w:t>
      </w:r>
    </w:p>
    <w:p w14:paraId="4311AB90" w14:textId="77777777" w:rsidR="00C844BE" w:rsidRPr="00BB30CA" w:rsidRDefault="00C844BE" w:rsidP="001241A7">
      <w:pPr>
        <w:pStyle w:val="Paragrafoelenco"/>
        <w:numPr>
          <w:ilvl w:val="0"/>
          <w:numId w:val="13"/>
        </w:numPr>
        <w:tabs>
          <w:tab w:val="left" w:pos="4284"/>
        </w:tabs>
        <w:spacing w:after="120"/>
        <w:jc w:val="both"/>
        <w:rPr>
          <w:rFonts w:ascii="Arial" w:eastAsia="Times New Roman" w:hAnsi="Arial" w:cs="Arial"/>
          <w:sz w:val="22"/>
          <w:szCs w:val="22"/>
        </w:rPr>
      </w:pPr>
      <w:r w:rsidRPr="00BB30CA">
        <w:rPr>
          <w:rFonts w:ascii="Arial" w:eastAsia="Times New Roman" w:hAnsi="Arial" w:cs="Arial"/>
          <w:sz w:val="22"/>
          <w:szCs w:val="22"/>
        </w:rPr>
        <w:t>la partecipazione alle azioni di comunicazione del PSR, anche in qualità di relatore.</w:t>
      </w:r>
    </w:p>
    <w:p w14:paraId="67F8D7BB" w14:textId="77777777" w:rsidR="001F052D" w:rsidRPr="003A3829" w:rsidRDefault="001F052D" w:rsidP="00654CF8">
      <w:pPr>
        <w:pStyle w:val="Default"/>
        <w:spacing w:after="120"/>
        <w:contextualSpacing/>
        <w:jc w:val="both"/>
        <w:rPr>
          <w:sz w:val="22"/>
          <w:szCs w:val="22"/>
        </w:rPr>
      </w:pPr>
      <w:bookmarkStart w:id="4" w:name="_Toc433628081"/>
      <w:bookmarkStart w:id="5" w:name="_Toc433964778"/>
    </w:p>
    <w:p w14:paraId="50E519CD" w14:textId="159664B1" w:rsidR="001F052D" w:rsidRDefault="00654CF8" w:rsidP="002E7537">
      <w:pPr>
        <w:pStyle w:val="Default"/>
        <w:spacing w:after="120"/>
        <w:contextualSpacing/>
        <w:jc w:val="center"/>
        <w:rPr>
          <w:b/>
          <w:sz w:val="22"/>
          <w:szCs w:val="22"/>
        </w:rPr>
      </w:pPr>
      <w:r w:rsidRPr="00B646BA">
        <w:rPr>
          <w:b/>
          <w:sz w:val="22"/>
          <w:szCs w:val="22"/>
        </w:rPr>
        <w:t xml:space="preserve">Art. </w:t>
      </w:r>
      <w:r w:rsidR="00B05498" w:rsidRPr="00B646BA">
        <w:rPr>
          <w:b/>
          <w:sz w:val="22"/>
          <w:szCs w:val="22"/>
        </w:rPr>
        <w:t>1</w:t>
      </w:r>
      <w:r w:rsidR="00B77B96">
        <w:rPr>
          <w:b/>
          <w:sz w:val="22"/>
          <w:szCs w:val="22"/>
        </w:rPr>
        <w:t>0</w:t>
      </w:r>
      <w:r w:rsidRPr="00B646BA">
        <w:rPr>
          <w:b/>
          <w:sz w:val="22"/>
          <w:szCs w:val="22"/>
        </w:rPr>
        <w:t xml:space="preserve"> Obblighi</w:t>
      </w:r>
      <w:bookmarkEnd w:id="4"/>
      <w:bookmarkEnd w:id="5"/>
      <w:r w:rsidRPr="00B646BA">
        <w:rPr>
          <w:b/>
          <w:sz w:val="22"/>
          <w:szCs w:val="22"/>
        </w:rPr>
        <w:t xml:space="preserve"> del fornitore e verifica della fornitura</w:t>
      </w:r>
    </w:p>
    <w:p w14:paraId="58A90ABE" w14:textId="77777777" w:rsidR="009E3DEA" w:rsidRPr="003A3829" w:rsidRDefault="009E3DEA" w:rsidP="002E7537">
      <w:pPr>
        <w:pStyle w:val="Default"/>
        <w:spacing w:after="120"/>
        <w:contextualSpacing/>
        <w:jc w:val="center"/>
        <w:rPr>
          <w:b/>
          <w:sz w:val="22"/>
          <w:szCs w:val="22"/>
        </w:rPr>
      </w:pPr>
    </w:p>
    <w:p w14:paraId="001BB2DB" w14:textId="77777777" w:rsidR="00654CF8" w:rsidRPr="003A3829" w:rsidRDefault="00654CF8" w:rsidP="00654CF8">
      <w:pPr>
        <w:pStyle w:val="Default"/>
        <w:spacing w:after="120"/>
        <w:contextualSpacing/>
        <w:jc w:val="both"/>
        <w:rPr>
          <w:sz w:val="22"/>
          <w:szCs w:val="22"/>
        </w:rPr>
      </w:pPr>
      <w:r w:rsidRPr="003A3829">
        <w:rPr>
          <w:sz w:val="22"/>
          <w:szCs w:val="22"/>
        </w:rPr>
        <w:t xml:space="preserve">Sono a carico del </w:t>
      </w:r>
      <w:r w:rsidRPr="003A3829">
        <w:rPr>
          <w:i/>
          <w:iCs/>
          <w:sz w:val="22"/>
          <w:szCs w:val="22"/>
        </w:rPr>
        <w:t xml:space="preserve">Fornitore </w:t>
      </w:r>
      <w:r w:rsidRPr="003A3829">
        <w:rPr>
          <w:sz w:val="22"/>
          <w:szCs w:val="22"/>
        </w:rPr>
        <w:t xml:space="preserve">tutti gli oneri, le spese ed i rischi relativi alla prestazione dei </w:t>
      </w:r>
      <w:r w:rsidRPr="003A3829">
        <w:rPr>
          <w:i/>
          <w:iCs/>
          <w:sz w:val="22"/>
          <w:szCs w:val="22"/>
        </w:rPr>
        <w:t xml:space="preserve">Servizi </w:t>
      </w:r>
      <w:r w:rsidRPr="003A3829">
        <w:rPr>
          <w:sz w:val="22"/>
          <w:szCs w:val="22"/>
        </w:rPr>
        <w:t xml:space="preserve">del </w:t>
      </w:r>
      <w:r w:rsidRPr="003A3829">
        <w:rPr>
          <w:i/>
          <w:iCs/>
          <w:sz w:val="22"/>
          <w:szCs w:val="22"/>
        </w:rPr>
        <w:t>Contratto</w:t>
      </w:r>
      <w:r w:rsidRPr="003A3829">
        <w:rPr>
          <w:sz w:val="22"/>
          <w:szCs w:val="22"/>
        </w:rPr>
        <w:t xml:space="preserve">, nonché ad ogni attività che si rendesse necessaria o, comunque, opportuna per un corretto e completo adempimento delle obbligazioni previste. Il </w:t>
      </w:r>
      <w:r w:rsidRPr="003A3829">
        <w:rPr>
          <w:i/>
          <w:iCs/>
          <w:sz w:val="22"/>
          <w:szCs w:val="22"/>
        </w:rPr>
        <w:t xml:space="preserve">Fornitore </w:t>
      </w:r>
      <w:r w:rsidRPr="003A3829">
        <w:rPr>
          <w:sz w:val="22"/>
          <w:szCs w:val="22"/>
        </w:rPr>
        <w:t xml:space="preserve">garantisce l’esecuzione di tutte le prestazioni a perfetta regola d’arte, nel rispetto: </w:t>
      </w:r>
    </w:p>
    <w:p w14:paraId="41A925D2" w14:textId="77777777" w:rsidR="009F2DB9" w:rsidRPr="003A3829" w:rsidRDefault="00654CF8" w:rsidP="001241A7">
      <w:pPr>
        <w:pStyle w:val="Default"/>
        <w:numPr>
          <w:ilvl w:val="0"/>
          <w:numId w:val="19"/>
        </w:numPr>
        <w:spacing w:after="120"/>
        <w:contextualSpacing/>
        <w:jc w:val="both"/>
        <w:rPr>
          <w:sz w:val="22"/>
          <w:szCs w:val="22"/>
        </w:rPr>
      </w:pPr>
      <w:r w:rsidRPr="003A3829">
        <w:rPr>
          <w:sz w:val="22"/>
          <w:szCs w:val="22"/>
        </w:rPr>
        <w:t xml:space="preserve">delle norme vigenti, ivi incluse le prescrizioni tecniche, di sicurezza, di igiene e sanitarie in vigore, impegnandosi espressamente a manlevare e tenere indenne la </w:t>
      </w:r>
      <w:r w:rsidRPr="003A3829">
        <w:rPr>
          <w:i/>
          <w:iCs/>
          <w:sz w:val="22"/>
          <w:szCs w:val="22"/>
        </w:rPr>
        <w:t xml:space="preserve">Regione </w:t>
      </w:r>
      <w:r w:rsidRPr="003A3829">
        <w:rPr>
          <w:sz w:val="22"/>
          <w:szCs w:val="22"/>
        </w:rPr>
        <w:t xml:space="preserve">da tutte le conseguenze derivanti dalla eventuale </w:t>
      </w:r>
      <w:r w:rsidR="00F95050" w:rsidRPr="003A3829">
        <w:rPr>
          <w:sz w:val="22"/>
          <w:szCs w:val="22"/>
        </w:rPr>
        <w:t xml:space="preserve">inosservanza di dette norme; </w:t>
      </w:r>
    </w:p>
    <w:p w14:paraId="111CADDA" w14:textId="77777777" w:rsidR="00654CF8" w:rsidRPr="003A3829" w:rsidRDefault="00654CF8" w:rsidP="001241A7">
      <w:pPr>
        <w:pStyle w:val="Default"/>
        <w:numPr>
          <w:ilvl w:val="0"/>
          <w:numId w:val="19"/>
        </w:numPr>
        <w:spacing w:after="120"/>
        <w:contextualSpacing/>
        <w:jc w:val="both"/>
        <w:rPr>
          <w:sz w:val="22"/>
          <w:szCs w:val="22"/>
        </w:rPr>
      </w:pPr>
      <w:r w:rsidRPr="003A3829">
        <w:rPr>
          <w:color w:val="auto"/>
          <w:sz w:val="22"/>
          <w:szCs w:val="22"/>
        </w:rPr>
        <w:t xml:space="preserve">delle condizioni, modalità, prescrizioni, termini e livelli di servizio contenuti nel </w:t>
      </w:r>
      <w:r w:rsidRPr="003A3829">
        <w:rPr>
          <w:i/>
          <w:iCs/>
          <w:color w:val="auto"/>
          <w:sz w:val="22"/>
          <w:szCs w:val="22"/>
        </w:rPr>
        <w:t xml:space="preserve">Capitolato Tecnico </w:t>
      </w:r>
      <w:r w:rsidRPr="003A3829">
        <w:rPr>
          <w:color w:val="auto"/>
          <w:sz w:val="22"/>
          <w:szCs w:val="22"/>
        </w:rPr>
        <w:t xml:space="preserve">e nell’Offerta Tecnica. </w:t>
      </w:r>
    </w:p>
    <w:p w14:paraId="14464DC7" w14:textId="77777777" w:rsidR="00654CF8" w:rsidRPr="003A3829" w:rsidRDefault="00654CF8" w:rsidP="00654CF8">
      <w:pPr>
        <w:pStyle w:val="Default"/>
        <w:spacing w:after="120"/>
        <w:contextualSpacing/>
        <w:jc w:val="both"/>
        <w:rPr>
          <w:color w:val="auto"/>
          <w:sz w:val="22"/>
          <w:szCs w:val="22"/>
        </w:rPr>
      </w:pPr>
      <w:r w:rsidRPr="003A3829">
        <w:rPr>
          <w:color w:val="auto"/>
          <w:sz w:val="22"/>
          <w:szCs w:val="22"/>
        </w:rPr>
        <w:t xml:space="preserve">Il </w:t>
      </w:r>
      <w:r w:rsidRPr="003A3829">
        <w:rPr>
          <w:i/>
          <w:iCs/>
          <w:color w:val="auto"/>
          <w:sz w:val="22"/>
          <w:szCs w:val="22"/>
        </w:rPr>
        <w:t xml:space="preserve">Fornitore </w:t>
      </w:r>
      <w:r w:rsidRPr="003A3829">
        <w:rPr>
          <w:color w:val="auto"/>
          <w:sz w:val="22"/>
          <w:szCs w:val="22"/>
        </w:rPr>
        <w:t xml:space="preserve">si obbliga, </w:t>
      </w:r>
      <w:r w:rsidRPr="003A3829">
        <w:rPr>
          <w:i/>
          <w:iCs/>
          <w:color w:val="auto"/>
          <w:sz w:val="22"/>
          <w:szCs w:val="22"/>
        </w:rPr>
        <w:t xml:space="preserve">a: </w:t>
      </w:r>
    </w:p>
    <w:p w14:paraId="68228D01" w14:textId="77777777" w:rsidR="009F2DB9" w:rsidRPr="003A3829" w:rsidRDefault="00654CF8" w:rsidP="001241A7">
      <w:pPr>
        <w:pStyle w:val="Default"/>
        <w:numPr>
          <w:ilvl w:val="0"/>
          <w:numId w:val="20"/>
        </w:numPr>
        <w:spacing w:after="120"/>
        <w:contextualSpacing/>
        <w:jc w:val="both"/>
        <w:rPr>
          <w:color w:val="auto"/>
          <w:sz w:val="22"/>
          <w:szCs w:val="22"/>
        </w:rPr>
      </w:pPr>
      <w:r w:rsidRPr="003A3829">
        <w:rPr>
          <w:i/>
          <w:iCs/>
          <w:color w:val="auto"/>
          <w:sz w:val="22"/>
          <w:szCs w:val="22"/>
        </w:rPr>
        <w:t xml:space="preserve">manlevare </w:t>
      </w:r>
      <w:r w:rsidRPr="003A3829">
        <w:rPr>
          <w:color w:val="auto"/>
          <w:sz w:val="22"/>
          <w:szCs w:val="22"/>
        </w:rPr>
        <w:t xml:space="preserve">e tenere indenne l’Amministrazione dalle pretese che i terzi dovessero avanzare in relazione ai danni derivanti dalle prestazioni contrattuali oggetto del </w:t>
      </w:r>
      <w:r w:rsidRPr="003A3829">
        <w:rPr>
          <w:i/>
          <w:iCs/>
          <w:color w:val="auto"/>
          <w:sz w:val="22"/>
          <w:szCs w:val="22"/>
        </w:rPr>
        <w:t>Contratto</w:t>
      </w:r>
      <w:r w:rsidRPr="003A3829">
        <w:rPr>
          <w:color w:val="auto"/>
          <w:sz w:val="22"/>
          <w:szCs w:val="22"/>
        </w:rPr>
        <w:t xml:space="preserve">, ovvero in relazione a diritti di privativa vantati da terzi; </w:t>
      </w:r>
    </w:p>
    <w:p w14:paraId="108844AB" w14:textId="77777777" w:rsidR="009F2DB9" w:rsidRPr="003A3829" w:rsidRDefault="00654CF8" w:rsidP="001241A7">
      <w:pPr>
        <w:pStyle w:val="Default"/>
        <w:numPr>
          <w:ilvl w:val="0"/>
          <w:numId w:val="20"/>
        </w:numPr>
        <w:spacing w:after="120"/>
        <w:contextualSpacing/>
        <w:jc w:val="both"/>
        <w:rPr>
          <w:color w:val="auto"/>
          <w:sz w:val="22"/>
          <w:szCs w:val="22"/>
        </w:rPr>
      </w:pPr>
      <w:r w:rsidRPr="003A3829">
        <w:rPr>
          <w:i/>
          <w:iCs/>
          <w:color w:val="auto"/>
          <w:sz w:val="22"/>
          <w:szCs w:val="22"/>
        </w:rPr>
        <w:t xml:space="preserve">predisporre </w:t>
      </w:r>
      <w:r w:rsidRPr="003A3829">
        <w:rPr>
          <w:color w:val="auto"/>
          <w:sz w:val="22"/>
          <w:szCs w:val="22"/>
        </w:rPr>
        <w:t xml:space="preserve">tutti gli strumenti e le metodologie, comprensivi della relativa documentazione, atti a garantire elevati livelli di servizio, ivi compresi quelli relativi alla sicurezza e riservatezza, nonché atti a consentire all’Amministrazione di monitorare la conformità dei Servizi alle prescrizioni contrattuali; </w:t>
      </w:r>
    </w:p>
    <w:p w14:paraId="56BF1DC6" w14:textId="77777777" w:rsidR="00654CF8" w:rsidRPr="003A3829" w:rsidRDefault="00654CF8" w:rsidP="001241A7">
      <w:pPr>
        <w:pStyle w:val="Default"/>
        <w:numPr>
          <w:ilvl w:val="0"/>
          <w:numId w:val="20"/>
        </w:numPr>
        <w:spacing w:after="120"/>
        <w:contextualSpacing/>
        <w:jc w:val="both"/>
        <w:rPr>
          <w:color w:val="auto"/>
          <w:sz w:val="22"/>
          <w:szCs w:val="22"/>
        </w:rPr>
      </w:pPr>
      <w:r w:rsidRPr="003A3829">
        <w:rPr>
          <w:i/>
          <w:iCs/>
          <w:color w:val="auto"/>
          <w:sz w:val="22"/>
          <w:szCs w:val="22"/>
        </w:rPr>
        <w:t xml:space="preserve">comunicare </w:t>
      </w:r>
      <w:r w:rsidRPr="003A3829">
        <w:rPr>
          <w:color w:val="auto"/>
          <w:sz w:val="22"/>
          <w:szCs w:val="22"/>
        </w:rPr>
        <w:t xml:space="preserve">tempestivamente le eventuali variazioni della propria struttura organizzativa coinvolta nell’esecuzione del </w:t>
      </w:r>
      <w:r w:rsidRPr="003A3829">
        <w:rPr>
          <w:i/>
          <w:iCs/>
          <w:color w:val="auto"/>
          <w:sz w:val="22"/>
          <w:szCs w:val="22"/>
        </w:rPr>
        <w:t>Contratto</w:t>
      </w:r>
      <w:r w:rsidRPr="003A3829">
        <w:rPr>
          <w:color w:val="auto"/>
          <w:sz w:val="22"/>
          <w:szCs w:val="22"/>
        </w:rPr>
        <w:t xml:space="preserve">, indicando analiticamente le variazioni intervenute. </w:t>
      </w:r>
    </w:p>
    <w:p w14:paraId="23FEE8A4" w14:textId="13B48BA1" w:rsidR="008D77F6" w:rsidRPr="003A3829" w:rsidRDefault="009F2DB9" w:rsidP="00654CF8">
      <w:pPr>
        <w:pStyle w:val="Default"/>
        <w:spacing w:after="120"/>
        <w:contextualSpacing/>
        <w:jc w:val="both"/>
        <w:rPr>
          <w:color w:val="auto"/>
          <w:sz w:val="22"/>
          <w:szCs w:val="22"/>
        </w:rPr>
      </w:pPr>
      <w:r w:rsidRPr="003A3829">
        <w:rPr>
          <w:color w:val="auto"/>
          <w:sz w:val="22"/>
          <w:szCs w:val="22"/>
        </w:rPr>
        <w:br/>
      </w:r>
      <w:r w:rsidR="00654CF8" w:rsidRPr="003A3829">
        <w:rPr>
          <w:color w:val="auto"/>
          <w:sz w:val="22"/>
          <w:szCs w:val="22"/>
        </w:rPr>
        <w:t xml:space="preserve">Il </w:t>
      </w:r>
      <w:r w:rsidR="00654CF8" w:rsidRPr="003A3829">
        <w:rPr>
          <w:i/>
          <w:iCs/>
          <w:color w:val="auto"/>
          <w:sz w:val="22"/>
          <w:szCs w:val="22"/>
        </w:rPr>
        <w:t xml:space="preserve">Fornitore </w:t>
      </w:r>
      <w:r w:rsidRPr="003A3829">
        <w:rPr>
          <w:color w:val="auto"/>
          <w:sz w:val="22"/>
          <w:szCs w:val="22"/>
        </w:rPr>
        <w:t>s’</w:t>
      </w:r>
      <w:r w:rsidR="00654CF8" w:rsidRPr="003A3829">
        <w:rPr>
          <w:color w:val="auto"/>
          <w:sz w:val="22"/>
          <w:szCs w:val="22"/>
        </w:rPr>
        <w:t xml:space="preserve">impegna ad avvalersi, per la prestazione delle attività contrattuali, di personale specializzato che potrà accedere nei locali dell’Amministrazione nel rispetto di tutte le relative prescrizioni e procedure di sicurezza e accesso, fermo restando che sarà cura ed onere del </w:t>
      </w:r>
      <w:r w:rsidR="00654CF8" w:rsidRPr="003A3829">
        <w:rPr>
          <w:i/>
          <w:iCs/>
          <w:color w:val="auto"/>
          <w:sz w:val="22"/>
          <w:szCs w:val="22"/>
        </w:rPr>
        <w:t xml:space="preserve">Fornitore </w:t>
      </w:r>
      <w:r w:rsidR="00654CF8" w:rsidRPr="003A3829">
        <w:rPr>
          <w:color w:val="auto"/>
          <w:sz w:val="22"/>
          <w:szCs w:val="22"/>
        </w:rPr>
        <w:t xml:space="preserve">verificare preventivamente tali prescrizioni e procedure. </w:t>
      </w:r>
    </w:p>
    <w:p w14:paraId="7459CED2" w14:textId="77777777" w:rsidR="009A1A61" w:rsidRPr="003A3829" w:rsidRDefault="009A1A61" w:rsidP="009A1A61">
      <w:pPr>
        <w:widowControl w:val="0"/>
        <w:autoSpaceDE w:val="0"/>
        <w:autoSpaceDN w:val="0"/>
        <w:adjustRightInd w:val="0"/>
        <w:jc w:val="both"/>
        <w:rPr>
          <w:rFonts w:ascii="Arial" w:hAnsi="Arial" w:cs="Arial"/>
          <w:sz w:val="22"/>
          <w:szCs w:val="22"/>
        </w:rPr>
      </w:pPr>
      <w:r w:rsidRPr="003A3829">
        <w:rPr>
          <w:rFonts w:ascii="Arial" w:hAnsi="Arial" w:cs="Arial"/>
          <w:sz w:val="22"/>
          <w:szCs w:val="22"/>
        </w:rPr>
        <w:t xml:space="preserve">Le attività dovranno essere svolte in stretta e costante relazione con l’AdG con il responsabile della valutazione del PSR e/o altre strutture di </w:t>
      </w:r>
      <w:r w:rsidRPr="000A7052">
        <w:rPr>
          <w:rFonts w:ascii="Arial" w:hAnsi="Arial" w:cs="Arial"/>
          <w:i/>
          <w:sz w:val="22"/>
          <w:szCs w:val="22"/>
        </w:rPr>
        <w:t>governance</w:t>
      </w:r>
      <w:r w:rsidRPr="003A3829">
        <w:rPr>
          <w:rFonts w:ascii="Arial" w:hAnsi="Arial" w:cs="Arial"/>
          <w:sz w:val="22"/>
          <w:szCs w:val="22"/>
        </w:rPr>
        <w:t xml:space="preserve"> del sistema di monitoraggio e valutazione. In relazione all’insorgere di nuove e/o diverse esigenze o all’opportunità di migliorare l’utilità e l’utilizzo dei risultati della valutazione, le parti potranno concordare eventuali o periodiche modifiche del Disegno di valutazione.</w:t>
      </w:r>
    </w:p>
    <w:p w14:paraId="34603312" w14:textId="77777777" w:rsidR="009A1A61" w:rsidRPr="003A3829" w:rsidRDefault="009A1A61" w:rsidP="009A1A61">
      <w:pPr>
        <w:pStyle w:val="Default"/>
        <w:spacing w:after="120"/>
        <w:contextualSpacing/>
        <w:jc w:val="both"/>
        <w:rPr>
          <w:sz w:val="22"/>
          <w:szCs w:val="22"/>
        </w:rPr>
      </w:pPr>
      <w:r w:rsidRPr="003A3829">
        <w:rPr>
          <w:sz w:val="22"/>
          <w:szCs w:val="22"/>
        </w:rPr>
        <w:t xml:space="preserve">L’organizzazione delle attività necessarie per l’elaborazione dei documenti di Valutazione prevede una costante interazione tra l’appaltatore, l’AdG ed i responsabili delle misure. Sarà pertanto creato un raccordo operativo tra Valutatore e responsabili di misura nella fase di raccolta dei dati necessari per le attività di valutazione. Potranno essere organizzati dal Valutatore incontri bilaterali con ciascun responsabile di misura e, annualmente, incontri allargati a tutti i soggetti direttamente coinvolti nell’attuazione del PSR (compresi i GAL). Agli incontri tra valutatore e responsabili di misura sarà presente anche un rappresentante dell’AdG, al fine di supportare le migliori soluzioni operative nel reperimento dei dati di valutazione. </w:t>
      </w:r>
    </w:p>
    <w:p w14:paraId="6993F8DA" w14:textId="77777777" w:rsidR="009A1A61" w:rsidRDefault="009A1A61" w:rsidP="00654CF8">
      <w:pPr>
        <w:pStyle w:val="Default"/>
        <w:spacing w:after="120"/>
        <w:contextualSpacing/>
        <w:jc w:val="both"/>
        <w:rPr>
          <w:color w:val="auto"/>
          <w:sz w:val="22"/>
          <w:szCs w:val="22"/>
        </w:rPr>
      </w:pPr>
    </w:p>
    <w:p w14:paraId="052FA5B0" w14:textId="77777777" w:rsidR="00654CF8" w:rsidRPr="003A3829" w:rsidRDefault="00654CF8" w:rsidP="00654CF8">
      <w:pPr>
        <w:pStyle w:val="Default"/>
        <w:spacing w:after="120"/>
        <w:contextualSpacing/>
        <w:jc w:val="both"/>
        <w:rPr>
          <w:color w:val="auto"/>
          <w:sz w:val="22"/>
          <w:szCs w:val="22"/>
        </w:rPr>
      </w:pPr>
      <w:r w:rsidRPr="003A3829">
        <w:rPr>
          <w:color w:val="auto"/>
          <w:sz w:val="22"/>
          <w:szCs w:val="22"/>
        </w:rPr>
        <w:t xml:space="preserve">Le attività contrattuali da svolgersi presso i locali dell’Amministrazione dovranno essere eseguite: </w:t>
      </w:r>
    </w:p>
    <w:p w14:paraId="0FF3F6B4" w14:textId="77777777" w:rsidR="009F2DB9" w:rsidRPr="003A3829" w:rsidRDefault="00654CF8" w:rsidP="001241A7">
      <w:pPr>
        <w:pStyle w:val="Default"/>
        <w:numPr>
          <w:ilvl w:val="0"/>
          <w:numId w:val="21"/>
        </w:numPr>
        <w:spacing w:after="120"/>
        <w:contextualSpacing/>
        <w:jc w:val="both"/>
        <w:rPr>
          <w:color w:val="auto"/>
          <w:sz w:val="22"/>
          <w:szCs w:val="22"/>
        </w:rPr>
      </w:pPr>
      <w:r w:rsidRPr="003A3829">
        <w:rPr>
          <w:color w:val="auto"/>
          <w:sz w:val="22"/>
          <w:szCs w:val="22"/>
        </w:rPr>
        <w:t>senza interferire nel normale lavoro dei locali, definendo con l’Amministrazione le modalità ed i tempi di intervento;</w:t>
      </w:r>
    </w:p>
    <w:p w14:paraId="1D4C1FD9" w14:textId="77777777" w:rsidR="009F2DB9" w:rsidRPr="003A3829" w:rsidRDefault="00654CF8" w:rsidP="001241A7">
      <w:pPr>
        <w:pStyle w:val="Default"/>
        <w:numPr>
          <w:ilvl w:val="0"/>
          <w:numId w:val="21"/>
        </w:numPr>
        <w:spacing w:after="120"/>
        <w:contextualSpacing/>
        <w:jc w:val="both"/>
        <w:rPr>
          <w:color w:val="auto"/>
          <w:sz w:val="22"/>
          <w:szCs w:val="22"/>
        </w:rPr>
      </w:pPr>
      <w:r w:rsidRPr="003A3829">
        <w:rPr>
          <w:color w:val="auto"/>
          <w:sz w:val="22"/>
          <w:szCs w:val="22"/>
        </w:rPr>
        <w:t xml:space="preserve">nella consapevolezza che i locali della medesima amministrazione continueranno ad essere utilizzati per la loro destinazione istituzionale dal personale e/o da terzi autorizzati; </w:t>
      </w:r>
    </w:p>
    <w:p w14:paraId="0C6E941D" w14:textId="77777777" w:rsidR="00654CF8" w:rsidRPr="003A3829" w:rsidRDefault="00654CF8" w:rsidP="001241A7">
      <w:pPr>
        <w:pStyle w:val="Default"/>
        <w:numPr>
          <w:ilvl w:val="0"/>
          <w:numId w:val="21"/>
        </w:numPr>
        <w:spacing w:after="120"/>
        <w:contextualSpacing/>
        <w:jc w:val="both"/>
        <w:rPr>
          <w:color w:val="auto"/>
          <w:sz w:val="22"/>
          <w:szCs w:val="22"/>
        </w:rPr>
      </w:pPr>
      <w:r w:rsidRPr="003A3829">
        <w:rPr>
          <w:color w:val="auto"/>
          <w:sz w:val="22"/>
          <w:szCs w:val="22"/>
        </w:rPr>
        <w:t xml:space="preserve">salvaguardando le esigenze dei suddetti soggetti, senza recare intralci, disturbi o interruzioni all’attività lavorativa in atto. </w:t>
      </w:r>
    </w:p>
    <w:p w14:paraId="6CBEAFB0" w14:textId="77777777" w:rsidR="009A1A61" w:rsidRDefault="009A1A61" w:rsidP="00654CF8">
      <w:pPr>
        <w:pStyle w:val="Default"/>
        <w:spacing w:after="120"/>
        <w:contextualSpacing/>
        <w:jc w:val="both"/>
        <w:rPr>
          <w:color w:val="auto"/>
          <w:sz w:val="22"/>
          <w:szCs w:val="22"/>
        </w:rPr>
      </w:pPr>
    </w:p>
    <w:p w14:paraId="0934CC91" w14:textId="77777777" w:rsidR="00654CF8" w:rsidRPr="003A3829" w:rsidRDefault="00654CF8" w:rsidP="00654CF8">
      <w:pPr>
        <w:pStyle w:val="Default"/>
        <w:spacing w:after="120"/>
        <w:contextualSpacing/>
        <w:jc w:val="both"/>
        <w:rPr>
          <w:color w:val="auto"/>
          <w:sz w:val="22"/>
          <w:szCs w:val="22"/>
        </w:rPr>
      </w:pPr>
      <w:r w:rsidRPr="003A3829">
        <w:rPr>
          <w:color w:val="auto"/>
          <w:sz w:val="22"/>
          <w:szCs w:val="22"/>
        </w:rPr>
        <w:t xml:space="preserve">Il </w:t>
      </w:r>
      <w:r w:rsidRPr="003A3829">
        <w:rPr>
          <w:i/>
          <w:iCs/>
          <w:color w:val="auto"/>
          <w:sz w:val="22"/>
          <w:szCs w:val="22"/>
        </w:rPr>
        <w:t xml:space="preserve">Fornitore </w:t>
      </w:r>
      <w:r w:rsidRPr="003A3829">
        <w:rPr>
          <w:color w:val="auto"/>
          <w:sz w:val="22"/>
          <w:szCs w:val="22"/>
        </w:rPr>
        <w:t xml:space="preserve">si obbliga a consentire all’amministrazione di procedere in qualsiasi momento e anche senza preavviso, alle verifiche per l’accertamento della conformità del servizio reso con i requisiti tecnici richiesti nel </w:t>
      </w:r>
      <w:r w:rsidRPr="003A3829">
        <w:rPr>
          <w:i/>
          <w:iCs/>
          <w:color w:val="auto"/>
          <w:sz w:val="22"/>
          <w:szCs w:val="22"/>
        </w:rPr>
        <w:t xml:space="preserve">Capitolato Tecnico </w:t>
      </w:r>
      <w:r w:rsidRPr="003A3829">
        <w:rPr>
          <w:color w:val="auto"/>
          <w:sz w:val="22"/>
          <w:szCs w:val="22"/>
        </w:rPr>
        <w:t xml:space="preserve">e offerti, </w:t>
      </w:r>
      <w:r w:rsidR="009F2DB9" w:rsidRPr="003A3829">
        <w:rPr>
          <w:color w:val="auto"/>
          <w:sz w:val="22"/>
          <w:szCs w:val="22"/>
        </w:rPr>
        <w:t>e</w:t>
      </w:r>
      <w:r w:rsidRPr="003A3829">
        <w:rPr>
          <w:color w:val="auto"/>
          <w:sz w:val="22"/>
          <w:szCs w:val="22"/>
        </w:rPr>
        <w:t xml:space="preserve"> a prestare la propria collaborazione per consentire lo svolgimento di tali verifiche. </w:t>
      </w:r>
    </w:p>
    <w:p w14:paraId="49989AB6" w14:textId="77777777" w:rsidR="00654CF8" w:rsidRPr="003A3829" w:rsidRDefault="00654CF8" w:rsidP="00654CF8">
      <w:pPr>
        <w:spacing w:after="120"/>
        <w:contextualSpacing/>
        <w:jc w:val="both"/>
        <w:rPr>
          <w:rFonts w:ascii="Arial" w:hAnsi="Arial" w:cs="Arial"/>
          <w:sz w:val="22"/>
          <w:szCs w:val="22"/>
        </w:rPr>
      </w:pPr>
      <w:r w:rsidRPr="003A3829">
        <w:rPr>
          <w:rFonts w:ascii="Arial" w:hAnsi="Arial" w:cs="Arial"/>
          <w:sz w:val="22"/>
          <w:szCs w:val="22"/>
        </w:rPr>
        <w:t xml:space="preserve">Gli eventuali maggiori oneri derivanti dalla necessità di osservare le norme e le prescrizioni di cui sopra, resteranno ad esclusivo carico del </w:t>
      </w:r>
      <w:r w:rsidRPr="003A3829">
        <w:rPr>
          <w:rFonts w:ascii="Arial" w:hAnsi="Arial" w:cs="Arial"/>
          <w:i/>
          <w:iCs/>
          <w:sz w:val="22"/>
          <w:szCs w:val="22"/>
        </w:rPr>
        <w:t>Fornitore</w:t>
      </w:r>
      <w:r w:rsidRPr="003A3829">
        <w:rPr>
          <w:rFonts w:ascii="Arial" w:hAnsi="Arial" w:cs="Arial"/>
          <w:sz w:val="22"/>
          <w:szCs w:val="22"/>
        </w:rPr>
        <w:t xml:space="preserve">, intendendosi in ogni caso remunerati con il corrispettivo contrattuale ed il </w:t>
      </w:r>
      <w:r w:rsidRPr="003A3829">
        <w:rPr>
          <w:rFonts w:ascii="Arial" w:hAnsi="Arial" w:cs="Arial"/>
          <w:i/>
          <w:iCs/>
          <w:sz w:val="22"/>
          <w:szCs w:val="22"/>
        </w:rPr>
        <w:t xml:space="preserve">Fornitore </w:t>
      </w:r>
      <w:r w:rsidRPr="003A3829">
        <w:rPr>
          <w:rFonts w:ascii="Arial" w:hAnsi="Arial" w:cs="Arial"/>
          <w:sz w:val="22"/>
          <w:szCs w:val="22"/>
        </w:rPr>
        <w:t xml:space="preserve">non potrà, pertanto, avanzare pretesa di compensi, a qualsiasi titolo, nei confronti della </w:t>
      </w:r>
      <w:r w:rsidRPr="003A3829">
        <w:rPr>
          <w:rFonts w:ascii="Arial" w:hAnsi="Arial" w:cs="Arial"/>
          <w:i/>
          <w:iCs/>
          <w:sz w:val="22"/>
          <w:szCs w:val="22"/>
        </w:rPr>
        <w:t>Regione</w:t>
      </w:r>
      <w:r w:rsidRPr="003A3829">
        <w:rPr>
          <w:rFonts w:ascii="Arial" w:hAnsi="Arial" w:cs="Arial"/>
          <w:sz w:val="22"/>
          <w:szCs w:val="22"/>
        </w:rPr>
        <w:t xml:space="preserve">, assumendosene il medesimo </w:t>
      </w:r>
      <w:r w:rsidRPr="003A3829">
        <w:rPr>
          <w:rFonts w:ascii="Arial" w:hAnsi="Arial" w:cs="Arial"/>
          <w:i/>
          <w:iCs/>
          <w:sz w:val="22"/>
          <w:szCs w:val="22"/>
        </w:rPr>
        <w:t xml:space="preserve">Fornitore </w:t>
      </w:r>
      <w:r w:rsidRPr="003A3829">
        <w:rPr>
          <w:rFonts w:ascii="Arial" w:hAnsi="Arial" w:cs="Arial"/>
          <w:sz w:val="22"/>
          <w:szCs w:val="22"/>
        </w:rPr>
        <w:t>ogni relativa alea.</w:t>
      </w:r>
    </w:p>
    <w:p w14:paraId="7E740F41" w14:textId="1F016DDF" w:rsidR="00654CF8" w:rsidRPr="003A3829" w:rsidRDefault="00654CF8" w:rsidP="00654CF8">
      <w:pPr>
        <w:spacing w:after="120"/>
        <w:contextualSpacing/>
        <w:jc w:val="both"/>
        <w:rPr>
          <w:rFonts w:ascii="Arial" w:hAnsi="Arial" w:cs="Arial"/>
          <w:sz w:val="22"/>
          <w:szCs w:val="22"/>
        </w:rPr>
      </w:pPr>
      <w:r w:rsidRPr="003A3829">
        <w:rPr>
          <w:rFonts w:ascii="Arial" w:hAnsi="Arial" w:cs="Arial"/>
          <w:sz w:val="22"/>
          <w:szCs w:val="22"/>
        </w:rPr>
        <w:t xml:space="preserve">Il Direttore dell’esecuzione </w:t>
      </w:r>
      <w:r w:rsidR="00C2510F">
        <w:rPr>
          <w:rFonts w:ascii="Arial" w:hAnsi="Arial" w:cs="Arial"/>
          <w:sz w:val="22"/>
          <w:szCs w:val="22"/>
        </w:rPr>
        <w:t xml:space="preserve">del </w:t>
      </w:r>
      <w:r w:rsidRPr="003A3829">
        <w:rPr>
          <w:rFonts w:ascii="Arial" w:hAnsi="Arial" w:cs="Arial"/>
          <w:sz w:val="22"/>
          <w:szCs w:val="22"/>
        </w:rPr>
        <w:t>contratto assume specificamente i compiti di cura, controllo e vigilanza nella fase di esecuzione contrattuale, nonché nella fase di verifica della conformità delle prestazioni contrattuali e che rilascia, a tal fine, il relativo certificato di verifica di conformità.</w:t>
      </w:r>
    </w:p>
    <w:p w14:paraId="457A3A55" w14:textId="77777777" w:rsidR="00654CF8" w:rsidRPr="003A3829" w:rsidRDefault="00654CF8" w:rsidP="00654CF8">
      <w:pPr>
        <w:spacing w:after="120"/>
        <w:contextualSpacing/>
        <w:jc w:val="both"/>
        <w:rPr>
          <w:rFonts w:ascii="Arial" w:hAnsi="Arial" w:cs="Arial"/>
          <w:sz w:val="22"/>
          <w:szCs w:val="22"/>
        </w:rPr>
      </w:pPr>
      <w:r w:rsidRPr="003A3829">
        <w:rPr>
          <w:rFonts w:ascii="Arial" w:hAnsi="Arial" w:cs="Arial"/>
          <w:sz w:val="22"/>
          <w:szCs w:val="22"/>
        </w:rPr>
        <w:t>Il fornitore del servizio deve impegnarsi formalmente a dare istruzioni al proprio personale affinché tutti i dati e le informazioni patrimoniali, statistiche, anagrafiche e/o di altro genere di cui verrà a conoscenza in conseguenza dai servizi resi vengano considerati riservati e come tali trattati, pur assicurando nel contempo la trasparenza delle attività svolte.</w:t>
      </w:r>
      <w:bookmarkStart w:id="6" w:name="_Toc433628082"/>
      <w:bookmarkStart w:id="7" w:name="_Toc433964779"/>
    </w:p>
    <w:p w14:paraId="7D1CA352" w14:textId="77777777" w:rsidR="00654CF8" w:rsidRDefault="00654CF8" w:rsidP="00654CF8">
      <w:pPr>
        <w:spacing w:after="120"/>
        <w:contextualSpacing/>
        <w:jc w:val="both"/>
        <w:rPr>
          <w:rFonts w:ascii="Arial" w:hAnsi="Arial" w:cs="Arial"/>
          <w:sz w:val="22"/>
          <w:szCs w:val="22"/>
        </w:rPr>
      </w:pPr>
    </w:p>
    <w:p w14:paraId="4EB275D4" w14:textId="77777777" w:rsidR="001F052D" w:rsidRPr="003A3829" w:rsidRDefault="001F052D" w:rsidP="00654CF8">
      <w:pPr>
        <w:spacing w:after="120"/>
        <w:contextualSpacing/>
        <w:jc w:val="both"/>
        <w:rPr>
          <w:rFonts w:ascii="Arial" w:hAnsi="Arial" w:cs="Arial"/>
          <w:sz w:val="22"/>
          <w:szCs w:val="22"/>
        </w:rPr>
      </w:pPr>
    </w:p>
    <w:p w14:paraId="6DC37855" w14:textId="62DCD08C" w:rsidR="001F052D" w:rsidRDefault="00654CF8" w:rsidP="00E14C37">
      <w:pPr>
        <w:spacing w:after="120"/>
        <w:contextualSpacing/>
        <w:jc w:val="center"/>
        <w:rPr>
          <w:rFonts w:ascii="Arial" w:hAnsi="Arial" w:cs="Arial"/>
          <w:b/>
          <w:sz w:val="22"/>
          <w:szCs w:val="22"/>
        </w:rPr>
      </w:pPr>
      <w:r w:rsidRPr="003A3829">
        <w:rPr>
          <w:rFonts w:ascii="Arial" w:hAnsi="Arial" w:cs="Arial"/>
          <w:b/>
          <w:sz w:val="22"/>
          <w:szCs w:val="22"/>
        </w:rPr>
        <w:t xml:space="preserve">Art </w:t>
      </w:r>
      <w:r w:rsidR="00E14C37">
        <w:rPr>
          <w:rFonts w:ascii="Arial" w:hAnsi="Arial" w:cs="Arial"/>
          <w:b/>
          <w:sz w:val="22"/>
          <w:szCs w:val="22"/>
        </w:rPr>
        <w:t>1</w:t>
      </w:r>
      <w:r w:rsidR="00B77B96">
        <w:rPr>
          <w:rFonts w:ascii="Arial" w:hAnsi="Arial" w:cs="Arial"/>
          <w:b/>
          <w:sz w:val="22"/>
          <w:szCs w:val="22"/>
        </w:rPr>
        <w:t>1</w:t>
      </w:r>
      <w:r w:rsidRPr="003A3829">
        <w:rPr>
          <w:rFonts w:ascii="Arial" w:hAnsi="Arial" w:cs="Arial"/>
          <w:sz w:val="22"/>
          <w:szCs w:val="22"/>
        </w:rPr>
        <w:t xml:space="preserve"> </w:t>
      </w:r>
      <w:r w:rsidRPr="003A3829">
        <w:rPr>
          <w:rFonts w:ascii="Arial" w:hAnsi="Arial" w:cs="Arial"/>
          <w:b/>
          <w:sz w:val="22"/>
          <w:szCs w:val="22"/>
        </w:rPr>
        <w:t>Recesso Unilaterale</w:t>
      </w:r>
      <w:bookmarkEnd w:id="6"/>
      <w:bookmarkEnd w:id="7"/>
    </w:p>
    <w:p w14:paraId="680DEF17" w14:textId="77777777" w:rsidR="009E3DEA" w:rsidRPr="00E14C37" w:rsidRDefault="009E3DEA" w:rsidP="00E14C37">
      <w:pPr>
        <w:spacing w:after="120"/>
        <w:contextualSpacing/>
        <w:jc w:val="center"/>
        <w:rPr>
          <w:rFonts w:ascii="Arial" w:hAnsi="Arial" w:cs="Arial"/>
          <w:b/>
          <w:sz w:val="22"/>
          <w:szCs w:val="22"/>
        </w:rPr>
      </w:pPr>
    </w:p>
    <w:p w14:paraId="7EEC5620" w14:textId="462FC6CC" w:rsidR="00654CF8" w:rsidRPr="003A3829" w:rsidRDefault="00654CF8" w:rsidP="00654CF8">
      <w:pPr>
        <w:spacing w:after="120"/>
        <w:contextualSpacing/>
        <w:jc w:val="both"/>
        <w:rPr>
          <w:rFonts w:ascii="Arial" w:hAnsi="Arial" w:cs="Arial"/>
          <w:sz w:val="22"/>
          <w:szCs w:val="22"/>
        </w:rPr>
      </w:pPr>
      <w:r w:rsidRPr="003A3829">
        <w:rPr>
          <w:rFonts w:ascii="Arial" w:hAnsi="Arial" w:cs="Arial"/>
          <w:sz w:val="22"/>
          <w:szCs w:val="22"/>
        </w:rPr>
        <w:t xml:space="preserve">E’ facoltà dell’Amministrazione regionale recedere dal contratto di appalto ex art.1373 del Codice Civile, anche se è già iniziata la presentazione del servizio. Tale facoltà verrà esercitata per iscritto mediante invio all’appaltatore, da parte del Dirigente del </w:t>
      </w:r>
      <w:r w:rsidR="004B32D5">
        <w:rPr>
          <w:rFonts w:ascii="Arial" w:hAnsi="Arial" w:cs="Arial"/>
          <w:sz w:val="22"/>
          <w:szCs w:val="22"/>
        </w:rPr>
        <w:t>“</w:t>
      </w:r>
      <w:r w:rsidRPr="003A3829">
        <w:rPr>
          <w:rFonts w:ascii="Arial" w:hAnsi="Arial" w:cs="Arial"/>
          <w:sz w:val="22"/>
          <w:szCs w:val="22"/>
        </w:rPr>
        <w:t xml:space="preserve">Servizio </w:t>
      </w:r>
      <w:r w:rsidR="00C2510F">
        <w:rPr>
          <w:rFonts w:ascii="Arial" w:hAnsi="Arial" w:cs="Arial"/>
          <w:sz w:val="22"/>
          <w:szCs w:val="22"/>
        </w:rPr>
        <w:t xml:space="preserve">Sviluppo rurale e </w:t>
      </w:r>
      <w:r w:rsidRPr="003A3829">
        <w:rPr>
          <w:rFonts w:ascii="Arial" w:hAnsi="Arial" w:cs="Arial"/>
          <w:sz w:val="22"/>
          <w:szCs w:val="22"/>
        </w:rPr>
        <w:t>agricol</w:t>
      </w:r>
      <w:r w:rsidR="00C2510F">
        <w:rPr>
          <w:rFonts w:ascii="Arial" w:hAnsi="Arial" w:cs="Arial"/>
          <w:sz w:val="22"/>
          <w:szCs w:val="22"/>
        </w:rPr>
        <w:t>tura sostenibile</w:t>
      </w:r>
      <w:r w:rsidR="004B32D5">
        <w:rPr>
          <w:rFonts w:ascii="Arial" w:hAnsi="Arial" w:cs="Arial"/>
          <w:sz w:val="22"/>
          <w:szCs w:val="22"/>
        </w:rPr>
        <w:t>”</w:t>
      </w:r>
      <w:r w:rsidRPr="003A3829">
        <w:rPr>
          <w:rFonts w:ascii="Arial" w:hAnsi="Arial" w:cs="Arial"/>
          <w:sz w:val="22"/>
          <w:szCs w:val="22"/>
        </w:rPr>
        <w:t>, di apposita comunicazione a mezzo di raccomandata A/R anticipata via fax, la quale dovrà pervenire almeno 30 giorni prima della data di recesso. In tale caso l’Amministrazione regionale si obbliga a pagare all’appaltatore unicamente le prestazioni già eseguite o in corso di esecuzione al momento del recesso e l’appaltatore si impegna a mettere immediatamente a disposizione dell’Amministrazione regionale e, comunque, entro 15 giorni dal ricevimento della comunicazione di recesso, il materiale per qualsiasi causa non ancora presentato.</w:t>
      </w:r>
      <w:bookmarkStart w:id="8" w:name="_Toc433628083"/>
      <w:bookmarkStart w:id="9" w:name="_Toc433964780"/>
    </w:p>
    <w:p w14:paraId="4BB11691" w14:textId="77777777" w:rsidR="00654CF8" w:rsidRDefault="00654CF8" w:rsidP="00654CF8">
      <w:pPr>
        <w:spacing w:after="120"/>
        <w:contextualSpacing/>
        <w:jc w:val="both"/>
        <w:rPr>
          <w:rFonts w:ascii="Arial" w:hAnsi="Arial" w:cs="Arial"/>
          <w:sz w:val="22"/>
          <w:szCs w:val="22"/>
        </w:rPr>
      </w:pPr>
    </w:p>
    <w:p w14:paraId="63BB85C6" w14:textId="77777777" w:rsidR="001F052D" w:rsidRPr="003A3829" w:rsidRDefault="001F052D" w:rsidP="00654CF8">
      <w:pPr>
        <w:spacing w:after="120"/>
        <w:contextualSpacing/>
        <w:jc w:val="both"/>
        <w:rPr>
          <w:rFonts w:ascii="Arial" w:hAnsi="Arial" w:cs="Arial"/>
          <w:sz w:val="22"/>
          <w:szCs w:val="22"/>
        </w:rPr>
      </w:pPr>
    </w:p>
    <w:p w14:paraId="48FFB91A" w14:textId="54BB8BF4" w:rsidR="001F052D" w:rsidRDefault="00654CF8" w:rsidP="00E14C37">
      <w:pPr>
        <w:spacing w:after="120"/>
        <w:contextualSpacing/>
        <w:jc w:val="center"/>
        <w:rPr>
          <w:rFonts w:ascii="Arial" w:hAnsi="Arial" w:cs="Arial"/>
          <w:b/>
          <w:sz w:val="22"/>
          <w:szCs w:val="22"/>
        </w:rPr>
      </w:pPr>
      <w:r w:rsidRPr="003A3829">
        <w:rPr>
          <w:rFonts w:ascii="Arial" w:hAnsi="Arial" w:cs="Arial"/>
          <w:b/>
          <w:sz w:val="22"/>
          <w:szCs w:val="22"/>
        </w:rPr>
        <w:t xml:space="preserve">Art. </w:t>
      </w:r>
      <w:r w:rsidR="00E14C37">
        <w:rPr>
          <w:rFonts w:ascii="Arial" w:hAnsi="Arial" w:cs="Arial"/>
          <w:b/>
          <w:sz w:val="22"/>
          <w:szCs w:val="22"/>
        </w:rPr>
        <w:t>1</w:t>
      </w:r>
      <w:r w:rsidR="00B77B96">
        <w:rPr>
          <w:rFonts w:ascii="Arial" w:hAnsi="Arial" w:cs="Arial"/>
          <w:b/>
          <w:sz w:val="22"/>
          <w:szCs w:val="22"/>
        </w:rPr>
        <w:t>2</w:t>
      </w:r>
      <w:r w:rsidRPr="003A3829">
        <w:rPr>
          <w:rFonts w:ascii="Arial" w:hAnsi="Arial" w:cs="Arial"/>
          <w:b/>
          <w:sz w:val="22"/>
          <w:szCs w:val="22"/>
        </w:rPr>
        <w:t xml:space="preserve"> Inadempienze e penali</w:t>
      </w:r>
      <w:bookmarkEnd w:id="8"/>
      <w:bookmarkEnd w:id="9"/>
    </w:p>
    <w:p w14:paraId="7496CF06" w14:textId="77777777" w:rsidR="008B7FEE" w:rsidRPr="003A3829" w:rsidRDefault="008B7FEE" w:rsidP="00E14C37">
      <w:pPr>
        <w:spacing w:after="120"/>
        <w:contextualSpacing/>
        <w:jc w:val="center"/>
        <w:rPr>
          <w:rFonts w:ascii="Arial" w:hAnsi="Arial" w:cs="Arial"/>
          <w:b/>
          <w:sz w:val="22"/>
          <w:szCs w:val="22"/>
        </w:rPr>
      </w:pPr>
    </w:p>
    <w:p w14:paraId="156CF5B6" w14:textId="18DD8CA2" w:rsidR="00654CF8" w:rsidRPr="003A3829" w:rsidRDefault="005D6AE9" w:rsidP="00654CF8">
      <w:pPr>
        <w:spacing w:after="120"/>
        <w:contextualSpacing/>
        <w:jc w:val="both"/>
        <w:rPr>
          <w:rFonts w:ascii="Arial" w:hAnsi="Arial" w:cs="Arial"/>
          <w:sz w:val="22"/>
          <w:szCs w:val="22"/>
        </w:rPr>
      </w:pPr>
      <w:r>
        <w:rPr>
          <w:rFonts w:ascii="Arial" w:hAnsi="Arial" w:cs="Arial"/>
          <w:sz w:val="22"/>
          <w:szCs w:val="22"/>
        </w:rPr>
        <w:t>Il Servizio “Sviluppo rurale e agricoltura sostenibile”</w:t>
      </w:r>
      <w:r w:rsidR="00654CF8" w:rsidRPr="003A3829">
        <w:rPr>
          <w:rFonts w:ascii="Arial" w:hAnsi="Arial" w:cs="Arial"/>
          <w:sz w:val="22"/>
          <w:szCs w:val="22"/>
        </w:rPr>
        <w:t xml:space="preserve"> procederà all’accertamento della conformità delle prestazioni rese, sentita l’Autorità di Gestione del PSR, rispetto alle prescrizioni contrattuali. Qualora a seguito di tali accertamenti si riscontrassero violazioni delle prescrizioni contrattuali, il Servizio regionale competente procederà all’immediata contestazione all’appaltatore delle circostanze come sopra rilevate, tramite raccomandata A/R anticipata via fax. L’appaltatore potrà inviare le proprie con</w:t>
      </w:r>
      <w:r w:rsidR="006D65FB" w:rsidRPr="003A3829">
        <w:rPr>
          <w:rFonts w:ascii="Arial" w:hAnsi="Arial" w:cs="Arial"/>
          <w:sz w:val="22"/>
          <w:szCs w:val="22"/>
        </w:rPr>
        <w:t xml:space="preserve">trodeduzioni </w:t>
      </w:r>
      <w:r w:rsidR="00654CF8" w:rsidRPr="003A3829">
        <w:rPr>
          <w:rFonts w:ascii="Arial" w:hAnsi="Arial" w:cs="Arial"/>
          <w:sz w:val="22"/>
          <w:szCs w:val="22"/>
        </w:rPr>
        <w:t xml:space="preserve">(anticipandole via fax), entro il termine di 5 giorni dalla formale contestazione via fax. Il Servizio regionale competente, </w:t>
      </w:r>
      <w:r w:rsidR="00A61AC3">
        <w:rPr>
          <w:rFonts w:ascii="Arial" w:hAnsi="Arial" w:cs="Arial"/>
          <w:sz w:val="22"/>
          <w:szCs w:val="22"/>
        </w:rPr>
        <w:t>valutate le ragioni addotte, potr</w:t>
      </w:r>
      <w:r w:rsidR="00654CF8" w:rsidRPr="003A3829">
        <w:rPr>
          <w:rFonts w:ascii="Arial" w:hAnsi="Arial" w:cs="Arial"/>
          <w:sz w:val="22"/>
          <w:szCs w:val="22"/>
        </w:rPr>
        <w:t>à procedere all’applicazione delle seguenti penali:</w:t>
      </w:r>
    </w:p>
    <w:p w14:paraId="101B03BD" w14:textId="30B5A8C0" w:rsidR="00654CF8" w:rsidRPr="003A3829" w:rsidRDefault="00654CF8" w:rsidP="00654CF8">
      <w:pPr>
        <w:numPr>
          <w:ilvl w:val="0"/>
          <w:numId w:val="1"/>
        </w:numPr>
        <w:spacing w:after="120"/>
        <w:contextualSpacing/>
        <w:jc w:val="both"/>
        <w:rPr>
          <w:rFonts w:ascii="Arial" w:hAnsi="Arial" w:cs="Arial"/>
          <w:sz w:val="22"/>
          <w:szCs w:val="22"/>
        </w:rPr>
      </w:pPr>
      <w:r w:rsidRPr="003A3829">
        <w:rPr>
          <w:rFonts w:ascii="Arial" w:hAnsi="Arial" w:cs="Arial"/>
          <w:sz w:val="22"/>
          <w:szCs w:val="22"/>
        </w:rPr>
        <w:t>in caso di mancato avviso nella sostituzione dei tecnici e degli altri componenti del gruppo di lavoro di cui all’art.</w:t>
      </w:r>
      <w:r w:rsidR="003426F0" w:rsidRPr="003A3829">
        <w:rPr>
          <w:rFonts w:ascii="Arial" w:hAnsi="Arial" w:cs="Arial"/>
          <w:sz w:val="22"/>
          <w:szCs w:val="22"/>
        </w:rPr>
        <w:t xml:space="preserve"> </w:t>
      </w:r>
      <w:r w:rsidR="00234F3C">
        <w:rPr>
          <w:rFonts w:ascii="Arial" w:hAnsi="Arial" w:cs="Arial"/>
          <w:sz w:val="22"/>
          <w:szCs w:val="22"/>
        </w:rPr>
        <w:t>10</w:t>
      </w:r>
      <w:r w:rsidRPr="003A3829">
        <w:rPr>
          <w:rFonts w:ascii="Arial" w:hAnsi="Arial" w:cs="Arial"/>
          <w:sz w:val="22"/>
          <w:szCs w:val="22"/>
        </w:rPr>
        <w:t xml:space="preserve"> sarà applicata una penale pari al 5% (cinque per cento) dell’importo contrattuale;</w:t>
      </w:r>
    </w:p>
    <w:p w14:paraId="776B1B1C" w14:textId="1B2A09BF" w:rsidR="00654CF8" w:rsidRPr="003A3829" w:rsidRDefault="00654CF8" w:rsidP="00654CF8">
      <w:pPr>
        <w:numPr>
          <w:ilvl w:val="0"/>
          <w:numId w:val="1"/>
        </w:numPr>
        <w:spacing w:after="120"/>
        <w:contextualSpacing/>
        <w:jc w:val="both"/>
        <w:rPr>
          <w:rFonts w:ascii="Arial" w:hAnsi="Arial" w:cs="Arial"/>
          <w:sz w:val="22"/>
          <w:szCs w:val="22"/>
        </w:rPr>
      </w:pPr>
      <w:r w:rsidRPr="003A3829">
        <w:rPr>
          <w:rFonts w:ascii="Arial" w:hAnsi="Arial" w:cs="Arial"/>
          <w:sz w:val="22"/>
          <w:szCs w:val="22"/>
        </w:rPr>
        <w:t xml:space="preserve">per ogni  giorno di ritardo nella consegna degli elaborati rispetto a ognuno dei termini indicati al precedente </w:t>
      </w:r>
      <w:r w:rsidR="002964A0" w:rsidRPr="003A3829">
        <w:rPr>
          <w:rFonts w:ascii="Arial" w:hAnsi="Arial" w:cs="Arial"/>
          <w:sz w:val="22"/>
          <w:szCs w:val="22"/>
        </w:rPr>
        <w:t>articolo</w:t>
      </w:r>
      <w:r w:rsidRPr="003A3829">
        <w:rPr>
          <w:rFonts w:ascii="Arial" w:hAnsi="Arial" w:cs="Arial"/>
          <w:sz w:val="22"/>
          <w:szCs w:val="22"/>
        </w:rPr>
        <w:t xml:space="preserve"> </w:t>
      </w:r>
      <w:r w:rsidR="002964A0" w:rsidRPr="003A3829">
        <w:rPr>
          <w:rFonts w:ascii="Arial" w:hAnsi="Arial" w:cs="Arial"/>
          <w:sz w:val="22"/>
          <w:szCs w:val="22"/>
        </w:rPr>
        <w:t>5</w:t>
      </w:r>
      <w:r w:rsidRPr="003A3829">
        <w:rPr>
          <w:rFonts w:ascii="Arial" w:hAnsi="Arial" w:cs="Arial"/>
          <w:sz w:val="22"/>
          <w:szCs w:val="22"/>
        </w:rPr>
        <w:t xml:space="preserve">, o rispetto ai  termini che saranno in seguito concordati tra il Servizio regionale </w:t>
      </w:r>
      <w:r w:rsidR="005B38C7">
        <w:rPr>
          <w:rFonts w:ascii="Arial" w:hAnsi="Arial" w:cs="Arial"/>
          <w:sz w:val="22"/>
          <w:szCs w:val="22"/>
        </w:rPr>
        <w:t>“Sviluppo rurale e agricoltura sostenibile”</w:t>
      </w:r>
      <w:r w:rsidRPr="003A3829">
        <w:rPr>
          <w:rFonts w:ascii="Arial" w:hAnsi="Arial" w:cs="Arial"/>
          <w:sz w:val="22"/>
          <w:szCs w:val="22"/>
        </w:rPr>
        <w:t xml:space="preserve">, sentita l’Autorità di Gestione del PSR e la ditta aggiudicataria, sarà applicata una </w:t>
      </w:r>
      <w:r w:rsidR="00F57F3F">
        <w:rPr>
          <w:rFonts w:ascii="Arial" w:hAnsi="Arial" w:cs="Arial"/>
          <w:sz w:val="22"/>
          <w:szCs w:val="22"/>
        </w:rPr>
        <w:t>penale giornaliera pari allo 0,1</w:t>
      </w:r>
      <w:r w:rsidRPr="003A3829">
        <w:rPr>
          <w:rFonts w:ascii="Arial" w:hAnsi="Arial" w:cs="Arial"/>
          <w:sz w:val="22"/>
          <w:szCs w:val="22"/>
        </w:rPr>
        <w:t>%(zero virgola uno percento) dell'importo contrattuale;</w:t>
      </w:r>
    </w:p>
    <w:p w14:paraId="62FBFCE0" w14:textId="338EF695" w:rsidR="00654CF8" w:rsidRPr="003A3829" w:rsidRDefault="00654CF8" w:rsidP="00654CF8">
      <w:pPr>
        <w:numPr>
          <w:ilvl w:val="0"/>
          <w:numId w:val="1"/>
        </w:numPr>
        <w:spacing w:after="120"/>
        <w:contextualSpacing/>
        <w:jc w:val="both"/>
        <w:rPr>
          <w:rFonts w:ascii="Arial" w:hAnsi="Arial" w:cs="Arial"/>
          <w:sz w:val="22"/>
          <w:szCs w:val="22"/>
        </w:rPr>
      </w:pPr>
      <w:r w:rsidRPr="003A3829">
        <w:rPr>
          <w:rFonts w:ascii="Arial" w:hAnsi="Arial" w:cs="Arial"/>
          <w:sz w:val="22"/>
          <w:szCs w:val="22"/>
        </w:rPr>
        <w:t xml:space="preserve">per la presentazione di elaborati non conformi a quanto stabilito dal contratto verrà applicata una penale da un minimo di 100,00 euro ad un massimo di 1.000.00 euro per ogni inadempienza, determinata dal Servizio regionale </w:t>
      </w:r>
      <w:r w:rsidR="005B38C7">
        <w:rPr>
          <w:rFonts w:ascii="Arial" w:hAnsi="Arial" w:cs="Arial"/>
          <w:sz w:val="22"/>
          <w:szCs w:val="22"/>
        </w:rPr>
        <w:t>“Sviluppo rurale e agricoltura sostenibile”</w:t>
      </w:r>
      <w:r w:rsidRPr="003A3829">
        <w:rPr>
          <w:rFonts w:ascii="Arial" w:hAnsi="Arial" w:cs="Arial"/>
          <w:sz w:val="22"/>
          <w:szCs w:val="22"/>
        </w:rPr>
        <w:t>, sentita l’Autorità di Gestione del PSR in base alla gravità dell’inadempienza;</w:t>
      </w:r>
    </w:p>
    <w:p w14:paraId="78211961" w14:textId="77777777" w:rsidR="00654CF8" w:rsidRPr="003A3829" w:rsidRDefault="00654CF8" w:rsidP="00654CF8">
      <w:pPr>
        <w:numPr>
          <w:ilvl w:val="0"/>
          <w:numId w:val="1"/>
        </w:numPr>
        <w:spacing w:after="120"/>
        <w:contextualSpacing/>
        <w:jc w:val="both"/>
        <w:rPr>
          <w:rFonts w:ascii="Arial" w:hAnsi="Arial" w:cs="Arial"/>
          <w:sz w:val="22"/>
          <w:szCs w:val="22"/>
        </w:rPr>
      </w:pPr>
      <w:r w:rsidRPr="003A3829">
        <w:rPr>
          <w:rFonts w:ascii="Arial" w:hAnsi="Arial" w:cs="Arial"/>
          <w:sz w:val="22"/>
          <w:szCs w:val="22"/>
        </w:rPr>
        <w:t>fatta salva l'applicazione delle penali di cui alle lettere precedenti, tutte le penalità pecuniarie che saranno eventualmente comminate all'Amministrazione Regionale da parte della Commissione Europea per fatti imputabili alla ditta aggiudicataria.</w:t>
      </w:r>
    </w:p>
    <w:p w14:paraId="28D78FAE" w14:textId="77777777" w:rsidR="00654CF8" w:rsidRPr="003A3829" w:rsidRDefault="00654CF8" w:rsidP="00654CF8">
      <w:pPr>
        <w:spacing w:after="120"/>
        <w:contextualSpacing/>
        <w:jc w:val="both"/>
        <w:rPr>
          <w:rFonts w:ascii="Arial" w:hAnsi="Arial" w:cs="Arial"/>
          <w:sz w:val="22"/>
          <w:szCs w:val="22"/>
        </w:rPr>
      </w:pPr>
      <w:r w:rsidRPr="003A3829">
        <w:rPr>
          <w:rFonts w:ascii="Arial" w:hAnsi="Arial" w:cs="Arial"/>
          <w:sz w:val="22"/>
          <w:szCs w:val="22"/>
        </w:rPr>
        <w:t>In caso di applicazione di penali l'Amministrazione regionale non corrisponderà il compenso stabilito, salvo il risarcimento dell'eventuale maggior danno subito. Per la refusione dei danni ed il pagamento di penalità, l'Amministrazione regionale potrà rivalersi, mediante trattenute, sugli eventuali crediti dell'appaltatore ovvero, in mancanza, sul deposito cauzionale che dovrà, in tal caso, essere immediatamente reintegrato.</w:t>
      </w:r>
    </w:p>
    <w:p w14:paraId="70AFE059" w14:textId="670EF619" w:rsidR="00654CF8" w:rsidRPr="003A3829" w:rsidRDefault="00654CF8" w:rsidP="00654CF8">
      <w:pPr>
        <w:spacing w:after="120"/>
        <w:contextualSpacing/>
        <w:jc w:val="both"/>
        <w:rPr>
          <w:rFonts w:ascii="Arial" w:hAnsi="Arial" w:cs="Arial"/>
          <w:sz w:val="22"/>
          <w:szCs w:val="22"/>
        </w:rPr>
      </w:pPr>
      <w:r w:rsidRPr="003A3829">
        <w:rPr>
          <w:rFonts w:ascii="Arial" w:hAnsi="Arial" w:cs="Arial"/>
          <w:sz w:val="22"/>
          <w:szCs w:val="22"/>
        </w:rPr>
        <w:t xml:space="preserve">Le eventuali cause di forza maggiore che ritardassero le consegne dovranno essere notificate dalla ditta aggiudicataria con lettera raccomandata A/R - anticipata via fax al numero che sarà comunicato alla ditta aggiudicataria e provate, sotto pena di decadenza di ogni diritto ad invocarle, alla Regione Umbria Giunta regionale </w:t>
      </w:r>
      <w:r w:rsidR="00693BF8">
        <w:rPr>
          <w:rFonts w:ascii="Arial" w:hAnsi="Arial" w:cs="Arial"/>
          <w:sz w:val="22"/>
          <w:szCs w:val="22"/>
        </w:rPr>
        <w:t>–</w:t>
      </w:r>
      <w:r w:rsidRPr="003A3829">
        <w:rPr>
          <w:rFonts w:ascii="Arial" w:hAnsi="Arial" w:cs="Arial"/>
          <w:sz w:val="22"/>
          <w:szCs w:val="22"/>
        </w:rPr>
        <w:t xml:space="preserve"> </w:t>
      </w:r>
      <w:r w:rsidR="00693BF8">
        <w:rPr>
          <w:rFonts w:ascii="Arial" w:hAnsi="Arial" w:cs="Arial"/>
          <w:sz w:val="22"/>
          <w:szCs w:val="22"/>
        </w:rPr>
        <w:t xml:space="preserve">Direzione </w:t>
      </w:r>
      <w:r w:rsidR="00693BF8" w:rsidRPr="004B32D5">
        <w:rPr>
          <w:rFonts w:ascii="Arial" w:hAnsi="Arial" w:cs="Arial"/>
          <w:sz w:val="22"/>
          <w:szCs w:val="22"/>
        </w:rPr>
        <w:t>Agricoltura e Foreste, Aree Protette, valorizzazione dei sistemi naturalistici e paesaggistici, beni e attività culturali, sport e spettacolo</w:t>
      </w:r>
      <w:r w:rsidR="00693BF8" w:rsidRPr="003A3829">
        <w:rPr>
          <w:rFonts w:ascii="Arial" w:hAnsi="Arial" w:cs="Arial"/>
          <w:sz w:val="22"/>
          <w:szCs w:val="22"/>
        </w:rPr>
        <w:t xml:space="preserve"> </w:t>
      </w:r>
      <w:r w:rsidRPr="003A3829">
        <w:rPr>
          <w:rFonts w:ascii="Arial" w:hAnsi="Arial" w:cs="Arial"/>
          <w:sz w:val="22"/>
          <w:szCs w:val="22"/>
        </w:rPr>
        <w:t>- via Mario Angeloni 61 – 06124 Perugia.</w:t>
      </w:r>
    </w:p>
    <w:p w14:paraId="263EA3E1" w14:textId="77777777" w:rsidR="00654CF8" w:rsidRDefault="00654CF8" w:rsidP="00654CF8">
      <w:pPr>
        <w:spacing w:after="120"/>
        <w:contextualSpacing/>
        <w:jc w:val="both"/>
        <w:rPr>
          <w:rFonts w:ascii="Arial" w:hAnsi="Arial" w:cs="Arial"/>
          <w:sz w:val="22"/>
          <w:szCs w:val="22"/>
        </w:rPr>
      </w:pPr>
    </w:p>
    <w:p w14:paraId="4C21B7CB" w14:textId="77777777" w:rsidR="001F052D" w:rsidRPr="003A3829" w:rsidRDefault="001F052D" w:rsidP="00654CF8">
      <w:pPr>
        <w:spacing w:after="120"/>
        <w:contextualSpacing/>
        <w:jc w:val="both"/>
        <w:rPr>
          <w:rFonts w:ascii="Arial" w:hAnsi="Arial" w:cs="Arial"/>
          <w:sz w:val="22"/>
          <w:szCs w:val="22"/>
        </w:rPr>
      </w:pPr>
    </w:p>
    <w:p w14:paraId="4494C468" w14:textId="02A57142" w:rsidR="00654CF8" w:rsidRDefault="00654CF8" w:rsidP="00654CF8">
      <w:pPr>
        <w:pStyle w:val="Testosegnaposto1"/>
        <w:keepNext w:val="0"/>
        <w:widowControl w:val="0"/>
        <w:spacing w:after="120"/>
        <w:jc w:val="center"/>
        <w:rPr>
          <w:rFonts w:ascii="Arial" w:hAnsi="Arial" w:cs="Arial"/>
          <w:b/>
          <w:sz w:val="22"/>
          <w:szCs w:val="22"/>
        </w:rPr>
      </w:pPr>
      <w:bookmarkStart w:id="10" w:name="_Toc433628084"/>
      <w:bookmarkStart w:id="11" w:name="_Toc433964781"/>
      <w:r w:rsidRPr="003A3829">
        <w:rPr>
          <w:rFonts w:ascii="Arial" w:hAnsi="Arial" w:cs="Arial"/>
          <w:b/>
          <w:sz w:val="22"/>
          <w:szCs w:val="22"/>
        </w:rPr>
        <w:t xml:space="preserve">Art. </w:t>
      </w:r>
      <w:r w:rsidR="00E14C37">
        <w:rPr>
          <w:rFonts w:ascii="Arial" w:hAnsi="Arial" w:cs="Arial"/>
          <w:b/>
          <w:sz w:val="22"/>
          <w:szCs w:val="22"/>
        </w:rPr>
        <w:t>1</w:t>
      </w:r>
      <w:r w:rsidR="00B77B96">
        <w:rPr>
          <w:rFonts w:ascii="Arial" w:hAnsi="Arial" w:cs="Arial"/>
          <w:b/>
          <w:sz w:val="22"/>
          <w:szCs w:val="22"/>
        </w:rPr>
        <w:t>3</w:t>
      </w:r>
      <w:r w:rsidRPr="003A3829">
        <w:rPr>
          <w:rFonts w:ascii="Arial" w:hAnsi="Arial" w:cs="Arial"/>
          <w:b/>
          <w:sz w:val="22"/>
          <w:szCs w:val="22"/>
        </w:rPr>
        <w:t xml:space="preserve"> Risoluzione del contratto</w:t>
      </w:r>
      <w:bookmarkEnd w:id="10"/>
      <w:bookmarkEnd w:id="11"/>
    </w:p>
    <w:p w14:paraId="58910AEB" w14:textId="77777777" w:rsidR="008B7FEE" w:rsidRPr="003A3829" w:rsidRDefault="008B7FEE" w:rsidP="00654CF8">
      <w:pPr>
        <w:pStyle w:val="Testosegnaposto1"/>
        <w:keepNext w:val="0"/>
        <w:widowControl w:val="0"/>
        <w:spacing w:after="120"/>
        <w:jc w:val="center"/>
        <w:rPr>
          <w:rFonts w:ascii="Arial" w:eastAsia="Times New Roman" w:hAnsi="Arial" w:cs="Arial"/>
          <w:b/>
          <w:sz w:val="22"/>
          <w:szCs w:val="22"/>
          <w:lang w:eastAsia="ar-SA"/>
        </w:rPr>
      </w:pPr>
    </w:p>
    <w:p w14:paraId="1A3FA592" w14:textId="034CE80B" w:rsidR="00654CF8" w:rsidRPr="003A3829" w:rsidRDefault="00654CF8" w:rsidP="00654CF8">
      <w:pPr>
        <w:spacing w:after="120"/>
        <w:contextualSpacing/>
        <w:jc w:val="both"/>
        <w:rPr>
          <w:rFonts w:ascii="Arial" w:hAnsi="Arial" w:cs="Arial"/>
          <w:sz w:val="22"/>
          <w:szCs w:val="22"/>
        </w:rPr>
      </w:pPr>
      <w:r w:rsidRPr="003A3829">
        <w:rPr>
          <w:rFonts w:ascii="Arial" w:hAnsi="Arial" w:cs="Arial"/>
          <w:sz w:val="22"/>
          <w:szCs w:val="22"/>
        </w:rPr>
        <w:t>Il contratto è risolto di diritto ai sensi dell'art. 1456 del Codice Civile (clausola risolutiva espressa), previa contestazione degli addebiti da parte</w:t>
      </w:r>
      <w:r w:rsidR="00900BEF">
        <w:rPr>
          <w:rFonts w:ascii="Arial" w:hAnsi="Arial" w:cs="Arial"/>
          <w:sz w:val="22"/>
          <w:szCs w:val="22"/>
        </w:rPr>
        <w:t xml:space="preserve"> del Servizio regionale “Sviluppo rurale e agricoltura sostenibile”</w:t>
      </w:r>
      <w:r w:rsidRPr="003A3829">
        <w:rPr>
          <w:rFonts w:ascii="Arial" w:hAnsi="Arial" w:cs="Arial"/>
          <w:sz w:val="22"/>
          <w:szCs w:val="22"/>
        </w:rPr>
        <w:t xml:space="preserve"> a mezzo raccomandata A/R anticipata via fax, qualora si verifichi una delle situazioni di seguito elencate:</w:t>
      </w:r>
    </w:p>
    <w:p w14:paraId="16BF9913" w14:textId="77777777" w:rsidR="00654CF8" w:rsidRPr="003A3829" w:rsidRDefault="00654CF8" w:rsidP="00654CF8">
      <w:pPr>
        <w:numPr>
          <w:ilvl w:val="0"/>
          <w:numId w:val="2"/>
        </w:numPr>
        <w:tabs>
          <w:tab w:val="clear" w:pos="1512"/>
          <w:tab w:val="left" w:pos="360"/>
          <w:tab w:val="num" w:pos="540"/>
        </w:tabs>
        <w:spacing w:after="120"/>
        <w:ind w:left="360"/>
        <w:contextualSpacing/>
        <w:jc w:val="both"/>
        <w:rPr>
          <w:rFonts w:ascii="Arial" w:hAnsi="Arial" w:cs="Arial"/>
          <w:sz w:val="22"/>
          <w:szCs w:val="22"/>
        </w:rPr>
      </w:pPr>
      <w:r w:rsidRPr="003A3829">
        <w:rPr>
          <w:rFonts w:ascii="Arial" w:hAnsi="Arial" w:cs="Arial"/>
          <w:sz w:val="22"/>
          <w:szCs w:val="22"/>
        </w:rPr>
        <w:t>malafede, frode o negligenza nell'esecuzione del servizio, che determinano il venir meno del rapporto fiduciario con l'Amministrazione regionale;</w:t>
      </w:r>
    </w:p>
    <w:p w14:paraId="4F6028DF" w14:textId="77777777" w:rsidR="00654CF8" w:rsidRPr="003A3829" w:rsidRDefault="00654CF8" w:rsidP="00654CF8">
      <w:pPr>
        <w:numPr>
          <w:ilvl w:val="0"/>
          <w:numId w:val="3"/>
        </w:numPr>
        <w:tabs>
          <w:tab w:val="clear" w:pos="1512"/>
          <w:tab w:val="left" w:pos="360"/>
          <w:tab w:val="num" w:pos="540"/>
        </w:tabs>
        <w:spacing w:after="120"/>
        <w:ind w:left="360"/>
        <w:contextualSpacing/>
        <w:jc w:val="both"/>
        <w:rPr>
          <w:rFonts w:ascii="Arial" w:hAnsi="Arial" w:cs="Arial"/>
          <w:sz w:val="22"/>
          <w:szCs w:val="22"/>
        </w:rPr>
      </w:pPr>
      <w:r w:rsidRPr="003A3829">
        <w:rPr>
          <w:rFonts w:ascii="Arial" w:hAnsi="Arial" w:cs="Arial"/>
          <w:sz w:val="22"/>
          <w:szCs w:val="22"/>
        </w:rPr>
        <w:t>inadempienza accertata alle disposizioni normative in materia di rapporto di lavoro, di previdenza e di assistenza sociale;</w:t>
      </w:r>
    </w:p>
    <w:p w14:paraId="370CCAFA" w14:textId="77777777" w:rsidR="00654CF8" w:rsidRPr="003A3829" w:rsidRDefault="00654CF8" w:rsidP="00654CF8">
      <w:pPr>
        <w:numPr>
          <w:ilvl w:val="0"/>
          <w:numId w:val="4"/>
        </w:numPr>
        <w:tabs>
          <w:tab w:val="clear" w:pos="1512"/>
          <w:tab w:val="left" w:pos="360"/>
          <w:tab w:val="num" w:pos="540"/>
        </w:tabs>
        <w:spacing w:after="120"/>
        <w:ind w:left="360"/>
        <w:contextualSpacing/>
        <w:jc w:val="both"/>
        <w:rPr>
          <w:rFonts w:ascii="Arial" w:hAnsi="Arial" w:cs="Arial"/>
          <w:sz w:val="22"/>
          <w:szCs w:val="22"/>
        </w:rPr>
      </w:pPr>
      <w:r w:rsidRPr="003A3829">
        <w:rPr>
          <w:rFonts w:ascii="Arial" w:hAnsi="Arial" w:cs="Arial"/>
          <w:sz w:val="22"/>
          <w:szCs w:val="22"/>
        </w:rPr>
        <w:t>arbitrario abbandono o sospensione, non dovuti a cause di forza maggiore, di tutto o parte del servizio oggetto del contratto;</w:t>
      </w:r>
    </w:p>
    <w:p w14:paraId="00D3BC1B" w14:textId="77777777" w:rsidR="00654CF8" w:rsidRPr="003A3829" w:rsidRDefault="00654CF8" w:rsidP="00654CF8">
      <w:pPr>
        <w:numPr>
          <w:ilvl w:val="0"/>
          <w:numId w:val="5"/>
        </w:numPr>
        <w:tabs>
          <w:tab w:val="clear" w:pos="1512"/>
          <w:tab w:val="left" w:pos="360"/>
          <w:tab w:val="num" w:pos="540"/>
        </w:tabs>
        <w:spacing w:after="120"/>
        <w:ind w:left="360" w:hanging="360"/>
        <w:contextualSpacing/>
        <w:rPr>
          <w:rFonts w:ascii="Arial" w:hAnsi="Arial" w:cs="Arial"/>
          <w:sz w:val="22"/>
          <w:szCs w:val="22"/>
        </w:rPr>
      </w:pPr>
      <w:r w:rsidRPr="003A3829">
        <w:rPr>
          <w:rFonts w:ascii="Arial" w:hAnsi="Arial" w:cs="Arial"/>
          <w:sz w:val="22"/>
          <w:szCs w:val="22"/>
        </w:rPr>
        <w:t>cessione (anche parziale) del contratto; .</w:t>
      </w:r>
    </w:p>
    <w:p w14:paraId="55E3FEC5" w14:textId="77777777" w:rsidR="00654CF8" w:rsidRPr="003A3829" w:rsidRDefault="00654CF8" w:rsidP="00654CF8">
      <w:pPr>
        <w:numPr>
          <w:ilvl w:val="0"/>
          <w:numId w:val="6"/>
        </w:numPr>
        <w:tabs>
          <w:tab w:val="left" w:pos="360"/>
          <w:tab w:val="num" w:pos="540"/>
        </w:tabs>
        <w:spacing w:after="120"/>
        <w:ind w:left="360" w:hanging="360"/>
        <w:contextualSpacing/>
        <w:jc w:val="both"/>
        <w:rPr>
          <w:rFonts w:ascii="Arial" w:hAnsi="Arial" w:cs="Arial"/>
          <w:sz w:val="22"/>
          <w:szCs w:val="22"/>
        </w:rPr>
      </w:pPr>
      <w:r w:rsidRPr="003A3829">
        <w:rPr>
          <w:rFonts w:ascii="Arial" w:hAnsi="Arial" w:cs="Arial"/>
          <w:sz w:val="22"/>
          <w:szCs w:val="22"/>
        </w:rPr>
        <w:t>per impossibilità sopravvenuta, qualora l'aggiudicatario venga dichiarato fallito o comunque ammesso a procedure fallimentari alternative, fatti salvi tutti i diritti dell'Amministrazione verso la massa fallimentare;</w:t>
      </w:r>
    </w:p>
    <w:p w14:paraId="26B1B6CB" w14:textId="77777777" w:rsidR="00654CF8" w:rsidRPr="003A3829" w:rsidRDefault="00654CF8" w:rsidP="00654CF8">
      <w:pPr>
        <w:numPr>
          <w:ilvl w:val="0"/>
          <w:numId w:val="7"/>
        </w:numPr>
        <w:tabs>
          <w:tab w:val="left" w:pos="360"/>
          <w:tab w:val="num" w:pos="540"/>
        </w:tabs>
        <w:spacing w:after="120"/>
        <w:ind w:left="360"/>
        <w:contextualSpacing/>
        <w:rPr>
          <w:rFonts w:ascii="Arial" w:hAnsi="Arial" w:cs="Arial"/>
          <w:sz w:val="22"/>
          <w:szCs w:val="22"/>
        </w:rPr>
      </w:pPr>
      <w:r w:rsidRPr="003A3829">
        <w:rPr>
          <w:rFonts w:ascii="Arial" w:hAnsi="Arial" w:cs="Arial"/>
          <w:sz w:val="22"/>
          <w:szCs w:val="22"/>
        </w:rPr>
        <w:t>qualora siano già state applicate n. 3 penali nel corso della durata del contratto.</w:t>
      </w:r>
    </w:p>
    <w:p w14:paraId="0ABE45EB" w14:textId="77777777" w:rsidR="00654CF8" w:rsidRPr="003A3829" w:rsidRDefault="00654CF8" w:rsidP="00654CF8">
      <w:pPr>
        <w:tabs>
          <w:tab w:val="left" w:pos="360"/>
        </w:tabs>
        <w:spacing w:after="120"/>
        <w:ind w:left="360"/>
        <w:contextualSpacing/>
        <w:rPr>
          <w:rFonts w:ascii="Arial" w:hAnsi="Arial" w:cs="Arial"/>
          <w:sz w:val="22"/>
          <w:szCs w:val="22"/>
        </w:rPr>
      </w:pPr>
    </w:p>
    <w:p w14:paraId="408CF661" w14:textId="68610733" w:rsidR="00654CF8" w:rsidRPr="003A3829" w:rsidRDefault="00654CF8" w:rsidP="003322A4">
      <w:pPr>
        <w:spacing w:after="120"/>
        <w:ind w:right="72"/>
        <w:contextualSpacing/>
        <w:jc w:val="both"/>
        <w:rPr>
          <w:rFonts w:ascii="Arial" w:hAnsi="Arial" w:cs="Arial"/>
          <w:sz w:val="22"/>
          <w:szCs w:val="22"/>
        </w:rPr>
      </w:pPr>
      <w:r w:rsidRPr="003A3829">
        <w:rPr>
          <w:rFonts w:ascii="Arial" w:hAnsi="Arial" w:cs="Arial"/>
          <w:sz w:val="22"/>
          <w:szCs w:val="22"/>
        </w:rPr>
        <w:t xml:space="preserve">Nelle ipotesi sopraindicate il contratto sarà risolto di diritto con effetto immediato a seguito della dichiarazione dell'Amministrazione regionale, esercitata per iscritto mediante invio all'appaltatore da parte del </w:t>
      </w:r>
      <w:r w:rsidR="00900BEF">
        <w:rPr>
          <w:rFonts w:ascii="Arial" w:hAnsi="Arial" w:cs="Arial"/>
          <w:sz w:val="22"/>
          <w:szCs w:val="22"/>
        </w:rPr>
        <w:t>Servizio regionale “Sviluppo rurale e agricoltura sostenibile”</w:t>
      </w:r>
      <w:r w:rsidR="00900BEF" w:rsidRPr="003A3829">
        <w:rPr>
          <w:rFonts w:ascii="Arial" w:hAnsi="Arial" w:cs="Arial"/>
          <w:sz w:val="22"/>
          <w:szCs w:val="22"/>
        </w:rPr>
        <w:t xml:space="preserve"> </w:t>
      </w:r>
      <w:r w:rsidRPr="003A3829">
        <w:rPr>
          <w:rFonts w:ascii="Arial" w:hAnsi="Arial" w:cs="Arial"/>
          <w:sz w:val="22"/>
          <w:szCs w:val="22"/>
        </w:rPr>
        <w:t>di apposita comunicazione a mezzo raccomandata A/R anticipata via fax, di volersi avvalere della clausola risolutiva.</w:t>
      </w:r>
      <w:r w:rsidR="003322A4">
        <w:rPr>
          <w:rFonts w:ascii="Arial" w:hAnsi="Arial" w:cs="Arial"/>
          <w:sz w:val="22"/>
          <w:szCs w:val="22"/>
        </w:rPr>
        <w:t xml:space="preserve"> </w:t>
      </w:r>
      <w:r w:rsidRPr="003A3829">
        <w:rPr>
          <w:rFonts w:ascii="Arial" w:hAnsi="Arial" w:cs="Arial"/>
          <w:sz w:val="22"/>
          <w:szCs w:val="22"/>
        </w:rPr>
        <w:t>E' fatto salvo ogni diritto dell'Amministrazione regionale di procedere per i danni subiti.</w:t>
      </w:r>
      <w:r w:rsidR="003322A4">
        <w:rPr>
          <w:rFonts w:ascii="Arial" w:hAnsi="Arial" w:cs="Arial"/>
          <w:sz w:val="22"/>
          <w:szCs w:val="22"/>
        </w:rPr>
        <w:t xml:space="preserve"> </w:t>
      </w:r>
      <w:r w:rsidRPr="003A3829">
        <w:rPr>
          <w:rFonts w:ascii="Arial" w:hAnsi="Arial" w:cs="Arial"/>
          <w:sz w:val="22"/>
          <w:szCs w:val="22"/>
        </w:rPr>
        <w:t>Qualora l'Amministrazione regionale intenda avvalersi della suddetta clausola, potrà provvedere all'affidamento dell'esecuzione dell'appalto, per il periodo di tempo residuo, al concorrente che segue in graduatoria, rivalendosi sull'appaltatore a titolo di risarcimento dei danni subiti. Fuori dai casi di cui sopra, il contratto può essere risolto ai sensi dell'art. 1454 del Codice Civile, previa diffida ad adempiere, da inoltrarsi alla parte inadempiente a mezzo raccomandata A/R. contenente l'invito ad adempiere entro giorni 15 (quindici) dal ricevimento con l'avvertimento che decorso tale termine senza che il contratto sia stato adempiuto lo stesso si intende risolto di diritto senza che l'inadempiente abbia nulla a pretendere.</w:t>
      </w:r>
    </w:p>
    <w:p w14:paraId="7AD4AEF1" w14:textId="77777777" w:rsidR="00654CF8" w:rsidRPr="003A3829" w:rsidRDefault="00654CF8" w:rsidP="00654CF8">
      <w:pPr>
        <w:spacing w:after="120"/>
        <w:ind w:right="144"/>
        <w:contextualSpacing/>
        <w:jc w:val="both"/>
        <w:rPr>
          <w:rFonts w:ascii="Arial" w:hAnsi="Arial" w:cs="Arial"/>
          <w:sz w:val="22"/>
          <w:szCs w:val="22"/>
        </w:rPr>
      </w:pPr>
      <w:r w:rsidRPr="003A3829">
        <w:rPr>
          <w:rFonts w:ascii="Arial" w:hAnsi="Arial" w:cs="Arial"/>
          <w:sz w:val="22"/>
          <w:szCs w:val="22"/>
        </w:rPr>
        <w:t>In ogni caso è fatto salvo ogni diritto dell'Amministrazione regionale di procedere per tutti i danni subiti in conseguenza della risoluzione anticipata del contratto e di intraprendere ogni altra azione opportuna per la tutela dei propri diritti.</w:t>
      </w:r>
      <w:bookmarkStart w:id="12" w:name="_Toc433628085"/>
      <w:bookmarkStart w:id="13" w:name="_Toc433964782"/>
    </w:p>
    <w:p w14:paraId="4C484D3C" w14:textId="77777777" w:rsidR="00654CF8" w:rsidRDefault="00654CF8" w:rsidP="00654CF8">
      <w:pPr>
        <w:spacing w:after="120"/>
        <w:ind w:right="144"/>
        <w:contextualSpacing/>
        <w:jc w:val="both"/>
        <w:rPr>
          <w:rFonts w:ascii="Arial" w:hAnsi="Arial" w:cs="Arial"/>
          <w:sz w:val="22"/>
          <w:szCs w:val="22"/>
        </w:rPr>
      </w:pPr>
    </w:p>
    <w:p w14:paraId="1A7652D2" w14:textId="77777777" w:rsidR="00B77B96" w:rsidRDefault="00B77B96" w:rsidP="00654CF8">
      <w:pPr>
        <w:spacing w:after="120"/>
        <w:ind w:right="144"/>
        <w:contextualSpacing/>
        <w:jc w:val="both"/>
        <w:rPr>
          <w:rFonts w:ascii="Arial" w:hAnsi="Arial" w:cs="Arial"/>
          <w:sz w:val="22"/>
          <w:szCs w:val="22"/>
        </w:rPr>
      </w:pPr>
    </w:p>
    <w:p w14:paraId="485413A9" w14:textId="77777777" w:rsidR="00B77B96" w:rsidRPr="003A3829" w:rsidRDefault="00B77B96" w:rsidP="00654CF8">
      <w:pPr>
        <w:spacing w:after="120"/>
        <w:ind w:right="144"/>
        <w:contextualSpacing/>
        <w:jc w:val="both"/>
        <w:rPr>
          <w:rFonts w:ascii="Arial" w:hAnsi="Arial" w:cs="Arial"/>
          <w:sz w:val="22"/>
          <w:szCs w:val="22"/>
        </w:rPr>
      </w:pPr>
    </w:p>
    <w:p w14:paraId="4A2964BB" w14:textId="53521059" w:rsidR="001F052D" w:rsidRDefault="00654CF8" w:rsidP="00F57F3F">
      <w:pPr>
        <w:spacing w:after="120"/>
        <w:ind w:right="144"/>
        <w:contextualSpacing/>
        <w:jc w:val="center"/>
        <w:rPr>
          <w:rFonts w:ascii="Arial" w:hAnsi="Arial" w:cs="Arial"/>
          <w:b/>
          <w:sz w:val="22"/>
          <w:szCs w:val="22"/>
        </w:rPr>
      </w:pPr>
      <w:r w:rsidRPr="003A3829">
        <w:rPr>
          <w:rFonts w:ascii="Arial" w:hAnsi="Arial" w:cs="Arial"/>
          <w:b/>
          <w:sz w:val="22"/>
          <w:szCs w:val="22"/>
        </w:rPr>
        <w:t xml:space="preserve">Art. </w:t>
      </w:r>
      <w:r w:rsidR="00E14C37">
        <w:rPr>
          <w:rFonts w:ascii="Arial" w:hAnsi="Arial" w:cs="Arial"/>
          <w:b/>
          <w:sz w:val="22"/>
          <w:szCs w:val="22"/>
        </w:rPr>
        <w:t>1</w:t>
      </w:r>
      <w:r w:rsidR="00B77B96">
        <w:rPr>
          <w:rFonts w:ascii="Arial" w:hAnsi="Arial" w:cs="Arial"/>
          <w:b/>
          <w:sz w:val="22"/>
          <w:szCs w:val="22"/>
        </w:rPr>
        <w:t>4</w:t>
      </w:r>
      <w:r w:rsidRPr="003A3829">
        <w:rPr>
          <w:rFonts w:ascii="Arial" w:hAnsi="Arial" w:cs="Arial"/>
          <w:b/>
          <w:sz w:val="22"/>
          <w:szCs w:val="22"/>
        </w:rPr>
        <w:t xml:space="preserve"> Revisione Prezzi</w:t>
      </w:r>
      <w:bookmarkEnd w:id="12"/>
      <w:bookmarkEnd w:id="13"/>
    </w:p>
    <w:p w14:paraId="4F5CCF62" w14:textId="77777777" w:rsidR="008B7FEE" w:rsidRPr="003A3829" w:rsidRDefault="008B7FEE" w:rsidP="00F57F3F">
      <w:pPr>
        <w:spacing w:after="120"/>
        <w:ind w:right="144"/>
        <w:contextualSpacing/>
        <w:jc w:val="center"/>
        <w:rPr>
          <w:rFonts w:ascii="Arial" w:hAnsi="Arial" w:cs="Arial"/>
          <w:b/>
          <w:sz w:val="22"/>
          <w:szCs w:val="22"/>
        </w:rPr>
      </w:pPr>
    </w:p>
    <w:p w14:paraId="310A252A" w14:textId="77777777" w:rsidR="00654CF8" w:rsidRPr="003A3829" w:rsidRDefault="00654CF8" w:rsidP="00654CF8">
      <w:pPr>
        <w:spacing w:after="120" w:line="276" w:lineRule="atLeast"/>
        <w:contextualSpacing/>
        <w:jc w:val="both"/>
        <w:rPr>
          <w:rFonts w:ascii="Arial" w:hAnsi="Arial" w:cs="Arial"/>
          <w:bCs/>
          <w:sz w:val="22"/>
          <w:szCs w:val="22"/>
        </w:rPr>
      </w:pPr>
      <w:r w:rsidRPr="003A3829">
        <w:rPr>
          <w:rFonts w:ascii="Arial" w:hAnsi="Arial" w:cs="Arial"/>
          <w:bCs/>
          <w:sz w:val="22"/>
          <w:szCs w:val="22"/>
        </w:rPr>
        <w:t xml:space="preserve">Il corrispettivo offerto in sede di gara è sottoposto a revisione annuale, a decorrere dal secondo anno di esecuzione del servizio, a richiesta dell’Appaltatore, </w:t>
      </w:r>
      <w:r w:rsidR="00714403" w:rsidRPr="003A3829">
        <w:rPr>
          <w:rFonts w:ascii="Arial" w:hAnsi="Arial" w:cs="Arial"/>
          <w:bCs/>
          <w:sz w:val="22"/>
          <w:szCs w:val="22"/>
        </w:rPr>
        <w:t>ai sensi dell’art. 106, D.</w:t>
      </w:r>
      <w:r w:rsidR="00AB0721" w:rsidRPr="003A3829">
        <w:rPr>
          <w:rFonts w:ascii="Arial" w:hAnsi="Arial" w:cs="Arial"/>
          <w:bCs/>
          <w:sz w:val="22"/>
          <w:szCs w:val="22"/>
        </w:rPr>
        <w:t xml:space="preserve"> </w:t>
      </w:r>
      <w:r w:rsidR="00714403" w:rsidRPr="003A3829">
        <w:rPr>
          <w:rFonts w:ascii="Arial" w:hAnsi="Arial" w:cs="Arial"/>
          <w:bCs/>
          <w:sz w:val="22"/>
          <w:szCs w:val="22"/>
        </w:rPr>
        <w:t>Lgs 18 aprile 2016</w:t>
      </w:r>
      <w:r w:rsidRPr="003A3829">
        <w:rPr>
          <w:rFonts w:ascii="Arial" w:hAnsi="Arial" w:cs="Arial"/>
          <w:bCs/>
          <w:sz w:val="22"/>
          <w:szCs w:val="22"/>
        </w:rPr>
        <w:t>, con particolare riguardo all’indice ISTAT FOI.</w:t>
      </w:r>
      <w:bookmarkStart w:id="14" w:name="_Toc433628086"/>
      <w:bookmarkStart w:id="15" w:name="_Toc433964783"/>
    </w:p>
    <w:p w14:paraId="6D407DD1" w14:textId="77777777" w:rsidR="00654CF8" w:rsidRDefault="00654CF8" w:rsidP="00654CF8">
      <w:pPr>
        <w:spacing w:after="120" w:line="276" w:lineRule="atLeast"/>
        <w:contextualSpacing/>
        <w:jc w:val="both"/>
        <w:rPr>
          <w:rFonts w:ascii="Arial" w:hAnsi="Arial" w:cs="Arial"/>
          <w:bCs/>
          <w:sz w:val="22"/>
          <w:szCs w:val="22"/>
        </w:rPr>
      </w:pPr>
    </w:p>
    <w:p w14:paraId="5E27B8A7" w14:textId="77777777" w:rsidR="001F052D" w:rsidRPr="003A3829" w:rsidRDefault="001F052D" w:rsidP="00654CF8">
      <w:pPr>
        <w:spacing w:after="120" w:line="276" w:lineRule="atLeast"/>
        <w:contextualSpacing/>
        <w:jc w:val="both"/>
        <w:rPr>
          <w:rFonts w:ascii="Arial" w:hAnsi="Arial" w:cs="Arial"/>
          <w:bCs/>
          <w:sz w:val="22"/>
          <w:szCs w:val="22"/>
        </w:rPr>
      </w:pPr>
    </w:p>
    <w:p w14:paraId="23BEF023" w14:textId="4BDADCC8" w:rsidR="001F052D" w:rsidRDefault="00654CF8" w:rsidP="00EF040C">
      <w:pPr>
        <w:spacing w:after="120" w:line="276" w:lineRule="atLeast"/>
        <w:contextualSpacing/>
        <w:jc w:val="center"/>
        <w:rPr>
          <w:rFonts w:ascii="Arial" w:hAnsi="Arial" w:cs="Arial"/>
          <w:b/>
          <w:sz w:val="22"/>
          <w:szCs w:val="22"/>
        </w:rPr>
      </w:pPr>
      <w:r w:rsidRPr="003A3829">
        <w:rPr>
          <w:rFonts w:ascii="Arial" w:hAnsi="Arial" w:cs="Arial"/>
          <w:b/>
          <w:sz w:val="22"/>
          <w:szCs w:val="22"/>
        </w:rPr>
        <w:t xml:space="preserve">Art. </w:t>
      </w:r>
      <w:r w:rsidR="00E14C37">
        <w:rPr>
          <w:rFonts w:ascii="Arial" w:hAnsi="Arial" w:cs="Arial"/>
          <w:b/>
          <w:sz w:val="22"/>
          <w:szCs w:val="22"/>
        </w:rPr>
        <w:t>1</w:t>
      </w:r>
      <w:r w:rsidR="00B77B96">
        <w:rPr>
          <w:rFonts w:ascii="Arial" w:hAnsi="Arial" w:cs="Arial"/>
          <w:b/>
          <w:sz w:val="22"/>
          <w:szCs w:val="22"/>
        </w:rPr>
        <w:t>5</w:t>
      </w:r>
      <w:r w:rsidR="00E14C37">
        <w:rPr>
          <w:rFonts w:ascii="Arial" w:hAnsi="Arial" w:cs="Arial"/>
          <w:b/>
          <w:sz w:val="22"/>
          <w:szCs w:val="22"/>
        </w:rPr>
        <w:t xml:space="preserve"> Oneri</w:t>
      </w:r>
      <w:r w:rsidRPr="003A3829">
        <w:rPr>
          <w:rFonts w:ascii="Arial" w:hAnsi="Arial" w:cs="Arial"/>
          <w:b/>
          <w:sz w:val="22"/>
          <w:szCs w:val="22"/>
        </w:rPr>
        <w:t xml:space="preserve"> a carico della ditta aggiudicataria</w:t>
      </w:r>
      <w:bookmarkEnd w:id="14"/>
      <w:bookmarkEnd w:id="15"/>
    </w:p>
    <w:p w14:paraId="31EA5D2D" w14:textId="77777777" w:rsidR="004B32D5" w:rsidRPr="003A3829" w:rsidRDefault="004B32D5" w:rsidP="00EF040C">
      <w:pPr>
        <w:spacing w:after="120" w:line="276" w:lineRule="atLeast"/>
        <w:contextualSpacing/>
        <w:jc w:val="center"/>
        <w:rPr>
          <w:rFonts w:ascii="Arial" w:hAnsi="Arial" w:cs="Arial"/>
          <w:b/>
          <w:sz w:val="22"/>
          <w:szCs w:val="22"/>
        </w:rPr>
      </w:pPr>
    </w:p>
    <w:p w14:paraId="6F0F2855" w14:textId="77777777" w:rsidR="00654CF8" w:rsidRPr="003A3829" w:rsidRDefault="00654CF8" w:rsidP="00654CF8">
      <w:pPr>
        <w:spacing w:after="120"/>
        <w:contextualSpacing/>
        <w:jc w:val="both"/>
        <w:rPr>
          <w:rFonts w:ascii="Arial" w:eastAsia="Times New Roman" w:hAnsi="Arial" w:cs="Arial"/>
          <w:sz w:val="22"/>
          <w:szCs w:val="22"/>
        </w:rPr>
      </w:pPr>
      <w:r w:rsidRPr="003A3829">
        <w:rPr>
          <w:rFonts w:ascii="Arial" w:eastAsia="Times New Roman" w:hAnsi="Arial" w:cs="Arial"/>
          <w:sz w:val="22"/>
          <w:szCs w:val="22"/>
        </w:rPr>
        <w:t>Sono a carico della ditta aggiudicataria tutti gli oneri derivanti dall'assolvimento degli obblighi contributivi previdenziali e assicurativi a favore del personale impiegato nell'espletamento dei servizio oggetto del presente capitolato. La responsabilità per gli infortuni del personale impiegato ricadrà unicamente sulla ditta aggiudicataria lasciando indenne l'Amministrazione Regionale da qualsiasi eventuale responsabilità al riguardo.</w:t>
      </w:r>
      <w:r w:rsidR="003322A4">
        <w:rPr>
          <w:rFonts w:ascii="Arial" w:eastAsia="Times New Roman" w:hAnsi="Arial" w:cs="Arial"/>
          <w:sz w:val="22"/>
          <w:szCs w:val="22"/>
        </w:rPr>
        <w:t xml:space="preserve"> </w:t>
      </w:r>
      <w:r w:rsidRPr="003A3829">
        <w:rPr>
          <w:rFonts w:ascii="Arial" w:eastAsia="Times New Roman" w:hAnsi="Arial" w:cs="Arial"/>
          <w:sz w:val="22"/>
          <w:szCs w:val="22"/>
        </w:rPr>
        <w:t>La ditta aggiudicataria dovrà applicare, nei confronti dei dipendenti occupati nelle prestazioni oggetto del presente capitolato, condizioni normative e retributive non inferiori a quelle risultanti dai contratti di lavoro della categoria e dagli accordi integrativi territoriali. La ditta aggiudicataria è responsabile, altresì, per infortuni e/o danni arrecati a persone e/o cose dell'Amministrazione Regionale e/o a terzi, derivanti dall'espletamento delle prestazioni contrattuali per fatto proprio o dei suoi dipendenti e collaboratori, sollevando l'Amministrazione Regionale da qualsiasi eventuale responsabilità.</w:t>
      </w:r>
    </w:p>
    <w:p w14:paraId="338B38DE" w14:textId="77777777" w:rsidR="00654CF8" w:rsidRPr="003A3829" w:rsidRDefault="00654CF8" w:rsidP="00654CF8">
      <w:pPr>
        <w:spacing w:after="120"/>
        <w:contextualSpacing/>
        <w:jc w:val="both"/>
        <w:rPr>
          <w:rFonts w:ascii="Arial" w:hAnsi="Arial" w:cs="Arial"/>
          <w:sz w:val="22"/>
          <w:szCs w:val="22"/>
        </w:rPr>
      </w:pPr>
      <w:r w:rsidRPr="003A3829">
        <w:rPr>
          <w:rFonts w:ascii="Arial" w:hAnsi="Arial" w:cs="Arial"/>
          <w:sz w:val="22"/>
          <w:szCs w:val="22"/>
        </w:rPr>
        <w:t>La ditta aggiudicataria è tenuta ad assicurare la riservatezza delle informazioni, dei documenti e degli atti amministrativi dei quali venga a conoscenza durante l'esecuzione della prestazione.</w:t>
      </w:r>
    </w:p>
    <w:p w14:paraId="7F117D61" w14:textId="77777777" w:rsidR="00654CF8" w:rsidRPr="003A3829" w:rsidRDefault="00654CF8" w:rsidP="00654CF8">
      <w:pPr>
        <w:spacing w:after="120"/>
        <w:contextualSpacing/>
        <w:jc w:val="both"/>
        <w:rPr>
          <w:rFonts w:ascii="Arial" w:hAnsi="Arial" w:cs="Arial"/>
          <w:sz w:val="22"/>
          <w:szCs w:val="22"/>
        </w:rPr>
      </w:pPr>
      <w:r w:rsidRPr="003A3829">
        <w:rPr>
          <w:rFonts w:ascii="Arial" w:hAnsi="Arial" w:cs="Arial"/>
          <w:sz w:val="22"/>
          <w:szCs w:val="22"/>
        </w:rPr>
        <w:t>La ditta aggiudicataria esonera l'Amministrazione Regionale da ogni responsabilità e onere derivante da pretese di terzi in ordine a diritti di proprietà intellettuale sull'oggetto della prestazione contrattuale.</w:t>
      </w:r>
      <w:bookmarkStart w:id="16" w:name="_Toc433628087"/>
      <w:bookmarkStart w:id="17" w:name="_Toc433964784"/>
    </w:p>
    <w:p w14:paraId="5D03DF2F" w14:textId="77777777" w:rsidR="00654CF8" w:rsidRDefault="00654CF8" w:rsidP="00654CF8">
      <w:pPr>
        <w:spacing w:after="120"/>
        <w:contextualSpacing/>
        <w:jc w:val="both"/>
        <w:rPr>
          <w:rFonts w:ascii="Arial" w:hAnsi="Arial" w:cs="Arial"/>
          <w:sz w:val="22"/>
          <w:szCs w:val="22"/>
        </w:rPr>
      </w:pPr>
    </w:p>
    <w:p w14:paraId="7895EC1B" w14:textId="77777777" w:rsidR="001F052D" w:rsidRPr="003A3829" w:rsidRDefault="001F052D" w:rsidP="00654CF8">
      <w:pPr>
        <w:spacing w:after="120"/>
        <w:contextualSpacing/>
        <w:jc w:val="both"/>
        <w:rPr>
          <w:rFonts w:ascii="Arial" w:hAnsi="Arial" w:cs="Arial"/>
          <w:sz w:val="22"/>
          <w:szCs w:val="22"/>
        </w:rPr>
      </w:pPr>
    </w:p>
    <w:p w14:paraId="68BC8FA0" w14:textId="2D2D4224" w:rsidR="001F052D" w:rsidRDefault="00654CF8" w:rsidP="00E14C37">
      <w:pPr>
        <w:spacing w:after="120"/>
        <w:contextualSpacing/>
        <w:jc w:val="center"/>
        <w:rPr>
          <w:rFonts w:ascii="Arial" w:hAnsi="Arial" w:cs="Arial"/>
          <w:b/>
          <w:sz w:val="22"/>
          <w:szCs w:val="22"/>
        </w:rPr>
      </w:pPr>
      <w:r w:rsidRPr="003A3829">
        <w:rPr>
          <w:rFonts w:ascii="Arial" w:hAnsi="Arial" w:cs="Arial"/>
          <w:b/>
          <w:sz w:val="22"/>
          <w:szCs w:val="22"/>
        </w:rPr>
        <w:t xml:space="preserve">Art. </w:t>
      </w:r>
      <w:r w:rsidR="00E14C37">
        <w:rPr>
          <w:rFonts w:ascii="Arial" w:hAnsi="Arial" w:cs="Arial"/>
          <w:b/>
          <w:sz w:val="22"/>
          <w:szCs w:val="22"/>
        </w:rPr>
        <w:t>1</w:t>
      </w:r>
      <w:r w:rsidR="00B77B96">
        <w:rPr>
          <w:rFonts w:ascii="Arial" w:hAnsi="Arial" w:cs="Arial"/>
          <w:b/>
          <w:sz w:val="22"/>
          <w:szCs w:val="22"/>
        </w:rPr>
        <w:t>6</w:t>
      </w:r>
      <w:r w:rsidRPr="003A3829">
        <w:rPr>
          <w:rFonts w:ascii="Arial" w:hAnsi="Arial" w:cs="Arial"/>
          <w:b/>
          <w:sz w:val="22"/>
          <w:szCs w:val="22"/>
        </w:rPr>
        <w:t xml:space="preserve"> Subappalto e divieto di cessione del contratto</w:t>
      </w:r>
      <w:bookmarkEnd w:id="16"/>
      <w:bookmarkEnd w:id="17"/>
    </w:p>
    <w:p w14:paraId="368CBFAA" w14:textId="77777777" w:rsidR="008B7FEE" w:rsidRPr="003A3829" w:rsidRDefault="008B7FEE" w:rsidP="00E14C37">
      <w:pPr>
        <w:spacing w:after="120"/>
        <w:contextualSpacing/>
        <w:jc w:val="center"/>
        <w:rPr>
          <w:rFonts w:ascii="Arial" w:hAnsi="Arial" w:cs="Arial"/>
          <w:b/>
          <w:sz w:val="22"/>
          <w:szCs w:val="22"/>
        </w:rPr>
      </w:pPr>
    </w:p>
    <w:p w14:paraId="24DEDE45" w14:textId="77777777" w:rsidR="00654CF8" w:rsidRPr="003A3829" w:rsidRDefault="00654CF8" w:rsidP="00654CF8">
      <w:pPr>
        <w:spacing w:after="120"/>
        <w:contextualSpacing/>
        <w:jc w:val="both"/>
        <w:rPr>
          <w:rFonts w:ascii="Arial" w:hAnsi="Arial" w:cs="Arial"/>
          <w:sz w:val="22"/>
          <w:szCs w:val="22"/>
        </w:rPr>
      </w:pPr>
      <w:r w:rsidRPr="003A3829">
        <w:rPr>
          <w:rFonts w:ascii="Arial" w:hAnsi="Arial" w:cs="Arial"/>
          <w:sz w:val="22"/>
          <w:szCs w:val="22"/>
        </w:rPr>
        <w:t>E' ammesso il subappalto delle prestazioni contrattuali nei limiti e secondo le modalità stabiliti d</w:t>
      </w:r>
      <w:r w:rsidR="00235E0C" w:rsidRPr="003A3829">
        <w:rPr>
          <w:rFonts w:ascii="Arial" w:hAnsi="Arial" w:cs="Arial"/>
          <w:sz w:val="22"/>
          <w:szCs w:val="22"/>
        </w:rPr>
        <w:t>alla normativa vigente (art. 105</w:t>
      </w:r>
      <w:r w:rsidRPr="003A3829">
        <w:rPr>
          <w:rFonts w:ascii="Arial" w:hAnsi="Arial" w:cs="Arial"/>
          <w:sz w:val="22"/>
          <w:szCs w:val="22"/>
        </w:rPr>
        <w:t xml:space="preserve"> del D.Lgs. </w:t>
      </w:r>
      <w:r w:rsidR="00105066" w:rsidRPr="003A3829">
        <w:rPr>
          <w:rFonts w:ascii="Arial" w:eastAsia="Times New Roman" w:hAnsi="Arial" w:cs="Arial"/>
          <w:color w:val="000000"/>
          <w:sz w:val="22"/>
          <w:szCs w:val="22"/>
        </w:rPr>
        <w:t>18 aprile 2016, n. 50 e</w:t>
      </w:r>
      <w:r w:rsidRPr="003A3829">
        <w:rPr>
          <w:rFonts w:ascii="Arial" w:hAnsi="Arial" w:cs="Arial"/>
          <w:sz w:val="22"/>
          <w:szCs w:val="22"/>
        </w:rPr>
        <w:t xml:space="preserve"> succ. modd. e intt.).</w:t>
      </w:r>
    </w:p>
    <w:p w14:paraId="1501BB2F" w14:textId="77777777" w:rsidR="00654CF8" w:rsidRPr="003A3829" w:rsidRDefault="00654CF8" w:rsidP="00654CF8">
      <w:pPr>
        <w:spacing w:after="120"/>
        <w:contextualSpacing/>
        <w:jc w:val="both"/>
        <w:rPr>
          <w:rFonts w:ascii="Arial" w:hAnsi="Arial" w:cs="Arial"/>
          <w:sz w:val="22"/>
          <w:szCs w:val="22"/>
        </w:rPr>
      </w:pPr>
      <w:r w:rsidRPr="003A3829">
        <w:rPr>
          <w:rFonts w:ascii="Arial" w:hAnsi="Arial" w:cs="Arial"/>
          <w:sz w:val="22"/>
          <w:szCs w:val="22"/>
        </w:rPr>
        <w:t>La quota di servizio oggetto di subappalto non può superare, ai sensi della citata normativa, il 30% dell'importo di aggiudicazione. I soggetti concorrenti dovranno indicare nell'offerta economica le parti del servizio che intendono subappaltare a terzi.</w:t>
      </w:r>
    </w:p>
    <w:p w14:paraId="7E76C3CD" w14:textId="77777777" w:rsidR="00654CF8" w:rsidRPr="003A3829" w:rsidRDefault="00654CF8" w:rsidP="00654CF8">
      <w:pPr>
        <w:spacing w:after="120"/>
        <w:contextualSpacing/>
        <w:jc w:val="both"/>
        <w:rPr>
          <w:rFonts w:ascii="Arial" w:hAnsi="Arial" w:cs="Arial"/>
          <w:sz w:val="22"/>
          <w:szCs w:val="22"/>
        </w:rPr>
      </w:pPr>
      <w:r w:rsidRPr="003A3829">
        <w:rPr>
          <w:rFonts w:ascii="Arial" w:hAnsi="Arial" w:cs="Arial"/>
          <w:sz w:val="22"/>
          <w:szCs w:val="22"/>
        </w:rPr>
        <w:t>L'Amministrazione provvederà al pagamento del servizio oggetto di subappalto esclusivamente al soggetto aggiudicatario al quale competerà l'onere dei pagamenti in favore dei subappaltatori.</w:t>
      </w:r>
    </w:p>
    <w:p w14:paraId="2D42857C" w14:textId="77777777" w:rsidR="00654CF8" w:rsidRPr="003A3829" w:rsidRDefault="00654CF8" w:rsidP="00654CF8">
      <w:pPr>
        <w:spacing w:after="120"/>
        <w:contextualSpacing/>
        <w:jc w:val="both"/>
        <w:rPr>
          <w:rFonts w:ascii="Arial" w:hAnsi="Arial" w:cs="Arial"/>
          <w:sz w:val="22"/>
          <w:szCs w:val="22"/>
        </w:rPr>
      </w:pPr>
      <w:r w:rsidRPr="003A3829">
        <w:rPr>
          <w:rFonts w:ascii="Arial" w:hAnsi="Arial" w:cs="Arial"/>
          <w:sz w:val="22"/>
          <w:szCs w:val="22"/>
        </w:rPr>
        <w:t>Il soggetto aggiudicatario sarà in ogni caso responsabile nei confronti dell'Amministrazione per le parti del servizio affidate in subappalto, c</w:t>
      </w:r>
      <w:r w:rsidR="006C7ED5" w:rsidRPr="003A3829">
        <w:rPr>
          <w:rFonts w:ascii="Arial" w:hAnsi="Arial" w:cs="Arial"/>
          <w:sz w:val="22"/>
          <w:szCs w:val="22"/>
        </w:rPr>
        <w:t>osì come sancito dall'art. 105</w:t>
      </w:r>
      <w:r w:rsidRPr="003A3829">
        <w:rPr>
          <w:rFonts w:ascii="Arial" w:hAnsi="Arial" w:cs="Arial"/>
          <w:sz w:val="22"/>
          <w:szCs w:val="22"/>
        </w:rPr>
        <w:t xml:space="preserve">, comma </w:t>
      </w:r>
      <w:r w:rsidR="006C7ED5" w:rsidRPr="003A3829">
        <w:rPr>
          <w:rFonts w:ascii="Arial" w:hAnsi="Arial" w:cs="Arial"/>
          <w:sz w:val="22"/>
          <w:szCs w:val="22"/>
        </w:rPr>
        <w:t>8</w:t>
      </w:r>
      <w:r w:rsidRPr="003A3829">
        <w:rPr>
          <w:rFonts w:ascii="Arial" w:hAnsi="Arial" w:cs="Arial"/>
          <w:sz w:val="22"/>
          <w:szCs w:val="22"/>
        </w:rPr>
        <w:t xml:space="preserve">, del D.Lgs. </w:t>
      </w:r>
      <w:r w:rsidR="00105066" w:rsidRPr="003A3829">
        <w:rPr>
          <w:rFonts w:ascii="Arial" w:eastAsia="Times New Roman" w:hAnsi="Arial" w:cs="Arial"/>
          <w:color w:val="000000"/>
          <w:sz w:val="22"/>
          <w:szCs w:val="22"/>
        </w:rPr>
        <w:t>18 aprile 2016, n. 50</w:t>
      </w:r>
      <w:r w:rsidRPr="003A3829">
        <w:rPr>
          <w:rFonts w:ascii="Arial" w:hAnsi="Arial" w:cs="Arial"/>
          <w:sz w:val="22"/>
          <w:szCs w:val="22"/>
        </w:rPr>
        <w:t>.</w:t>
      </w:r>
    </w:p>
    <w:p w14:paraId="6C07C32E" w14:textId="77777777" w:rsidR="00654CF8" w:rsidRPr="003A3829" w:rsidRDefault="00654CF8" w:rsidP="00654CF8">
      <w:pPr>
        <w:spacing w:after="120"/>
        <w:contextualSpacing/>
        <w:jc w:val="both"/>
        <w:rPr>
          <w:rFonts w:ascii="Arial" w:hAnsi="Arial" w:cs="Arial"/>
          <w:sz w:val="22"/>
          <w:szCs w:val="22"/>
        </w:rPr>
      </w:pPr>
      <w:r w:rsidRPr="003A3829">
        <w:rPr>
          <w:rFonts w:ascii="Arial" w:hAnsi="Arial" w:cs="Arial"/>
          <w:sz w:val="22"/>
          <w:szCs w:val="22"/>
        </w:rPr>
        <w:t>In caso di subappalto, il soggetto aggiudicatario (appaltatore) dovrà:</w:t>
      </w:r>
    </w:p>
    <w:p w14:paraId="00D7B373" w14:textId="3C40DE5A" w:rsidR="00931D7F" w:rsidRPr="003A3829" w:rsidRDefault="00654CF8" w:rsidP="00931D7F">
      <w:pPr>
        <w:numPr>
          <w:ilvl w:val="0"/>
          <w:numId w:val="8"/>
        </w:numPr>
        <w:spacing w:after="120"/>
        <w:contextualSpacing/>
        <w:jc w:val="both"/>
        <w:rPr>
          <w:rFonts w:ascii="Arial" w:hAnsi="Arial" w:cs="Arial"/>
          <w:sz w:val="22"/>
          <w:szCs w:val="22"/>
        </w:rPr>
      </w:pPr>
      <w:r w:rsidRPr="003A3829">
        <w:rPr>
          <w:rFonts w:ascii="Arial" w:hAnsi="Arial" w:cs="Arial"/>
          <w:sz w:val="22"/>
          <w:szCs w:val="22"/>
        </w:rPr>
        <w:t xml:space="preserve">inoltrare la specifica richiesta di subappalto alla Regione Umbria - Giunta Regionale - </w:t>
      </w:r>
      <w:r w:rsidR="004B32D5" w:rsidRPr="004B32D5">
        <w:rPr>
          <w:rFonts w:ascii="Arial" w:hAnsi="Arial" w:cs="Arial"/>
          <w:sz w:val="22"/>
          <w:szCs w:val="22"/>
        </w:rPr>
        <w:t>Regionale Agricoltura e Foreste, Aree Protette, valorizzazione dei sistemi naturalistici e paesaggistici, beni e attività culturali, sport e spettacolo</w:t>
      </w:r>
      <w:r w:rsidRPr="003A3829">
        <w:rPr>
          <w:rFonts w:ascii="Arial" w:hAnsi="Arial" w:cs="Arial"/>
          <w:sz w:val="22"/>
          <w:szCs w:val="22"/>
        </w:rPr>
        <w:t xml:space="preserve">, la quale provvederà all'autorizzazione con separato atto, previa acquisizione e verifica della relativa documentazione prevista dall'art. </w:t>
      </w:r>
      <w:r w:rsidR="003D7B60" w:rsidRPr="003A3829">
        <w:rPr>
          <w:rFonts w:ascii="Arial" w:hAnsi="Arial" w:cs="Arial"/>
          <w:sz w:val="22"/>
          <w:szCs w:val="22"/>
        </w:rPr>
        <w:t xml:space="preserve">105 del D.Lgs. </w:t>
      </w:r>
      <w:r w:rsidR="003D7B60" w:rsidRPr="003A3829">
        <w:rPr>
          <w:rFonts w:ascii="Arial" w:eastAsia="Times New Roman" w:hAnsi="Arial" w:cs="Arial"/>
          <w:color w:val="000000"/>
          <w:sz w:val="22"/>
          <w:szCs w:val="22"/>
        </w:rPr>
        <w:t>18 aprile 2016, n. 50</w:t>
      </w:r>
      <w:r w:rsidR="00CE688B" w:rsidRPr="003A3829">
        <w:rPr>
          <w:rFonts w:ascii="Arial" w:hAnsi="Arial" w:cs="Arial"/>
          <w:sz w:val="22"/>
          <w:szCs w:val="22"/>
        </w:rPr>
        <w:t xml:space="preserve"> e succ. mod. e int. La richiesta </w:t>
      </w:r>
      <w:r w:rsidR="00A6547D" w:rsidRPr="003A3829">
        <w:rPr>
          <w:rFonts w:ascii="Arial" w:hAnsi="Arial" w:cs="Arial"/>
          <w:sz w:val="22"/>
          <w:szCs w:val="22"/>
        </w:rPr>
        <w:t>di subappalto indicante</w:t>
      </w:r>
      <w:r w:rsidR="00CE688B" w:rsidRPr="003A3829">
        <w:rPr>
          <w:rFonts w:ascii="Arial" w:hAnsi="Arial" w:cs="Arial"/>
          <w:sz w:val="22"/>
          <w:szCs w:val="22"/>
        </w:rPr>
        <w:t xml:space="preserve"> i servizi o parti di servizi che </w:t>
      </w:r>
      <w:r w:rsidR="00A6547D" w:rsidRPr="003A3829">
        <w:rPr>
          <w:rFonts w:ascii="Arial" w:hAnsi="Arial" w:cs="Arial"/>
          <w:sz w:val="22"/>
          <w:szCs w:val="22"/>
        </w:rPr>
        <w:t xml:space="preserve">si </w:t>
      </w:r>
      <w:r w:rsidR="00CE688B" w:rsidRPr="003A3829">
        <w:rPr>
          <w:rFonts w:ascii="Arial" w:hAnsi="Arial" w:cs="Arial"/>
          <w:sz w:val="22"/>
          <w:szCs w:val="22"/>
        </w:rPr>
        <w:t xml:space="preserve">intendono subappaltare </w:t>
      </w:r>
      <w:r w:rsidR="00A6547D" w:rsidRPr="003A3829">
        <w:rPr>
          <w:rFonts w:ascii="Arial" w:hAnsi="Arial" w:cs="Arial"/>
          <w:sz w:val="22"/>
          <w:szCs w:val="22"/>
        </w:rPr>
        <w:t xml:space="preserve">deve essere inoltrata </w:t>
      </w:r>
      <w:r w:rsidR="0083665B" w:rsidRPr="003A3829">
        <w:rPr>
          <w:rFonts w:ascii="Arial" w:hAnsi="Arial" w:cs="Arial"/>
          <w:sz w:val="22"/>
          <w:szCs w:val="22"/>
        </w:rPr>
        <w:t xml:space="preserve">all'atto dell'offerta, così come specificato nel comma 4 dell’articolo 105 del del D.Lgs. </w:t>
      </w:r>
      <w:r w:rsidR="0083665B" w:rsidRPr="003A3829">
        <w:rPr>
          <w:rFonts w:ascii="Arial" w:eastAsia="Times New Roman" w:hAnsi="Arial" w:cs="Arial"/>
          <w:color w:val="000000"/>
          <w:sz w:val="22"/>
          <w:szCs w:val="22"/>
        </w:rPr>
        <w:t>18 aprile 2016, n. 50</w:t>
      </w:r>
      <w:r w:rsidR="0083665B" w:rsidRPr="003A3829">
        <w:rPr>
          <w:rFonts w:ascii="Arial" w:hAnsi="Arial" w:cs="Arial"/>
          <w:sz w:val="22"/>
          <w:szCs w:val="22"/>
        </w:rPr>
        <w:t xml:space="preserve"> e succ. mod. e int. </w:t>
      </w:r>
    </w:p>
    <w:p w14:paraId="6E0C0071" w14:textId="77777777" w:rsidR="00654CF8" w:rsidRPr="003A3829" w:rsidRDefault="00654CF8" w:rsidP="003315B1">
      <w:pPr>
        <w:numPr>
          <w:ilvl w:val="0"/>
          <w:numId w:val="8"/>
        </w:numPr>
        <w:spacing w:after="120"/>
        <w:contextualSpacing/>
        <w:jc w:val="both"/>
        <w:rPr>
          <w:rFonts w:ascii="Arial" w:hAnsi="Arial" w:cs="Arial"/>
          <w:sz w:val="22"/>
          <w:szCs w:val="22"/>
        </w:rPr>
      </w:pPr>
      <w:r w:rsidRPr="003A3829">
        <w:rPr>
          <w:rFonts w:ascii="Arial" w:hAnsi="Arial" w:cs="Arial"/>
          <w:sz w:val="22"/>
          <w:szCs w:val="22"/>
        </w:rPr>
        <w:t>depositare - presso la sopraccitata Direzione regionale il contratto di subappalto almeno 20 giorni prima dell'esecuzione delle relative attività;</w:t>
      </w:r>
      <w:r w:rsidR="00931D7F" w:rsidRPr="003A3829">
        <w:rPr>
          <w:rFonts w:ascii="Arial" w:hAnsi="Arial" w:cs="Arial"/>
          <w:sz w:val="22"/>
          <w:szCs w:val="22"/>
        </w:rPr>
        <w:t xml:space="preserve"> Al momento del deposito del contratto di subappalto l'affidatario trasmette altresì la certificazione attestante il possesso da parte del subappaltatore dei requisiti di qualificazione in relazione alla prestazione subappaltata e la dichiarazione del subappaltatore attestante l'assenza in capo ai subappaltatori dei motivi di esclusione di cui all'articolo 80 del D.Lgs. 18 aprile 2016, n. 50 e succ. mod. e int. </w:t>
      </w:r>
    </w:p>
    <w:p w14:paraId="5D79DBB2" w14:textId="38405207" w:rsidR="00654CF8" w:rsidRPr="003A3829" w:rsidRDefault="00654CF8" w:rsidP="00B9114D">
      <w:pPr>
        <w:numPr>
          <w:ilvl w:val="0"/>
          <w:numId w:val="9"/>
        </w:numPr>
        <w:spacing w:after="120"/>
        <w:contextualSpacing/>
        <w:jc w:val="both"/>
        <w:rPr>
          <w:rFonts w:ascii="Arial" w:hAnsi="Arial" w:cs="Arial"/>
          <w:sz w:val="22"/>
          <w:szCs w:val="22"/>
        </w:rPr>
      </w:pPr>
      <w:r w:rsidRPr="003A3829">
        <w:rPr>
          <w:rFonts w:ascii="Arial" w:hAnsi="Arial" w:cs="Arial"/>
          <w:sz w:val="22"/>
          <w:szCs w:val="22"/>
        </w:rPr>
        <w:t>garantire che non sia pendente, nei confronti del subappaltatore alcun procedimento per l'applicazione di una delle misure di prevenzione di cui all'art. 3 de</w:t>
      </w:r>
      <w:r w:rsidR="008F1927">
        <w:rPr>
          <w:rFonts w:ascii="Arial" w:hAnsi="Arial" w:cs="Arial"/>
          <w:sz w:val="22"/>
          <w:szCs w:val="22"/>
        </w:rPr>
        <w:t>l</w:t>
      </w:r>
      <w:r w:rsidRPr="003A3829">
        <w:rPr>
          <w:rFonts w:ascii="Arial" w:hAnsi="Arial" w:cs="Arial"/>
          <w:sz w:val="22"/>
          <w:szCs w:val="22"/>
        </w:rPr>
        <w:t>la legge n. 1423/1956 o di una delle cause ostative previste dall'art. 10 della L. 575/65 e ss.mm.e ii;</w:t>
      </w:r>
    </w:p>
    <w:p w14:paraId="26EE2F94" w14:textId="77777777" w:rsidR="00654CF8" w:rsidRPr="003A3829" w:rsidRDefault="00654CF8" w:rsidP="00B9114D">
      <w:pPr>
        <w:numPr>
          <w:ilvl w:val="0"/>
          <w:numId w:val="10"/>
        </w:numPr>
        <w:spacing w:after="120"/>
        <w:contextualSpacing/>
        <w:jc w:val="both"/>
        <w:rPr>
          <w:rFonts w:ascii="Arial" w:hAnsi="Arial" w:cs="Arial"/>
          <w:sz w:val="22"/>
          <w:szCs w:val="22"/>
        </w:rPr>
      </w:pPr>
      <w:r w:rsidRPr="003A3829">
        <w:rPr>
          <w:rFonts w:ascii="Arial" w:hAnsi="Arial" w:cs="Arial"/>
          <w:sz w:val="22"/>
          <w:szCs w:val="22"/>
        </w:rPr>
        <w:t>garantire che l'esecuzione delle attività subappaltate non può essere oggetto di ulteriore subappalto;</w:t>
      </w:r>
    </w:p>
    <w:p w14:paraId="1AA41A88" w14:textId="77777777" w:rsidR="00654CF8" w:rsidRPr="003A3829" w:rsidRDefault="00654CF8" w:rsidP="00B9114D">
      <w:pPr>
        <w:numPr>
          <w:ilvl w:val="0"/>
          <w:numId w:val="9"/>
        </w:numPr>
        <w:spacing w:after="120"/>
        <w:contextualSpacing/>
        <w:jc w:val="both"/>
        <w:rPr>
          <w:rFonts w:ascii="Arial" w:hAnsi="Arial" w:cs="Arial"/>
          <w:sz w:val="22"/>
          <w:szCs w:val="22"/>
        </w:rPr>
      </w:pPr>
      <w:r w:rsidRPr="003A3829">
        <w:rPr>
          <w:rFonts w:ascii="Arial" w:hAnsi="Arial" w:cs="Arial"/>
          <w:sz w:val="22"/>
          <w:szCs w:val="22"/>
        </w:rPr>
        <w:t>trasmettere entro 20 giorni dalla data di ciascun pagamento effettuato ai subappaltatori, copia delle fatture quietanzate relative ai pagamenti via via corrisposti ai subappaltatori, con l’indicazione delle ritenute di garanzia effettuate;</w:t>
      </w:r>
    </w:p>
    <w:p w14:paraId="249A9E1D" w14:textId="44179143" w:rsidR="00654CF8" w:rsidRPr="003A3829" w:rsidRDefault="00654CF8" w:rsidP="00B9114D">
      <w:pPr>
        <w:numPr>
          <w:ilvl w:val="0"/>
          <w:numId w:val="9"/>
        </w:numPr>
        <w:spacing w:after="120"/>
        <w:contextualSpacing/>
        <w:jc w:val="both"/>
        <w:rPr>
          <w:rFonts w:ascii="Arial" w:hAnsi="Arial" w:cs="Arial"/>
          <w:sz w:val="22"/>
          <w:szCs w:val="22"/>
        </w:rPr>
      </w:pPr>
      <w:r w:rsidRPr="003A3829">
        <w:rPr>
          <w:rFonts w:ascii="Arial" w:hAnsi="Arial" w:cs="Arial"/>
          <w:sz w:val="22"/>
          <w:szCs w:val="22"/>
        </w:rPr>
        <w:t>risponde</w:t>
      </w:r>
      <w:r w:rsidR="00234F3C">
        <w:rPr>
          <w:rFonts w:ascii="Arial" w:hAnsi="Arial" w:cs="Arial"/>
          <w:sz w:val="22"/>
          <w:szCs w:val="22"/>
        </w:rPr>
        <w:t>re</w:t>
      </w:r>
      <w:r w:rsidRPr="003A3829">
        <w:rPr>
          <w:rFonts w:ascii="Arial" w:hAnsi="Arial" w:cs="Arial"/>
          <w:sz w:val="22"/>
          <w:szCs w:val="22"/>
        </w:rPr>
        <w:t xml:space="preserve"> in solido con il subappaltatore della effettuazione delle ritenute fiscali sui redditi di lavoro dipendente e del versamento dei contributi previdenziali e dei contributi assicurativi obbligatori per gli infortuni sul lavoro e le malattie professionali dei dipendenti a cui è tenuto il subappaltatore.</w:t>
      </w:r>
    </w:p>
    <w:p w14:paraId="3E9F886D" w14:textId="59456BF5" w:rsidR="00654CF8" w:rsidRPr="003A3829" w:rsidRDefault="003315B1" w:rsidP="00654CF8">
      <w:pPr>
        <w:spacing w:after="120"/>
        <w:contextualSpacing/>
        <w:jc w:val="both"/>
        <w:rPr>
          <w:rFonts w:ascii="Arial" w:hAnsi="Arial" w:cs="Arial"/>
          <w:sz w:val="22"/>
          <w:szCs w:val="22"/>
        </w:rPr>
      </w:pPr>
      <w:bookmarkStart w:id="18" w:name="_Toc433628088"/>
      <w:bookmarkStart w:id="19" w:name="_Toc433964785"/>
      <w:r w:rsidRPr="003A3829">
        <w:rPr>
          <w:rFonts w:ascii="Arial" w:hAnsi="Arial" w:cs="Arial"/>
          <w:sz w:val="22"/>
          <w:szCs w:val="22"/>
        </w:rPr>
        <w:t>L'affidatario deve praticare, per le prestazioni affidate in subappalto, gli stessi prezzi unitari risultanti dall'aggiudicazione, con ribasso non superiore al 20%, nel rispetto degli standard qualitativi e prestazionali previsti nel contratto di appalto</w:t>
      </w:r>
      <w:r w:rsidR="000F2912" w:rsidRPr="003A3829">
        <w:rPr>
          <w:rFonts w:ascii="Arial" w:hAnsi="Arial" w:cs="Arial"/>
          <w:sz w:val="22"/>
          <w:szCs w:val="22"/>
        </w:rPr>
        <w:t>, così come specificato nel comma 14 dell’articolo 105 del del D.Lgs. 18 aprile 2016, n. 50 e succ. mod. e int.</w:t>
      </w:r>
    </w:p>
    <w:p w14:paraId="09418CE0" w14:textId="77777777" w:rsidR="001F052D" w:rsidRDefault="001F052D" w:rsidP="00654CF8">
      <w:pPr>
        <w:spacing w:after="120"/>
        <w:contextualSpacing/>
        <w:jc w:val="center"/>
        <w:rPr>
          <w:rFonts w:ascii="Arial" w:hAnsi="Arial" w:cs="Arial"/>
          <w:b/>
          <w:sz w:val="22"/>
          <w:szCs w:val="22"/>
        </w:rPr>
      </w:pPr>
    </w:p>
    <w:p w14:paraId="32C62798" w14:textId="77777777" w:rsidR="001F052D" w:rsidRDefault="001F052D" w:rsidP="00654CF8">
      <w:pPr>
        <w:spacing w:after="120"/>
        <w:contextualSpacing/>
        <w:jc w:val="center"/>
        <w:rPr>
          <w:rFonts w:ascii="Arial" w:hAnsi="Arial" w:cs="Arial"/>
          <w:b/>
          <w:sz w:val="22"/>
          <w:szCs w:val="22"/>
        </w:rPr>
      </w:pPr>
    </w:p>
    <w:p w14:paraId="030C8434" w14:textId="43F17BF1" w:rsidR="001F052D" w:rsidRDefault="00654CF8" w:rsidP="00E14C37">
      <w:pPr>
        <w:spacing w:after="120"/>
        <w:contextualSpacing/>
        <w:jc w:val="center"/>
        <w:rPr>
          <w:rFonts w:ascii="Arial" w:hAnsi="Arial" w:cs="Arial"/>
          <w:b/>
          <w:sz w:val="22"/>
          <w:szCs w:val="22"/>
        </w:rPr>
      </w:pPr>
      <w:r w:rsidRPr="003A3829">
        <w:rPr>
          <w:rFonts w:ascii="Arial" w:hAnsi="Arial" w:cs="Arial"/>
          <w:b/>
          <w:sz w:val="22"/>
          <w:szCs w:val="22"/>
        </w:rPr>
        <w:t xml:space="preserve">Art. </w:t>
      </w:r>
      <w:r w:rsidR="00E14C37">
        <w:rPr>
          <w:rFonts w:ascii="Arial" w:hAnsi="Arial" w:cs="Arial"/>
          <w:b/>
          <w:sz w:val="22"/>
          <w:szCs w:val="22"/>
        </w:rPr>
        <w:t>1</w:t>
      </w:r>
      <w:r w:rsidR="00B77B96">
        <w:rPr>
          <w:rFonts w:ascii="Arial" w:hAnsi="Arial" w:cs="Arial"/>
          <w:b/>
          <w:sz w:val="22"/>
          <w:szCs w:val="22"/>
        </w:rPr>
        <w:t>7</w:t>
      </w:r>
      <w:r w:rsidRPr="003A3829">
        <w:rPr>
          <w:rFonts w:ascii="Arial" w:hAnsi="Arial" w:cs="Arial"/>
          <w:sz w:val="22"/>
          <w:szCs w:val="22"/>
        </w:rPr>
        <w:t xml:space="preserve"> </w:t>
      </w:r>
      <w:r w:rsidRPr="003A3829">
        <w:rPr>
          <w:rFonts w:ascii="Arial" w:hAnsi="Arial" w:cs="Arial"/>
          <w:b/>
          <w:sz w:val="22"/>
          <w:szCs w:val="22"/>
        </w:rPr>
        <w:t>Proprietà dei prodotti</w:t>
      </w:r>
      <w:bookmarkEnd w:id="18"/>
      <w:bookmarkEnd w:id="19"/>
    </w:p>
    <w:p w14:paraId="50A1A729" w14:textId="77777777" w:rsidR="008B7FEE" w:rsidRPr="00E14C37" w:rsidRDefault="008B7FEE" w:rsidP="00E14C37">
      <w:pPr>
        <w:spacing w:after="120"/>
        <w:contextualSpacing/>
        <w:jc w:val="center"/>
        <w:rPr>
          <w:rFonts w:ascii="Arial" w:hAnsi="Arial" w:cs="Arial"/>
          <w:b/>
          <w:sz w:val="22"/>
          <w:szCs w:val="22"/>
        </w:rPr>
      </w:pPr>
    </w:p>
    <w:p w14:paraId="181B6DC3" w14:textId="1B011359" w:rsidR="00654CF8" w:rsidRDefault="00654CF8" w:rsidP="00654CF8">
      <w:pPr>
        <w:spacing w:after="120"/>
        <w:contextualSpacing/>
        <w:jc w:val="both"/>
        <w:rPr>
          <w:rFonts w:ascii="Arial" w:hAnsi="Arial" w:cs="Arial"/>
          <w:sz w:val="22"/>
          <w:szCs w:val="22"/>
        </w:rPr>
      </w:pPr>
      <w:r w:rsidRPr="003A3829">
        <w:rPr>
          <w:rFonts w:ascii="Arial" w:hAnsi="Arial" w:cs="Arial"/>
          <w:sz w:val="22"/>
          <w:szCs w:val="22"/>
        </w:rPr>
        <w:t>Tutti i prodotti realizzati quali elaborati, relazioni ed ogni altra documentazione sono di proprietà esclusiva dell'Amministrazione Regionale pertanto resta assolutamente precluso alla ditta aggiudicataria ogni uso o divulgazione, in qualsiasi forma e con qualsiasi mezzo, anche parziale dei prodotti realizzati.</w:t>
      </w:r>
      <w:bookmarkStart w:id="20" w:name="_Toc433628089"/>
      <w:bookmarkStart w:id="21" w:name="_Toc433964786"/>
    </w:p>
    <w:p w14:paraId="6F4E7D4C" w14:textId="77777777" w:rsidR="001F052D" w:rsidRPr="003A3829" w:rsidRDefault="001F052D" w:rsidP="00654CF8">
      <w:pPr>
        <w:spacing w:after="120"/>
        <w:contextualSpacing/>
        <w:jc w:val="both"/>
        <w:rPr>
          <w:rFonts w:ascii="Arial" w:hAnsi="Arial" w:cs="Arial"/>
          <w:sz w:val="22"/>
          <w:szCs w:val="22"/>
        </w:rPr>
      </w:pPr>
    </w:p>
    <w:p w14:paraId="27E8C43F" w14:textId="27E0C604" w:rsidR="001F052D" w:rsidRDefault="002975D9" w:rsidP="00E14C37">
      <w:pPr>
        <w:spacing w:after="120"/>
        <w:contextualSpacing/>
        <w:jc w:val="center"/>
        <w:rPr>
          <w:rFonts w:ascii="Arial" w:hAnsi="Arial" w:cs="Arial"/>
          <w:b/>
          <w:sz w:val="22"/>
          <w:szCs w:val="22"/>
        </w:rPr>
      </w:pPr>
      <w:r w:rsidRPr="003A3829">
        <w:rPr>
          <w:rFonts w:ascii="Arial" w:hAnsi="Arial" w:cs="Arial"/>
          <w:b/>
          <w:sz w:val="22"/>
          <w:szCs w:val="22"/>
        </w:rPr>
        <w:t xml:space="preserve">Art. </w:t>
      </w:r>
      <w:r w:rsidR="00E14C37">
        <w:rPr>
          <w:rFonts w:ascii="Arial" w:hAnsi="Arial" w:cs="Arial"/>
          <w:b/>
          <w:sz w:val="22"/>
          <w:szCs w:val="22"/>
        </w:rPr>
        <w:t>1</w:t>
      </w:r>
      <w:r w:rsidR="00B77B96">
        <w:rPr>
          <w:rFonts w:ascii="Arial" w:hAnsi="Arial" w:cs="Arial"/>
          <w:b/>
          <w:sz w:val="22"/>
          <w:szCs w:val="22"/>
        </w:rPr>
        <w:t>8</w:t>
      </w:r>
      <w:r w:rsidRPr="003A3829">
        <w:rPr>
          <w:rFonts w:ascii="Arial" w:hAnsi="Arial" w:cs="Arial"/>
          <w:b/>
          <w:sz w:val="22"/>
          <w:szCs w:val="22"/>
        </w:rPr>
        <w:t xml:space="preserve"> </w:t>
      </w:r>
      <w:r w:rsidR="00D8386C" w:rsidRPr="003A3829">
        <w:rPr>
          <w:rFonts w:ascii="Arial" w:hAnsi="Arial" w:cs="Arial"/>
          <w:b/>
          <w:sz w:val="22"/>
          <w:szCs w:val="22"/>
        </w:rPr>
        <w:t>Verifica di conformità</w:t>
      </w:r>
      <w:r w:rsidRPr="003A3829">
        <w:rPr>
          <w:rFonts w:ascii="Arial" w:hAnsi="Arial" w:cs="Arial"/>
          <w:b/>
          <w:sz w:val="22"/>
          <w:szCs w:val="22"/>
        </w:rPr>
        <w:t xml:space="preserve"> </w:t>
      </w:r>
    </w:p>
    <w:p w14:paraId="6496B7E5" w14:textId="77777777" w:rsidR="008B7FEE" w:rsidRPr="00E14C37" w:rsidRDefault="008B7FEE" w:rsidP="00E14C37">
      <w:pPr>
        <w:spacing w:after="120"/>
        <w:contextualSpacing/>
        <w:jc w:val="center"/>
        <w:rPr>
          <w:rFonts w:ascii="Arial" w:hAnsi="Arial" w:cs="Arial"/>
          <w:b/>
          <w:sz w:val="22"/>
          <w:szCs w:val="22"/>
        </w:rPr>
      </w:pPr>
    </w:p>
    <w:p w14:paraId="27BD785C" w14:textId="61D35A03" w:rsidR="00915824" w:rsidRPr="003A3829" w:rsidRDefault="00A23B91" w:rsidP="00C0325C">
      <w:pPr>
        <w:jc w:val="both"/>
        <w:rPr>
          <w:rFonts w:ascii="Arial" w:eastAsia="Times New Roman" w:hAnsi="Arial" w:cs="Arial"/>
        </w:rPr>
      </w:pPr>
      <w:r w:rsidRPr="003A3829">
        <w:rPr>
          <w:rFonts w:ascii="Arial" w:hAnsi="Arial" w:cs="Arial"/>
          <w:sz w:val="22"/>
          <w:szCs w:val="22"/>
        </w:rPr>
        <w:t>Ai sensi dell’art 102 del D.Lgs. 18 aprile 2016, n. 50 il presente capitolato è soggetto a verifica di conformità al fine di certificare che l'oggetto del contratto in termini di prestazioni, obiettivi e caratteristiche tecniche, economiche e qualitative sia stato realizzato ed eseguito nel rispetto delle previsioni contrattuali e delle pattuizioni concordate in sede di aggiudicazione o affidamento.</w:t>
      </w:r>
      <w:r w:rsidR="00915824" w:rsidRPr="003A3829">
        <w:rPr>
          <w:rFonts w:ascii="Arial" w:hAnsi="Arial" w:cs="Arial"/>
          <w:sz w:val="22"/>
          <w:szCs w:val="22"/>
        </w:rPr>
        <w:t xml:space="preserve"> All'esito positivo della verifica di conformità il responsabile unico del procedimento rilascia il certificato di pagamento ai fini dell'emissione della fattura da parte dell'appaltatore. </w:t>
      </w:r>
      <w:r w:rsidR="0043736C">
        <w:rPr>
          <w:rFonts w:ascii="Arial" w:hAnsi="Arial" w:cs="Arial"/>
          <w:sz w:val="22"/>
          <w:szCs w:val="22"/>
        </w:rPr>
        <w:t xml:space="preserve">Nel caso </w:t>
      </w:r>
      <w:r w:rsidR="00C0325C" w:rsidRPr="003A3829">
        <w:rPr>
          <w:rFonts w:ascii="Arial" w:hAnsi="Arial" w:cs="Arial"/>
          <w:sz w:val="22"/>
          <w:szCs w:val="22"/>
        </w:rPr>
        <w:t>di mancata conformità, il responsabile unico del procedimento chiede l’adeguamento del prodotto</w:t>
      </w:r>
      <w:r w:rsidR="0043736C">
        <w:rPr>
          <w:rFonts w:ascii="Arial" w:hAnsi="Arial" w:cs="Arial"/>
          <w:sz w:val="22"/>
          <w:szCs w:val="22"/>
        </w:rPr>
        <w:t xml:space="preserve">, invitando il valutatore ad operare </w:t>
      </w:r>
      <w:r w:rsidR="0043736C" w:rsidRPr="003A3829">
        <w:rPr>
          <w:rFonts w:ascii="Arial" w:hAnsi="Arial" w:cs="Arial"/>
          <w:sz w:val="22"/>
          <w:szCs w:val="22"/>
        </w:rPr>
        <w:t>entro un termine stabilito</w:t>
      </w:r>
      <w:r w:rsidR="0043736C">
        <w:rPr>
          <w:rFonts w:ascii="Arial" w:hAnsi="Arial" w:cs="Arial"/>
          <w:sz w:val="22"/>
          <w:szCs w:val="22"/>
        </w:rPr>
        <w:t xml:space="preserve"> affinché il prodotto sia conforme</w:t>
      </w:r>
      <w:r w:rsidR="00C0325C" w:rsidRPr="003A3829">
        <w:rPr>
          <w:rFonts w:ascii="Arial" w:hAnsi="Arial" w:cs="Arial"/>
          <w:sz w:val="22"/>
          <w:szCs w:val="22"/>
        </w:rPr>
        <w:t xml:space="preserve">. Il mancato adempimento </w:t>
      </w:r>
      <w:r w:rsidR="004707DF" w:rsidRPr="003A3829">
        <w:rPr>
          <w:rFonts w:ascii="Arial" w:hAnsi="Arial" w:cs="Arial"/>
          <w:sz w:val="22"/>
          <w:szCs w:val="22"/>
        </w:rPr>
        <w:t xml:space="preserve">comporta </w:t>
      </w:r>
      <w:r w:rsidR="00963A86" w:rsidRPr="003A3829">
        <w:rPr>
          <w:rFonts w:ascii="Arial" w:hAnsi="Arial" w:cs="Arial"/>
          <w:sz w:val="22"/>
          <w:szCs w:val="22"/>
        </w:rPr>
        <w:t>la non emissione del certificato di pagamento ai fini dell'emissione della fattura</w:t>
      </w:r>
      <w:r w:rsidR="00D235D1">
        <w:rPr>
          <w:rFonts w:ascii="Arial" w:hAnsi="Arial" w:cs="Arial"/>
          <w:sz w:val="22"/>
          <w:szCs w:val="22"/>
        </w:rPr>
        <w:t>, fino ad arrivare alla risoluzion</w:t>
      </w:r>
      <w:r w:rsidR="008F1927">
        <w:rPr>
          <w:rFonts w:ascii="Arial" w:hAnsi="Arial" w:cs="Arial"/>
          <w:sz w:val="22"/>
          <w:szCs w:val="22"/>
        </w:rPr>
        <w:t>e contrattuale di cui all’art.1</w:t>
      </w:r>
      <w:r w:rsidR="00234F3C">
        <w:rPr>
          <w:rFonts w:ascii="Arial" w:hAnsi="Arial" w:cs="Arial"/>
          <w:sz w:val="22"/>
          <w:szCs w:val="22"/>
        </w:rPr>
        <w:t>4</w:t>
      </w:r>
      <w:r w:rsidR="00D235D1">
        <w:rPr>
          <w:rFonts w:ascii="Arial" w:hAnsi="Arial" w:cs="Arial"/>
          <w:sz w:val="22"/>
          <w:szCs w:val="22"/>
        </w:rPr>
        <w:t xml:space="preserve"> del presente capitolato.</w:t>
      </w:r>
    </w:p>
    <w:p w14:paraId="2ABF223D" w14:textId="77777777" w:rsidR="00A23B91" w:rsidRDefault="00A23B91" w:rsidP="00654CF8">
      <w:pPr>
        <w:spacing w:after="120"/>
        <w:contextualSpacing/>
        <w:jc w:val="both"/>
        <w:rPr>
          <w:rFonts w:ascii="Arial" w:hAnsi="Arial" w:cs="Arial"/>
          <w:sz w:val="22"/>
          <w:szCs w:val="22"/>
        </w:rPr>
      </w:pPr>
    </w:p>
    <w:p w14:paraId="01913636" w14:textId="77777777" w:rsidR="001F052D" w:rsidRPr="003A3829" w:rsidRDefault="001F052D" w:rsidP="00654CF8">
      <w:pPr>
        <w:spacing w:after="120"/>
        <w:contextualSpacing/>
        <w:jc w:val="both"/>
        <w:rPr>
          <w:rFonts w:ascii="Arial" w:hAnsi="Arial" w:cs="Arial"/>
          <w:sz w:val="22"/>
          <w:szCs w:val="22"/>
        </w:rPr>
      </w:pPr>
    </w:p>
    <w:p w14:paraId="40DE1830" w14:textId="43096738" w:rsidR="001F052D" w:rsidRDefault="00654CF8" w:rsidP="00EF040C">
      <w:pPr>
        <w:spacing w:after="120"/>
        <w:contextualSpacing/>
        <w:jc w:val="center"/>
        <w:rPr>
          <w:rFonts w:ascii="Arial" w:hAnsi="Arial" w:cs="Arial"/>
          <w:b/>
          <w:sz w:val="22"/>
          <w:szCs w:val="22"/>
        </w:rPr>
      </w:pPr>
      <w:r w:rsidRPr="003A3829">
        <w:rPr>
          <w:rFonts w:ascii="Arial" w:hAnsi="Arial" w:cs="Arial"/>
          <w:b/>
          <w:sz w:val="22"/>
          <w:szCs w:val="22"/>
        </w:rPr>
        <w:t xml:space="preserve">Art. </w:t>
      </w:r>
      <w:r w:rsidR="00B77B96">
        <w:rPr>
          <w:rFonts w:ascii="Arial" w:hAnsi="Arial" w:cs="Arial"/>
          <w:b/>
          <w:sz w:val="22"/>
          <w:szCs w:val="22"/>
        </w:rPr>
        <w:t>19</w:t>
      </w:r>
      <w:r w:rsidRPr="003A3829">
        <w:rPr>
          <w:rFonts w:ascii="Arial" w:hAnsi="Arial" w:cs="Arial"/>
          <w:b/>
          <w:sz w:val="22"/>
          <w:szCs w:val="22"/>
        </w:rPr>
        <w:t xml:space="preserve"> Disposizioni in materia di trattamento dati ex d.lgs. n. 196/2003</w:t>
      </w:r>
      <w:bookmarkEnd w:id="20"/>
      <w:bookmarkEnd w:id="21"/>
    </w:p>
    <w:p w14:paraId="0519AA88" w14:textId="77777777" w:rsidR="008B7FEE" w:rsidRPr="003A3829" w:rsidRDefault="008B7FEE" w:rsidP="00EF040C">
      <w:pPr>
        <w:spacing w:after="120"/>
        <w:contextualSpacing/>
        <w:jc w:val="center"/>
        <w:rPr>
          <w:rFonts w:ascii="Arial" w:hAnsi="Arial" w:cs="Arial"/>
          <w:b/>
          <w:sz w:val="22"/>
          <w:szCs w:val="22"/>
        </w:rPr>
      </w:pPr>
    </w:p>
    <w:p w14:paraId="2352B39E" w14:textId="77777777" w:rsidR="00654CF8" w:rsidRPr="003A3829" w:rsidRDefault="00654CF8" w:rsidP="00654CF8">
      <w:pPr>
        <w:spacing w:after="120"/>
        <w:contextualSpacing/>
        <w:jc w:val="both"/>
        <w:rPr>
          <w:rFonts w:ascii="Arial" w:hAnsi="Arial" w:cs="Arial"/>
          <w:sz w:val="22"/>
          <w:szCs w:val="22"/>
        </w:rPr>
      </w:pPr>
      <w:r w:rsidRPr="003A3829">
        <w:rPr>
          <w:rFonts w:ascii="Arial" w:hAnsi="Arial" w:cs="Arial"/>
          <w:sz w:val="22"/>
          <w:szCs w:val="22"/>
        </w:rPr>
        <w:t>Il soggetto aggiudicatario dell'appalto, in sede di stipulazione del contratto, si impegna a formulare le seguenti dichiarazioni:</w:t>
      </w:r>
    </w:p>
    <w:p w14:paraId="36C1877F" w14:textId="77777777" w:rsidR="00654CF8" w:rsidRPr="003A3829" w:rsidRDefault="00654CF8" w:rsidP="00654CF8">
      <w:pPr>
        <w:spacing w:after="120"/>
        <w:ind w:left="426" w:hanging="284"/>
        <w:contextualSpacing/>
        <w:jc w:val="both"/>
        <w:rPr>
          <w:rFonts w:ascii="Arial" w:hAnsi="Arial" w:cs="Arial"/>
          <w:sz w:val="22"/>
          <w:szCs w:val="22"/>
        </w:rPr>
      </w:pPr>
      <w:r w:rsidRPr="003A3829">
        <w:rPr>
          <w:rFonts w:ascii="Arial" w:hAnsi="Arial" w:cs="Arial"/>
          <w:sz w:val="22"/>
          <w:szCs w:val="22"/>
        </w:rPr>
        <w:t>1. di essere consapevole che i dati che tratterà nell'espletamento dell'incarico ricevuto sono dati personali e/o sensibili e, come tali, sono soggetti all'applicazione del codice per la protezione dei dati personali;</w:t>
      </w:r>
    </w:p>
    <w:p w14:paraId="3977D779" w14:textId="77777777" w:rsidR="00654CF8" w:rsidRPr="003A3829" w:rsidRDefault="00654CF8" w:rsidP="00654CF8">
      <w:pPr>
        <w:spacing w:after="120"/>
        <w:ind w:left="426" w:hanging="284"/>
        <w:contextualSpacing/>
        <w:jc w:val="both"/>
        <w:rPr>
          <w:rFonts w:ascii="Arial" w:hAnsi="Arial" w:cs="Arial"/>
          <w:sz w:val="22"/>
          <w:szCs w:val="22"/>
        </w:rPr>
      </w:pPr>
      <w:r w:rsidRPr="003A3829">
        <w:rPr>
          <w:rFonts w:ascii="Arial" w:hAnsi="Arial" w:cs="Arial"/>
          <w:sz w:val="22"/>
          <w:szCs w:val="22"/>
        </w:rPr>
        <w:t>2. di ottemperare agli obblighi previsti dal codice per la protezione dei dati personali (es. informativa agli interessati);</w:t>
      </w:r>
    </w:p>
    <w:p w14:paraId="4592099C" w14:textId="77777777" w:rsidR="00654CF8" w:rsidRPr="003A3829" w:rsidRDefault="00654CF8" w:rsidP="00654CF8">
      <w:pPr>
        <w:spacing w:after="120"/>
        <w:ind w:left="426" w:hanging="284"/>
        <w:contextualSpacing/>
        <w:jc w:val="both"/>
        <w:rPr>
          <w:rFonts w:ascii="Arial" w:hAnsi="Arial" w:cs="Arial"/>
          <w:sz w:val="22"/>
          <w:szCs w:val="22"/>
        </w:rPr>
      </w:pPr>
      <w:r w:rsidRPr="003A3829">
        <w:rPr>
          <w:rFonts w:ascii="Arial" w:hAnsi="Arial" w:cs="Arial"/>
          <w:sz w:val="22"/>
          <w:szCs w:val="22"/>
        </w:rPr>
        <w:t>3. di adottare le istruzioni specifiche che saranno eventualmente ricevute per il trattamento dei dati personali o di integrarle nelle procedure già in essere;</w:t>
      </w:r>
    </w:p>
    <w:p w14:paraId="0E87788C" w14:textId="77777777" w:rsidR="00654CF8" w:rsidRPr="003A3829" w:rsidRDefault="00654CF8" w:rsidP="00654CF8">
      <w:pPr>
        <w:spacing w:after="120"/>
        <w:ind w:left="426" w:hanging="284"/>
        <w:contextualSpacing/>
        <w:jc w:val="both"/>
        <w:rPr>
          <w:rFonts w:ascii="Arial" w:hAnsi="Arial" w:cs="Arial"/>
          <w:sz w:val="22"/>
          <w:szCs w:val="22"/>
        </w:rPr>
      </w:pPr>
      <w:r w:rsidRPr="003A3829">
        <w:rPr>
          <w:rFonts w:ascii="Arial" w:hAnsi="Arial" w:cs="Arial"/>
          <w:sz w:val="22"/>
          <w:szCs w:val="22"/>
        </w:rPr>
        <w:t>4. di impegnarsi a relazionare annualmente sulle misure di sicurezza adottate e di allertare immediatamente l'Amministrazione in caso di situazioni anomale o di emergenze;</w:t>
      </w:r>
    </w:p>
    <w:p w14:paraId="7E284249" w14:textId="77777777" w:rsidR="00654CF8" w:rsidRPr="003A3829" w:rsidRDefault="00654CF8" w:rsidP="00654CF8">
      <w:pPr>
        <w:spacing w:after="120"/>
        <w:ind w:left="426" w:hanging="284"/>
        <w:contextualSpacing/>
        <w:jc w:val="both"/>
        <w:rPr>
          <w:rFonts w:ascii="Arial" w:hAnsi="Arial" w:cs="Arial"/>
          <w:sz w:val="22"/>
          <w:szCs w:val="22"/>
        </w:rPr>
      </w:pPr>
      <w:r w:rsidRPr="003A3829">
        <w:rPr>
          <w:rFonts w:ascii="Arial" w:hAnsi="Arial" w:cs="Arial"/>
          <w:sz w:val="22"/>
          <w:szCs w:val="22"/>
        </w:rPr>
        <w:t>5. di riconoscere il diritto dell'Amministrazione a verificare periodicamente l'applicazione delle norme di sicurezza adottate;</w:t>
      </w:r>
    </w:p>
    <w:p w14:paraId="6983E9E5" w14:textId="77777777" w:rsidR="00654CF8" w:rsidRPr="003A3829" w:rsidRDefault="00654CF8" w:rsidP="00654CF8">
      <w:pPr>
        <w:spacing w:after="120"/>
        <w:ind w:left="142"/>
        <w:contextualSpacing/>
        <w:jc w:val="both"/>
        <w:rPr>
          <w:rFonts w:ascii="Arial" w:hAnsi="Arial" w:cs="Arial"/>
          <w:sz w:val="22"/>
          <w:szCs w:val="22"/>
        </w:rPr>
      </w:pPr>
      <w:r w:rsidRPr="003A3829">
        <w:rPr>
          <w:rFonts w:ascii="Arial" w:hAnsi="Arial" w:cs="Arial"/>
          <w:sz w:val="22"/>
          <w:szCs w:val="22"/>
        </w:rPr>
        <w:t>6. di indicare una persona fisica referente per la parte "protezione dei dati personali".</w:t>
      </w:r>
    </w:p>
    <w:p w14:paraId="04B0EE4E" w14:textId="77777777" w:rsidR="00654CF8" w:rsidRPr="003A3829" w:rsidRDefault="00654CF8" w:rsidP="00654CF8">
      <w:pPr>
        <w:spacing w:after="120"/>
        <w:contextualSpacing/>
        <w:jc w:val="both"/>
        <w:rPr>
          <w:rFonts w:ascii="Arial" w:hAnsi="Arial" w:cs="Arial"/>
          <w:sz w:val="22"/>
          <w:szCs w:val="22"/>
        </w:rPr>
      </w:pPr>
      <w:r w:rsidRPr="003A3829">
        <w:rPr>
          <w:rFonts w:ascii="Arial" w:hAnsi="Arial" w:cs="Arial"/>
          <w:sz w:val="22"/>
          <w:szCs w:val="22"/>
        </w:rPr>
        <w:t>Il soggetto aggiudicatario è responsabile del trattamento dei dati e si impegna a nominare in sede di stipulazione del contratto i soggetti incaricati del trattamento stesso.</w:t>
      </w:r>
      <w:bookmarkStart w:id="22" w:name="_Toc433628090"/>
      <w:bookmarkStart w:id="23" w:name="_Toc433964787"/>
    </w:p>
    <w:p w14:paraId="7B05176D" w14:textId="77777777" w:rsidR="00654CF8" w:rsidRDefault="00654CF8" w:rsidP="00654CF8">
      <w:pPr>
        <w:spacing w:after="120"/>
        <w:contextualSpacing/>
        <w:jc w:val="both"/>
        <w:rPr>
          <w:rFonts w:ascii="Arial" w:hAnsi="Arial" w:cs="Arial"/>
          <w:sz w:val="22"/>
          <w:szCs w:val="22"/>
        </w:rPr>
      </w:pPr>
      <w:bookmarkStart w:id="24" w:name="_Toc433628091"/>
      <w:bookmarkStart w:id="25" w:name="_Toc433964788"/>
      <w:bookmarkEnd w:id="22"/>
      <w:bookmarkEnd w:id="23"/>
    </w:p>
    <w:p w14:paraId="0D609B00" w14:textId="77777777" w:rsidR="001F052D" w:rsidRPr="003A3829" w:rsidRDefault="001F052D" w:rsidP="00654CF8">
      <w:pPr>
        <w:spacing w:after="120"/>
        <w:contextualSpacing/>
        <w:jc w:val="both"/>
        <w:rPr>
          <w:rFonts w:ascii="Arial" w:hAnsi="Arial" w:cs="Arial"/>
          <w:sz w:val="22"/>
          <w:szCs w:val="22"/>
        </w:rPr>
      </w:pPr>
    </w:p>
    <w:p w14:paraId="492F58A6" w14:textId="03A8F60E" w:rsidR="001F052D" w:rsidRDefault="00654CF8" w:rsidP="00EF040C">
      <w:pPr>
        <w:spacing w:after="120"/>
        <w:contextualSpacing/>
        <w:jc w:val="center"/>
        <w:rPr>
          <w:rFonts w:ascii="Arial" w:hAnsi="Arial" w:cs="Arial"/>
          <w:b/>
          <w:sz w:val="22"/>
          <w:szCs w:val="22"/>
        </w:rPr>
      </w:pPr>
      <w:r w:rsidRPr="003A3829">
        <w:rPr>
          <w:rFonts w:ascii="Arial" w:hAnsi="Arial" w:cs="Arial"/>
          <w:b/>
          <w:sz w:val="22"/>
          <w:szCs w:val="22"/>
        </w:rPr>
        <w:t xml:space="preserve">Art. </w:t>
      </w:r>
      <w:r w:rsidR="00B05498">
        <w:rPr>
          <w:rFonts w:ascii="Arial" w:hAnsi="Arial" w:cs="Arial"/>
          <w:b/>
          <w:sz w:val="22"/>
          <w:szCs w:val="22"/>
        </w:rPr>
        <w:t>2</w:t>
      </w:r>
      <w:r w:rsidR="00B77B96">
        <w:rPr>
          <w:rFonts w:ascii="Arial" w:hAnsi="Arial" w:cs="Arial"/>
          <w:b/>
          <w:sz w:val="22"/>
          <w:szCs w:val="22"/>
        </w:rPr>
        <w:t>0</w:t>
      </w:r>
      <w:r w:rsidRPr="003A3829">
        <w:rPr>
          <w:rFonts w:ascii="Arial" w:hAnsi="Arial" w:cs="Arial"/>
          <w:b/>
          <w:sz w:val="22"/>
          <w:szCs w:val="22"/>
        </w:rPr>
        <w:t xml:space="preserve"> Foro competente</w:t>
      </w:r>
      <w:bookmarkEnd w:id="24"/>
      <w:bookmarkEnd w:id="25"/>
    </w:p>
    <w:p w14:paraId="44AFCAD2" w14:textId="77777777" w:rsidR="008B7FEE" w:rsidRPr="003A3829" w:rsidRDefault="008B7FEE" w:rsidP="00EF040C">
      <w:pPr>
        <w:spacing w:after="120"/>
        <w:contextualSpacing/>
        <w:jc w:val="center"/>
        <w:rPr>
          <w:rFonts w:ascii="Arial" w:hAnsi="Arial" w:cs="Arial"/>
          <w:b/>
          <w:sz w:val="22"/>
          <w:szCs w:val="22"/>
        </w:rPr>
      </w:pPr>
    </w:p>
    <w:p w14:paraId="3868AC9A" w14:textId="77777777" w:rsidR="00654CF8" w:rsidRPr="003A3829" w:rsidRDefault="00654CF8" w:rsidP="00654CF8">
      <w:pPr>
        <w:spacing w:after="120"/>
        <w:contextualSpacing/>
        <w:jc w:val="both"/>
        <w:rPr>
          <w:rFonts w:ascii="Arial" w:hAnsi="Arial" w:cs="Arial"/>
          <w:sz w:val="22"/>
          <w:szCs w:val="22"/>
        </w:rPr>
      </w:pPr>
      <w:r w:rsidRPr="003A3829">
        <w:rPr>
          <w:rFonts w:ascii="Arial" w:hAnsi="Arial" w:cs="Arial"/>
          <w:sz w:val="22"/>
          <w:szCs w:val="22"/>
        </w:rPr>
        <w:t>Per qualsiasi controversia che dovesse insorgere nell'esecuzione o nell'interpretazione del contratto di appalto il foro esclusivo competente è quello di Perugia con esclusione della competenza arbitrale.</w:t>
      </w:r>
    </w:p>
    <w:p w14:paraId="22B250AF" w14:textId="77777777" w:rsidR="00654CF8" w:rsidRDefault="00B81120" w:rsidP="00654CF8">
      <w:pPr>
        <w:spacing w:after="120"/>
        <w:contextualSpacing/>
        <w:jc w:val="both"/>
        <w:rPr>
          <w:rFonts w:ascii="Arial" w:hAnsi="Arial" w:cs="Arial"/>
          <w:sz w:val="22"/>
          <w:szCs w:val="22"/>
        </w:rPr>
      </w:pPr>
      <w:r w:rsidRPr="003A3829">
        <w:rPr>
          <w:rFonts w:ascii="Arial" w:hAnsi="Arial" w:cs="Arial"/>
          <w:sz w:val="22"/>
          <w:szCs w:val="22"/>
        </w:rPr>
        <w:t xml:space="preserve">Nei casi previsti dagli </w:t>
      </w:r>
      <w:r w:rsidR="00654CF8" w:rsidRPr="003A3829">
        <w:rPr>
          <w:rFonts w:ascii="Arial" w:hAnsi="Arial" w:cs="Arial"/>
          <w:sz w:val="22"/>
          <w:szCs w:val="22"/>
        </w:rPr>
        <w:t>art</w:t>
      </w:r>
      <w:r w:rsidRPr="003A3829">
        <w:rPr>
          <w:rFonts w:ascii="Arial" w:hAnsi="Arial" w:cs="Arial"/>
          <w:sz w:val="22"/>
          <w:szCs w:val="22"/>
        </w:rPr>
        <w:t>t</w:t>
      </w:r>
      <w:r w:rsidR="00654CF8" w:rsidRPr="003A3829">
        <w:rPr>
          <w:rFonts w:ascii="Arial" w:hAnsi="Arial" w:cs="Arial"/>
          <w:sz w:val="22"/>
          <w:szCs w:val="22"/>
        </w:rPr>
        <w:t xml:space="preserve">. </w:t>
      </w:r>
      <w:r w:rsidRPr="003A3829">
        <w:rPr>
          <w:rFonts w:ascii="Arial" w:hAnsi="Arial" w:cs="Arial"/>
          <w:sz w:val="22"/>
          <w:szCs w:val="22"/>
        </w:rPr>
        <w:t>205 e 206</w:t>
      </w:r>
      <w:r w:rsidR="00654CF8" w:rsidRPr="003A3829">
        <w:rPr>
          <w:rFonts w:ascii="Arial" w:hAnsi="Arial" w:cs="Arial"/>
          <w:sz w:val="22"/>
          <w:szCs w:val="22"/>
        </w:rPr>
        <w:t xml:space="preserve"> del</w:t>
      </w:r>
      <w:r w:rsidR="009F40C7">
        <w:rPr>
          <w:rFonts w:ascii="Arial" w:hAnsi="Arial" w:cs="Arial"/>
          <w:sz w:val="22"/>
          <w:szCs w:val="22"/>
        </w:rPr>
        <w:t xml:space="preserve"> </w:t>
      </w:r>
      <w:r w:rsidR="009F40C7" w:rsidRPr="003A3829">
        <w:rPr>
          <w:rFonts w:ascii="Arial" w:hAnsi="Arial" w:cs="Arial"/>
          <w:sz w:val="22"/>
          <w:szCs w:val="22"/>
        </w:rPr>
        <w:t>D.Lgs</w:t>
      </w:r>
      <w:r w:rsidR="00654CF8" w:rsidRPr="003A3829">
        <w:rPr>
          <w:rFonts w:ascii="Arial" w:hAnsi="Arial" w:cs="Arial"/>
          <w:sz w:val="22"/>
          <w:szCs w:val="22"/>
        </w:rPr>
        <w:t xml:space="preserve"> </w:t>
      </w:r>
      <w:r w:rsidRPr="003A3829">
        <w:rPr>
          <w:rFonts w:ascii="Arial" w:eastAsia="Times New Roman" w:hAnsi="Arial" w:cs="Arial"/>
          <w:color w:val="000000"/>
          <w:sz w:val="22"/>
          <w:szCs w:val="22"/>
        </w:rPr>
        <w:t xml:space="preserve">18 aprile 2016, n. 50 </w:t>
      </w:r>
      <w:r w:rsidR="00654CF8" w:rsidRPr="003A3829">
        <w:rPr>
          <w:rFonts w:ascii="Arial" w:hAnsi="Arial" w:cs="Arial"/>
          <w:sz w:val="22"/>
          <w:szCs w:val="22"/>
        </w:rPr>
        <w:t>e successive modifiche e integrazioni si applicano i procedimenti volti al raggiungimento di un accordo bonario.</w:t>
      </w:r>
      <w:bookmarkStart w:id="26" w:name="_Toc433628092"/>
      <w:bookmarkStart w:id="27" w:name="_Toc433964789"/>
    </w:p>
    <w:p w14:paraId="2DCE2104" w14:textId="77777777" w:rsidR="00275F10" w:rsidRDefault="00275F10" w:rsidP="00654CF8">
      <w:pPr>
        <w:spacing w:after="120"/>
        <w:contextualSpacing/>
        <w:jc w:val="both"/>
        <w:rPr>
          <w:rFonts w:ascii="Arial" w:hAnsi="Arial" w:cs="Arial"/>
          <w:sz w:val="22"/>
          <w:szCs w:val="22"/>
        </w:rPr>
      </w:pPr>
    </w:p>
    <w:p w14:paraId="57D56F51" w14:textId="77777777" w:rsidR="001F052D" w:rsidRDefault="001F052D" w:rsidP="00654CF8">
      <w:pPr>
        <w:spacing w:after="120"/>
        <w:contextualSpacing/>
        <w:jc w:val="both"/>
        <w:rPr>
          <w:rFonts w:ascii="Arial" w:hAnsi="Arial" w:cs="Arial"/>
          <w:sz w:val="22"/>
          <w:szCs w:val="22"/>
        </w:rPr>
      </w:pPr>
    </w:p>
    <w:p w14:paraId="05B2B630" w14:textId="483A11AF" w:rsidR="001F052D" w:rsidRDefault="00275F10" w:rsidP="00EF040C">
      <w:pPr>
        <w:spacing w:after="120"/>
        <w:contextualSpacing/>
        <w:jc w:val="center"/>
        <w:rPr>
          <w:rFonts w:ascii="Arial" w:hAnsi="Arial" w:cs="Arial"/>
          <w:b/>
          <w:sz w:val="22"/>
          <w:szCs w:val="22"/>
        </w:rPr>
      </w:pPr>
      <w:r w:rsidRPr="003A3829">
        <w:rPr>
          <w:rFonts w:ascii="Arial" w:hAnsi="Arial" w:cs="Arial"/>
          <w:b/>
          <w:sz w:val="22"/>
          <w:szCs w:val="22"/>
        </w:rPr>
        <w:t xml:space="preserve">Art. </w:t>
      </w:r>
      <w:r w:rsidR="00B05498">
        <w:rPr>
          <w:rFonts w:ascii="Arial" w:hAnsi="Arial" w:cs="Arial"/>
          <w:b/>
          <w:sz w:val="22"/>
          <w:szCs w:val="22"/>
        </w:rPr>
        <w:t>2</w:t>
      </w:r>
      <w:r w:rsidR="00B77B96">
        <w:rPr>
          <w:rFonts w:ascii="Arial" w:hAnsi="Arial" w:cs="Arial"/>
          <w:b/>
          <w:sz w:val="22"/>
          <w:szCs w:val="22"/>
        </w:rPr>
        <w:t>1</w:t>
      </w:r>
      <w:r>
        <w:rPr>
          <w:rFonts w:ascii="Arial" w:hAnsi="Arial" w:cs="Arial"/>
          <w:b/>
          <w:sz w:val="22"/>
          <w:szCs w:val="22"/>
        </w:rPr>
        <w:t xml:space="preserve"> </w:t>
      </w:r>
      <w:r w:rsidR="00025F06">
        <w:rPr>
          <w:rFonts w:ascii="Arial" w:hAnsi="Arial" w:cs="Arial"/>
          <w:b/>
          <w:sz w:val="22"/>
          <w:szCs w:val="22"/>
        </w:rPr>
        <w:t>Ruolo e compiti del responsabile unico del procedimento</w:t>
      </w:r>
    </w:p>
    <w:p w14:paraId="2704A299" w14:textId="77777777" w:rsidR="008B7FEE" w:rsidRDefault="008B7FEE" w:rsidP="00EF040C">
      <w:pPr>
        <w:spacing w:after="120"/>
        <w:contextualSpacing/>
        <w:jc w:val="center"/>
        <w:rPr>
          <w:rFonts w:ascii="Arial" w:hAnsi="Arial" w:cs="Arial"/>
          <w:b/>
          <w:sz w:val="22"/>
          <w:szCs w:val="22"/>
        </w:rPr>
      </w:pPr>
    </w:p>
    <w:p w14:paraId="3403F26E" w14:textId="77777777" w:rsidR="00025F06" w:rsidRDefault="009F40C7" w:rsidP="008905F2">
      <w:pPr>
        <w:spacing w:after="120"/>
        <w:contextualSpacing/>
        <w:jc w:val="both"/>
        <w:rPr>
          <w:rFonts w:ascii="Arial" w:eastAsia="Times New Roman" w:hAnsi="Arial" w:cs="Arial"/>
          <w:color w:val="000000"/>
          <w:sz w:val="22"/>
          <w:szCs w:val="22"/>
        </w:rPr>
      </w:pPr>
      <w:r>
        <w:rPr>
          <w:rFonts w:ascii="Arial" w:hAnsi="Arial" w:cs="Arial"/>
          <w:sz w:val="22"/>
          <w:szCs w:val="22"/>
        </w:rPr>
        <w:t xml:space="preserve">In accordo con l’art. 31 del </w:t>
      </w:r>
      <w:r w:rsidRPr="003A3829">
        <w:rPr>
          <w:rFonts w:ascii="Arial" w:hAnsi="Arial" w:cs="Arial"/>
          <w:sz w:val="22"/>
          <w:szCs w:val="22"/>
        </w:rPr>
        <w:t xml:space="preserve">D.Lgs </w:t>
      </w:r>
      <w:r w:rsidRPr="003A3829">
        <w:rPr>
          <w:rFonts w:ascii="Arial" w:eastAsia="Times New Roman" w:hAnsi="Arial" w:cs="Arial"/>
          <w:color w:val="000000"/>
          <w:sz w:val="22"/>
          <w:szCs w:val="22"/>
        </w:rPr>
        <w:t>18 aprile 2016, n. 50</w:t>
      </w:r>
      <w:r w:rsidR="00102BD4">
        <w:rPr>
          <w:rFonts w:ascii="Arial" w:eastAsia="Times New Roman" w:hAnsi="Arial" w:cs="Arial"/>
          <w:color w:val="000000"/>
          <w:sz w:val="22"/>
          <w:szCs w:val="22"/>
        </w:rPr>
        <w:t xml:space="preserve">, la stazione appaltante </w:t>
      </w:r>
      <w:r w:rsidR="008905F2">
        <w:rPr>
          <w:rFonts w:ascii="Arial" w:eastAsia="Times New Roman" w:hAnsi="Arial" w:cs="Arial"/>
          <w:color w:val="000000"/>
          <w:sz w:val="22"/>
          <w:szCs w:val="22"/>
        </w:rPr>
        <w:t>ha individuato</w:t>
      </w:r>
      <w:r w:rsidR="00102BD4">
        <w:rPr>
          <w:rFonts w:ascii="Arial" w:eastAsia="Times New Roman" w:hAnsi="Arial" w:cs="Arial"/>
          <w:color w:val="000000"/>
          <w:sz w:val="22"/>
          <w:szCs w:val="22"/>
        </w:rPr>
        <w:t xml:space="preserve"> un Responsabile unico del procedimento (RUP)</w:t>
      </w:r>
      <w:r w:rsidR="008905F2">
        <w:rPr>
          <w:rFonts w:ascii="Arial" w:eastAsia="Times New Roman" w:hAnsi="Arial" w:cs="Arial"/>
          <w:color w:val="000000"/>
          <w:sz w:val="22"/>
          <w:szCs w:val="22"/>
        </w:rPr>
        <w:t xml:space="preserve"> </w:t>
      </w:r>
      <w:r w:rsidR="008905F2" w:rsidRPr="008905F2">
        <w:rPr>
          <w:rFonts w:ascii="Arial" w:eastAsia="Times New Roman" w:hAnsi="Arial" w:cs="Arial"/>
          <w:color w:val="000000"/>
          <w:sz w:val="22"/>
          <w:szCs w:val="22"/>
        </w:rPr>
        <w:t>per le fasi della programmazione, della progettazione, dell'affidamento, dell'esecuzione</w:t>
      </w:r>
      <w:r w:rsidR="008905F2">
        <w:rPr>
          <w:rFonts w:ascii="Arial" w:eastAsia="Times New Roman" w:hAnsi="Arial" w:cs="Arial"/>
          <w:color w:val="000000"/>
          <w:sz w:val="22"/>
          <w:szCs w:val="22"/>
        </w:rPr>
        <w:t xml:space="preserve">. </w:t>
      </w:r>
      <w:r w:rsidR="008905F2">
        <w:rPr>
          <w:rFonts w:ascii="Arial" w:eastAsia="Times New Roman" w:hAnsi="Arial" w:cs="Arial"/>
          <w:color w:val="000000"/>
          <w:sz w:val="22"/>
          <w:szCs w:val="22"/>
        </w:rPr>
        <w:tab/>
      </w:r>
    </w:p>
    <w:p w14:paraId="2B0BF168" w14:textId="77777777" w:rsidR="00205FD7" w:rsidRDefault="00CB6F21" w:rsidP="00205FD7">
      <w:pPr>
        <w:pStyle w:val="Corpotesto"/>
        <w:ind w:right="57"/>
        <w:rPr>
          <w:rFonts w:ascii="Arial" w:eastAsia="Times New Roman" w:hAnsi="Arial" w:cs="Arial"/>
          <w:color w:val="000000"/>
          <w:sz w:val="22"/>
          <w:szCs w:val="22"/>
        </w:rPr>
      </w:pPr>
      <w:r>
        <w:rPr>
          <w:rFonts w:ascii="Arial" w:eastAsia="Times New Roman" w:hAnsi="Arial" w:cs="Arial"/>
          <w:color w:val="000000"/>
          <w:sz w:val="22"/>
          <w:szCs w:val="22"/>
        </w:rPr>
        <w:t xml:space="preserve">Ai fini del presente capitolato, il ruolo di RUP è </w:t>
      </w:r>
      <w:r w:rsidR="00806913">
        <w:rPr>
          <w:rFonts w:ascii="Arial" w:eastAsia="Times New Roman" w:hAnsi="Arial" w:cs="Arial"/>
          <w:color w:val="000000"/>
          <w:sz w:val="22"/>
          <w:szCs w:val="22"/>
        </w:rPr>
        <w:t>ricoperto dal</w:t>
      </w:r>
      <w:r w:rsidRPr="00806913">
        <w:rPr>
          <w:rFonts w:ascii="Arial" w:eastAsia="Times New Roman" w:hAnsi="Arial" w:cs="Arial"/>
          <w:color w:val="000000"/>
          <w:sz w:val="22"/>
          <w:szCs w:val="22"/>
        </w:rPr>
        <w:t xml:space="preserve"> Dott.</w:t>
      </w:r>
      <w:r w:rsidR="00A6746E">
        <w:rPr>
          <w:rFonts w:ascii="Arial" w:eastAsia="Times New Roman" w:hAnsi="Arial" w:cs="Arial"/>
          <w:color w:val="000000"/>
          <w:sz w:val="22"/>
          <w:szCs w:val="22"/>
        </w:rPr>
        <w:t xml:space="preserve"> Paolo Cucchiari, Responsabile </w:t>
      </w:r>
      <w:r w:rsidR="00205FD7" w:rsidRPr="00205FD7">
        <w:rPr>
          <w:rFonts w:ascii="Arial" w:eastAsia="Times New Roman" w:hAnsi="Arial" w:cs="Arial"/>
          <w:color w:val="000000"/>
          <w:sz w:val="22"/>
          <w:szCs w:val="22"/>
        </w:rPr>
        <w:t>della Sezione “Monitoraggio, esecuzione finanziaria e comunicazione dello sviluppo rurale”.</w:t>
      </w:r>
    </w:p>
    <w:p w14:paraId="16783922" w14:textId="0438E000" w:rsidR="00275F10" w:rsidRPr="00205FD7" w:rsidRDefault="00CB6F21" w:rsidP="00205FD7">
      <w:pPr>
        <w:pStyle w:val="Corpotesto"/>
        <w:ind w:right="57"/>
        <w:rPr>
          <w:rFonts w:ascii="Arial" w:eastAsia="Times New Roman" w:hAnsi="Arial" w:cs="Arial"/>
          <w:color w:val="000000"/>
          <w:sz w:val="22"/>
          <w:szCs w:val="22"/>
        </w:rPr>
      </w:pPr>
      <w:bookmarkStart w:id="28" w:name="_GoBack"/>
      <w:bookmarkEnd w:id="28"/>
      <w:r w:rsidRPr="00806913">
        <w:rPr>
          <w:rFonts w:ascii="Arial" w:eastAsia="Times New Roman" w:hAnsi="Arial" w:cs="Arial"/>
          <w:color w:val="000000"/>
          <w:sz w:val="22"/>
          <w:szCs w:val="22"/>
        </w:rPr>
        <w:t xml:space="preserve"> </w:t>
      </w:r>
      <w:r w:rsidR="00CE5C35" w:rsidRPr="00806913">
        <w:rPr>
          <w:rFonts w:ascii="Arial" w:eastAsia="Times New Roman" w:hAnsi="Arial" w:cs="Arial"/>
          <w:color w:val="000000"/>
          <w:sz w:val="22"/>
          <w:szCs w:val="22"/>
        </w:rPr>
        <w:t>I compiti</w:t>
      </w:r>
      <w:r w:rsidR="00CE5C35">
        <w:rPr>
          <w:rFonts w:ascii="Arial" w:eastAsia="Times New Roman" w:hAnsi="Arial" w:cs="Arial"/>
          <w:color w:val="000000"/>
          <w:sz w:val="22"/>
          <w:szCs w:val="22"/>
        </w:rPr>
        <w:t xml:space="preserve"> attribuiti al RUP sono quelli riportati al comma 4 art. 31 </w:t>
      </w:r>
      <w:r w:rsidR="00CE5C35">
        <w:rPr>
          <w:rFonts w:ascii="Arial" w:hAnsi="Arial" w:cs="Arial"/>
          <w:sz w:val="22"/>
          <w:szCs w:val="22"/>
        </w:rPr>
        <w:t xml:space="preserve">del </w:t>
      </w:r>
      <w:r w:rsidR="00CE5C35" w:rsidRPr="003A3829">
        <w:rPr>
          <w:rFonts w:ascii="Arial" w:hAnsi="Arial" w:cs="Arial"/>
          <w:sz w:val="22"/>
          <w:szCs w:val="22"/>
        </w:rPr>
        <w:t xml:space="preserve">D.Lgs </w:t>
      </w:r>
      <w:r w:rsidR="00CE5C35" w:rsidRPr="003A3829">
        <w:rPr>
          <w:rFonts w:ascii="Arial" w:eastAsia="Times New Roman" w:hAnsi="Arial" w:cs="Arial"/>
          <w:color w:val="000000"/>
          <w:sz w:val="22"/>
          <w:szCs w:val="22"/>
        </w:rPr>
        <w:t>18 aprile 2016, n. 50</w:t>
      </w:r>
      <w:r w:rsidR="00CE5C35">
        <w:rPr>
          <w:rFonts w:ascii="Arial" w:eastAsia="Times New Roman" w:hAnsi="Arial" w:cs="Arial"/>
          <w:color w:val="000000"/>
          <w:sz w:val="22"/>
          <w:szCs w:val="22"/>
        </w:rPr>
        <w:t xml:space="preserve">. </w:t>
      </w:r>
    </w:p>
    <w:p w14:paraId="1D3498A8" w14:textId="77777777" w:rsidR="00654CF8" w:rsidRDefault="00654CF8" w:rsidP="00654CF8">
      <w:pPr>
        <w:spacing w:after="120"/>
        <w:contextualSpacing/>
        <w:jc w:val="both"/>
        <w:rPr>
          <w:rFonts w:ascii="Arial" w:hAnsi="Arial" w:cs="Arial"/>
          <w:sz w:val="22"/>
          <w:szCs w:val="22"/>
        </w:rPr>
      </w:pPr>
    </w:p>
    <w:p w14:paraId="05D12D91" w14:textId="77777777" w:rsidR="001F052D" w:rsidRPr="003A3829" w:rsidRDefault="001F052D" w:rsidP="00654CF8">
      <w:pPr>
        <w:spacing w:after="120"/>
        <w:contextualSpacing/>
        <w:jc w:val="both"/>
        <w:rPr>
          <w:rFonts w:ascii="Arial" w:hAnsi="Arial" w:cs="Arial"/>
          <w:sz w:val="22"/>
          <w:szCs w:val="22"/>
        </w:rPr>
      </w:pPr>
    </w:p>
    <w:p w14:paraId="24610039" w14:textId="08871135" w:rsidR="001F052D" w:rsidRDefault="00654CF8" w:rsidP="00EF040C">
      <w:pPr>
        <w:spacing w:after="120"/>
        <w:contextualSpacing/>
        <w:jc w:val="center"/>
        <w:rPr>
          <w:rFonts w:ascii="Arial" w:hAnsi="Arial" w:cs="Arial"/>
          <w:b/>
          <w:sz w:val="22"/>
          <w:szCs w:val="22"/>
        </w:rPr>
      </w:pPr>
      <w:r w:rsidRPr="003A3829">
        <w:rPr>
          <w:rFonts w:ascii="Arial" w:hAnsi="Arial" w:cs="Arial"/>
          <w:b/>
          <w:sz w:val="22"/>
          <w:szCs w:val="22"/>
        </w:rPr>
        <w:t xml:space="preserve">Art. </w:t>
      </w:r>
      <w:r w:rsidR="00EF040C">
        <w:rPr>
          <w:rFonts w:ascii="Arial" w:hAnsi="Arial" w:cs="Arial"/>
          <w:b/>
          <w:sz w:val="22"/>
          <w:szCs w:val="22"/>
        </w:rPr>
        <w:t>2</w:t>
      </w:r>
      <w:r w:rsidR="00B77B96">
        <w:rPr>
          <w:rFonts w:ascii="Arial" w:hAnsi="Arial" w:cs="Arial"/>
          <w:b/>
          <w:sz w:val="22"/>
          <w:szCs w:val="22"/>
        </w:rPr>
        <w:t>2</w:t>
      </w:r>
      <w:r w:rsidRPr="003A3829">
        <w:rPr>
          <w:rFonts w:ascii="Arial" w:hAnsi="Arial" w:cs="Arial"/>
          <w:b/>
          <w:sz w:val="22"/>
          <w:szCs w:val="22"/>
        </w:rPr>
        <w:t xml:space="preserve"> Norme di rinvio</w:t>
      </w:r>
      <w:bookmarkEnd w:id="26"/>
      <w:bookmarkEnd w:id="27"/>
    </w:p>
    <w:p w14:paraId="77DE85EB" w14:textId="77777777" w:rsidR="008B7FEE" w:rsidRPr="003A3829" w:rsidRDefault="008B7FEE" w:rsidP="00EF040C">
      <w:pPr>
        <w:spacing w:after="120"/>
        <w:contextualSpacing/>
        <w:jc w:val="center"/>
        <w:rPr>
          <w:rFonts w:ascii="Arial" w:hAnsi="Arial" w:cs="Arial"/>
          <w:b/>
          <w:sz w:val="22"/>
          <w:szCs w:val="22"/>
        </w:rPr>
      </w:pPr>
    </w:p>
    <w:p w14:paraId="708A8E10" w14:textId="1D966235" w:rsidR="0058299E" w:rsidRDefault="00654CF8" w:rsidP="00B77B96">
      <w:pPr>
        <w:spacing w:after="120"/>
        <w:contextualSpacing/>
        <w:jc w:val="both"/>
        <w:rPr>
          <w:rFonts w:ascii="Arial" w:hAnsi="Arial" w:cs="Arial"/>
        </w:rPr>
        <w:sectPr w:rsidR="0058299E" w:rsidSect="0058299E">
          <w:footerReference w:type="default" r:id="rId10"/>
          <w:pgSz w:w="11900" w:h="16840"/>
          <w:pgMar w:top="1417" w:right="1134" w:bottom="1134" w:left="1134" w:header="708" w:footer="708" w:gutter="0"/>
          <w:cols w:space="708"/>
          <w:docGrid w:linePitch="360"/>
        </w:sectPr>
      </w:pPr>
      <w:r w:rsidRPr="003A3829">
        <w:rPr>
          <w:rFonts w:ascii="Arial" w:hAnsi="Arial" w:cs="Arial"/>
          <w:sz w:val="22"/>
          <w:szCs w:val="22"/>
        </w:rPr>
        <w:t>Per quanto non espressamente contenuto nel presente Capitolato d’O</w:t>
      </w:r>
      <w:r w:rsidR="00235E0C" w:rsidRPr="003A3829">
        <w:rPr>
          <w:rFonts w:ascii="Arial" w:hAnsi="Arial" w:cs="Arial"/>
          <w:sz w:val="22"/>
          <w:szCs w:val="22"/>
        </w:rPr>
        <w:t xml:space="preserve">neri, nel disciplinare di gara </w:t>
      </w:r>
      <w:r w:rsidRPr="003A3829">
        <w:rPr>
          <w:rFonts w:ascii="Arial" w:hAnsi="Arial" w:cs="Arial"/>
          <w:sz w:val="22"/>
          <w:szCs w:val="22"/>
        </w:rPr>
        <w:t>e nel bando di gara si fa riferimento alle vigenti normative in materia.</w:t>
      </w:r>
      <w:r w:rsidR="00695B3D" w:rsidRPr="003A3829">
        <w:rPr>
          <w:rFonts w:ascii="Arial" w:hAnsi="Arial" w:cs="Arial"/>
          <w:sz w:val="22"/>
          <w:szCs w:val="22"/>
        </w:rPr>
        <w:t xml:space="preserve"> </w:t>
      </w:r>
      <w:r w:rsidRPr="003A3829">
        <w:rPr>
          <w:rFonts w:ascii="Arial" w:hAnsi="Arial" w:cs="Arial"/>
          <w:sz w:val="22"/>
          <w:szCs w:val="22"/>
        </w:rPr>
        <w:t>In particolare per quanto riguarda le norme pertinenti in materia di sviluppo rurale si fa riferimento a quanto disponibile sul sito della Regione Umbria al seguente indirizzo:</w:t>
      </w:r>
      <w:r w:rsidR="00695B3D" w:rsidRPr="003A3829">
        <w:rPr>
          <w:rFonts w:ascii="Arial" w:hAnsi="Arial" w:cs="Arial"/>
          <w:sz w:val="22"/>
          <w:szCs w:val="22"/>
        </w:rPr>
        <w:t xml:space="preserve"> </w:t>
      </w:r>
      <w:r w:rsidRPr="003A3829">
        <w:rPr>
          <w:rFonts w:ascii="Arial" w:hAnsi="Arial" w:cs="Arial"/>
          <w:i/>
          <w:sz w:val="22"/>
          <w:szCs w:val="22"/>
        </w:rPr>
        <w:t>http://www.regione.umbria.it/agricoltura/programma-di-sviluppo-rurale-2014-2020</w:t>
      </w:r>
      <w:r w:rsidR="00B77B96">
        <w:rPr>
          <w:rFonts w:ascii="Arial" w:hAnsi="Arial" w:cs="Arial"/>
          <w:i/>
          <w:sz w:val="22"/>
          <w:szCs w:val="22"/>
        </w:rPr>
        <w:t>.</w:t>
      </w:r>
    </w:p>
    <w:p w14:paraId="01187DB2" w14:textId="77777777" w:rsidR="007179FA" w:rsidRPr="003A3829" w:rsidRDefault="007179FA" w:rsidP="009A18B8">
      <w:pPr>
        <w:jc w:val="center"/>
        <w:rPr>
          <w:rFonts w:ascii="Arial" w:hAnsi="Arial" w:cs="Arial"/>
        </w:rPr>
      </w:pPr>
    </w:p>
    <w:sectPr w:rsidR="007179FA" w:rsidRPr="003A3829" w:rsidSect="0058299E">
      <w:pgSz w:w="16840" w:h="11900"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C5C23" w14:textId="77777777" w:rsidR="001C2C48" w:rsidRDefault="001C2C48" w:rsidP="00214F4F">
      <w:r>
        <w:separator/>
      </w:r>
    </w:p>
  </w:endnote>
  <w:endnote w:type="continuationSeparator" w:id="0">
    <w:p w14:paraId="7FE170B1" w14:textId="77777777" w:rsidR="001C2C48" w:rsidRDefault="001C2C48" w:rsidP="00214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libri">
    <w:altName w:val="Arial Rounded MT Bold"/>
    <w:panose1 w:val="020F0502020204030204"/>
    <w:charset w:val="00"/>
    <w:family w:val="swiss"/>
    <w:pitch w:val="variable"/>
    <w:sig w:usb0="E00002FF" w:usb1="4000ACFF" w:usb2="00000001" w:usb3="00000000" w:csb0="0000019F" w:csb1="00000000"/>
  </w:font>
  <w:font w:name="TimesNewRoman-Identity-H">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9034658"/>
      <w:docPartObj>
        <w:docPartGallery w:val="Page Numbers (Bottom of Page)"/>
        <w:docPartUnique/>
      </w:docPartObj>
    </w:sdtPr>
    <w:sdtEndPr/>
    <w:sdtContent>
      <w:p w14:paraId="145C9F0D" w14:textId="1DC17D33" w:rsidR="00686752" w:rsidRDefault="00686752">
        <w:pPr>
          <w:pStyle w:val="Pidipagina"/>
          <w:jc w:val="right"/>
        </w:pPr>
        <w:r>
          <w:fldChar w:fldCharType="begin"/>
        </w:r>
        <w:r>
          <w:instrText>PAGE   \* MERGEFORMAT</w:instrText>
        </w:r>
        <w:r>
          <w:fldChar w:fldCharType="separate"/>
        </w:r>
        <w:r w:rsidR="001C2C48">
          <w:rPr>
            <w:noProof/>
          </w:rPr>
          <w:t>1</w:t>
        </w:r>
        <w:r>
          <w:fldChar w:fldCharType="end"/>
        </w:r>
      </w:p>
    </w:sdtContent>
  </w:sdt>
  <w:p w14:paraId="3FBA0515" w14:textId="77777777" w:rsidR="00686752" w:rsidRDefault="0068675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DEED4" w14:textId="77777777" w:rsidR="001C2C48" w:rsidRDefault="001C2C48" w:rsidP="00214F4F">
      <w:r>
        <w:separator/>
      </w:r>
    </w:p>
  </w:footnote>
  <w:footnote w:type="continuationSeparator" w:id="0">
    <w:p w14:paraId="4B09F8B5" w14:textId="77777777" w:rsidR="001C2C48" w:rsidRDefault="001C2C48" w:rsidP="00214F4F">
      <w:r>
        <w:continuationSeparator/>
      </w:r>
    </w:p>
  </w:footnote>
  <w:footnote w:id="1">
    <w:p w14:paraId="7878E22D" w14:textId="101A9F3F" w:rsidR="006054AB" w:rsidRPr="00F07EB5" w:rsidRDefault="006054AB" w:rsidP="00F07EB5">
      <w:pPr>
        <w:jc w:val="both"/>
        <w:rPr>
          <w:rFonts w:ascii="Arial" w:hAnsi="Arial" w:cs="Arial"/>
          <w:sz w:val="18"/>
          <w:szCs w:val="18"/>
        </w:rPr>
      </w:pPr>
      <w:r>
        <w:rPr>
          <w:rStyle w:val="Rimandonotaapidipagina"/>
        </w:rPr>
        <w:footnoteRef/>
      </w:r>
      <w:r w:rsidRPr="00833F9B">
        <w:rPr>
          <w:sz w:val="18"/>
          <w:szCs w:val="18"/>
        </w:rPr>
        <w:t xml:space="preserve"> </w:t>
      </w:r>
      <w:r w:rsidRPr="00833F9B">
        <w:rPr>
          <w:rFonts w:ascii="Arial" w:hAnsi="Arial" w:cs="Arial"/>
          <w:sz w:val="18"/>
          <w:szCs w:val="18"/>
        </w:rPr>
        <w:t xml:space="preserve">Relativamente a quanto previsto dal D. Lgs. 09.04.2008, n. 81 in materia di tutela della salute e della sicurezza dei luoghi di lavoro circa l’obbligo del datore di lavoro committente di elaborare un documento unico di valutazione dei rischi da interferenze (DUVRI), si precisa che l’art. 3-bis dispone che l’obbligo della redazione del DUVRI non si applica ai servizi di natura intellettuale; allo stesso modo l’Autorità di Vigilanza sui contratti pubblici, con deliberazione n. 3 del 05.03.2008, si era espressa nel senso di “escludere preventivamente la predisposizione del DUVRI e la conseguente stima dei costi della sicurezza per i servizi di natura intellettuale, anche se effettuati presso la stazione appaltante”.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6B1A1BE4"/>
    <w:lvl w:ilvl="0">
      <w:start w:val="1"/>
      <w:numFmt w:val="bullet"/>
      <w:pStyle w:val="Puntoelenco3"/>
      <w:lvlText w:val=""/>
      <w:lvlJc w:val="left"/>
      <w:pPr>
        <w:tabs>
          <w:tab w:val="num" w:pos="926"/>
        </w:tabs>
        <w:ind w:left="926" w:hanging="360"/>
      </w:pPr>
      <w:rPr>
        <w:rFonts w:ascii="Symbol" w:hAnsi="Symbol" w:hint="default"/>
      </w:rPr>
    </w:lvl>
  </w:abstractNum>
  <w:abstractNum w:abstractNumId="1">
    <w:nsid w:val="0451FAF7"/>
    <w:multiLevelType w:val="singleLevel"/>
    <w:tmpl w:val="1E61FC32"/>
    <w:lvl w:ilvl="0">
      <w:start w:val="1"/>
      <w:numFmt w:val="bullet"/>
      <w:lvlText w:val=""/>
      <w:lvlJc w:val="left"/>
      <w:pPr>
        <w:tabs>
          <w:tab w:val="num" w:pos="1476"/>
        </w:tabs>
        <w:ind w:left="1476" w:hanging="324"/>
      </w:pPr>
      <w:rPr>
        <w:rFonts w:ascii="Symbol" w:hAnsi="Symbol" w:cs="Times New Roman" w:hint="default"/>
      </w:rPr>
    </w:lvl>
  </w:abstractNum>
  <w:abstractNum w:abstractNumId="2">
    <w:nsid w:val="08652C9D"/>
    <w:multiLevelType w:val="hybridMultilevel"/>
    <w:tmpl w:val="5FE2F9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9581F34"/>
    <w:multiLevelType w:val="hybridMultilevel"/>
    <w:tmpl w:val="4644F178"/>
    <w:lvl w:ilvl="0" w:tplc="514AEAF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DD442AB"/>
    <w:multiLevelType w:val="hybridMultilevel"/>
    <w:tmpl w:val="3DD21B64"/>
    <w:lvl w:ilvl="0" w:tplc="185613C0">
      <w:start w:val="1"/>
      <w:numFmt w:val="bullet"/>
      <w:lvlText w:val="-"/>
      <w:lvlJc w:val="left"/>
      <w:pPr>
        <w:tabs>
          <w:tab w:val="num" w:pos="360"/>
        </w:tabs>
        <w:ind w:left="360" w:hanging="360"/>
      </w:pPr>
      <w:rPr>
        <w:rFonts w:hAnsi="Courier New" w:hint="default"/>
      </w:rPr>
    </w:lvl>
    <w:lvl w:ilvl="1" w:tplc="04100005">
      <w:start w:val="1"/>
      <w:numFmt w:val="bullet"/>
      <w:lvlText w:val=""/>
      <w:lvlJc w:val="left"/>
      <w:pPr>
        <w:tabs>
          <w:tab w:val="num" w:pos="1080"/>
        </w:tabs>
        <w:ind w:left="1080" w:hanging="360"/>
      </w:pPr>
      <w:rPr>
        <w:rFonts w:ascii="Wingdings" w:hAnsi="Wingdings"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
    <w:nsid w:val="0E24A0C8"/>
    <w:multiLevelType w:val="singleLevel"/>
    <w:tmpl w:val="04332F0D"/>
    <w:lvl w:ilvl="0">
      <w:start w:val="1"/>
      <w:numFmt w:val="bullet"/>
      <w:lvlText w:val=""/>
      <w:lvlJc w:val="left"/>
      <w:pPr>
        <w:tabs>
          <w:tab w:val="num" w:pos="432"/>
        </w:tabs>
        <w:ind w:left="432" w:hanging="396"/>
      </w:pPr>
      <w:rPr>
        <w:rFonts w:ascii="Symbol" w:hAnsi="Symbol" w:cs="Times New Roman" w:hint="default"/>
      </w:rPr>
    </w:lvl>
  </w:abstractNum>
  <w:abstractNum w:abstractNumId="6">
    <w:nsid w:val="13EEB3F5"/>
    <w:multiLevelType w:val="singleLevel"/>
    <w:tmpl w:val="49FB963D"/>
    <w:lvl w:ilvl="0">
      <w:start w:val="1"/>
      <w:numFmt w:val="bullet"/>
      <w:lvlText w:val=""/>
      <w:lvlJc w:val="left"/>
      <w:pPr>
        <w:tabs>
          <w:tab w:val="num" w:pos="1476"/>
        </w:tabs>
        <w:ind w:left="1476" w:hanging="360"/>
      </w:pPr>
      <w:rPr>
        <w:rFonts w:ascii="Symbol" w:hAnsi="Symbol" w:cs="Times New Roman" w:hint="default"/>
      </w:rPr>
    </w:lvl>
  </w:abstractNum>
  <w:abstractNum w:abstractNumId="7">
    <w:nsid w:val="150C1AEF"/>
    <w:multiLevelType w:val="hybridMultilevel"/>
    <w:tmpl w:val="14602F66"/>
    <w:lvl w:ilvl="0" w:tplc="0410000F">
      <w:start w:val="1"/>
      <w:numFmt w:val="decimal"/>
      <w:lvlText w:val="%1."/>
      <w:lvlJc w:val="left"/>
      <w:pPr>
        <w:tabs>
          <w:tab w:val="num" w:pos="360"/>
        </w:tabs>
        <w:ind w:left="360" w:hanging="360"/>
      </w:pPr>
    </w:lvl>
    <w:lvl w:ilvl="1" w:tplc="04100005">
      <w:start w:val="1"/>
      <w:numFmt w:val="bullet"/>
      <w:lvlText w:val=""/>
      <w:lvlJc w:val="left"/>
      <w:pPr>
        <w:tabs>
          <w:tab w:val="num" w:pos="1080"/>
        </w:tabs>
        <w:ind w:left="1080" w:hanging="360"/>
      </w:pPr>
      <w:rPr>
        <w:rFonts w:ascii="Wingdings" w:hAnsi="Wingding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8">
    <w:nsid w:val="1C60580A"/>
    <w:multiLevelType w:val="hybridMultilevel"/>
    <w:tmpl w:val="5F3A88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0884879"/>
    <w:multiLevelType w:val="hybridMultilevel"/>
    <w:tmpl w:val="0F1AB4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23868FA"/>
    <w:multiLevelType w:val="hybridMultilevel"/>
    <w:tmpl w:val="3DD21B64"/>
    <w:lvl w:ilvl="0" w:tplc="185613C0">
      <w:start w:val="1"/>
      <w:numFmt w:val="bullet"/>
      <w:lvlText w:val="-"/>
      <w:lvlJc w:val="left"/>
      <w:pPr>
        <w:tabs>
          <w:tab w:val="num" w:pos="360"/>
        </w:tabs>
        <w:ind w:left="360" w:hanging="360"/>
      </w:pPr>
      <w:rPr>
        <w:rFonts w:hAnsi="Courier New"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nsid w:val="29C22632"/>
    <w:multiLevelType w:val="hybridMultilevel"/>
    <w:tmpl w:val="18887A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D097B57"/>
    <w:multiLevelType w:val="hybridMultilevel"/>
    <w:tmpl w:val="14602F66"/>
    <w:lvl w:ilvl="0" w:tplc="04100005">
      <w:start w:val="1"/>
      <w:numFmt w:val="bullet"/>
      <w:lvlText w:val=""/>
      <w:lvlJc w:val="left"/>
      <w:pPr>
        <w:tabs>
          <w:tab w:val="num" w:pos="360"/>
        </w:tabs>
        <w:ind w:left="360" w:hanging="360"/>
      </w:pPr>
      <w:rPr>
        <w:rFonts w:ascii="Wingdings" w:hAnsi="Wingdings" w:hint="default"/>
      </w:rPr>
    </w:lvl>
    <w:lvl w:ilvl="1" w:tplc="04100005">
      <w:start w:val="1"/>
      <w:numFmt w:val="bullet"/>
      <w:lvlText w:val=""/>
      <w:lvlJc w:val="left"/>
      <w:pPr>
        <w:tabs>
          <w:tab w:val="num" w:pos="1080"/>
        </w:tabs>
        <w:ind w:left="1080" w:hanging="360"/>
      </w:pPr>
      <w:rPr>
        <w:rFonts w:ascii="Wingdings" w:hAnsi="Wingding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3">
    <w:nsid w:val="32F645C8"/>
    <w:multiLevelType w:val="hybridMultilevel"/>
    <w:tmpl w:val="95F44D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6CC70D0"/>
    <w:multiLevelType w:val="hybridMultilevel"/>
    <w:tmpl w:val="6C14AC1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nsid w:val="38705CAB"/>
    <w:multiLevelType w:val="hybridMultilevel"/>
    <w:tmpl w:val="95D697F2"/>
    <w:lvl w:ilvl="0" w:tplc="63FC3D56">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330"/>
        </w:tabs>
        <w:ind w:left="1330" w:hanging="360"/>
      </w:pPr>
      <w:rPr>
        <w:rFonts w:ascii="Courier New" w:hAnsi="Courier New" w:cs="Courier New" w:hint="default"/>
      </w:rPr>
    </w:lvl>
    <w:lvl w:ilvl="2" w:tplc="04100005" w:tentative="1">
      <w:start w:val="1"/>
      <w:numFmt w:val="bullet"/>
      <w:lvlText w:val=""/>
      <w:lvlJc w:val="left"/>
      <w:pPr>
        <w:tabs>
          <w:tab w:val="num" w:pos="2050"/>
        </w:tabs>
        <w:ind w:left="2050" w:hanging="360"/>
      </w:pPr>
      <w:rPr>
        <w:rFonts w:ascii="Wingdings" w:hAnsi="Wingdings" w:hint="default"/>
      </w:rPr>
    </w:lvl>
    <w:lvl w:ilvl="3" w:tplc="04100001" w:tentative="1">
      <w:start w:val="1"/>
      <w:numFmt w:val="bullet"/>
      <w:lvlText w:val=""/>
      <w:lvlJc w:val="left"/>
      <w:pPr>
        <w:tabs>
          <w:tab w:val="num" w:pos="2770"/>
        </w:tabs>
        <w:ind w:left="2770" w:hanging="360"/>
      </w:pPr>
      <w:rPr>
        <w:rFonts w:ascii="Symbol" w:hAnsi="Symbol" w:hint="default"/>
      </w:rPr>
    </w:lvl>
    <w:lvl w:ilvl="4" w:tplc="04100003" w:tentative="1">
      <w:start w:val="1"/>
      <w:numFmt w:val="bullet"/>
      <w:lvlText w:val="o"/>
      <w:lvlJc w:val="left"/>
      <w:pPr>
        <w:tabs>
          <w:tab w:val="num" w:pos="3490"/>
        </w:tabs>
        <w:ind w:left="3490" w:hanging="360"/>
      </w:pPr>
      <w:rPr>
        <w:rFonts w:ascii="Courier New" w:hAnsi="Courier New" w:cs="Courier New" w:hint="default"/>
      </w:rPr>
    </w:lvl>
    <w:lvl w:ilvl="5" w:tplc="04100005" w:tentative="1">
      <w:start w:val="1"/>
      <w:numFmt w:val="bullet"/>
      <w:lvlText w:val=""/>
      <w:lvlJc w:val="left"/>
      <w:pPr>
        <w:tabs>
          <w:tab w:val="num" w:pos="4210"/>
        </w:tabs>
        <w:ind w:left="4210" w:hanging="360"/>
      </w:pPr>
      <w:rPr>
        <w:rFonts w:ascii="Wingdings" w:hAnsi="Wingdings" w:hint="default"/>
      </w:rPr>
    </w:lvl>
    <w:lvl w:ilvl="6" w:tplc="04100001" w:tentative="1">
      <w:start w:val="1"/>
      <w:numFmt w:val="bullet"/>
      <w:lvlText w:val=""/>
      <w:lvlJc w:val="left"/>
      <w:pPr>
        <w:tabs>
          <w:tab w:val="num" w:pos="4930"/>
        </w:tabs>
        <w:ind w:left="4930" w:hanging="360"/>
      </w:pPr>
      <w:rPr>
        <w:rFonts w:ascii="Symbol" w:hAnsi="Symbol" w:hint="default"/>
      </w:rPr>
    </w:lvl>
    <w:lvl w:ilvl="7" w:tplc="04100003" w:tentative="1">
      <w:start w:val="1"/>
      <w:numFmt w:val="bullet"/>
      <w:lvlText w:val="o"/>
      <w:lvlJc w:val="left"/>
      <w:pPr>
        <w:tabs>
          <w:tab w:val="num" w:pos="5650"/>
        </w:tabs>
        <w:ind w:left="5650" w:hanging="360"/>
      </w:pPr>
      <w:rPr>
        <w:rFonts w:ascii="Courier New" w:hAnsi="Courier New" w:cs="Courier New" w:hint="default"/>
      </w:rPr>
    </w:lvl>
    <w:lvl w:ilvl="8" w:tplc="04100005" w:tentative="1">
      <w:start w:val="1"/>
      <w:numFmt w:val="bullet"/>
      <w:lvlText w:val=""/>
      <w:lvlJc w:val="left"/>
      <w:pPr>
        <w:tabs>
          <w:tab w:val="num" w:pos="6370"/>
        </w:tabs>
        <w:ind w:left="6370" w:hanging="360"/>
      </w:pPr>
      <w:rPr>
        <w:rFonts w:ascii="Wingdings" w:hAnsi="Wingdings" w:hint="default"/>
      </w:rPr>
    </w:lvl>
  </w:abstractNum>
  <w:abstractNum w:abstractNumId="16">
    <w:nsid w:val="3C0C60C8"/>
    <w:multiLevelType w:val="hybridMultilevel"/>
    <w:tmpl w:val="62A4BC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F317721"/>
    <w:multiLevelType w:val="hybridMultilevel"/>
    <w:tmpl w:val="427627C2"/>
    <w:lvl w:ilvl="0" w:tplc="04100001">
      <w:start w:val="1"/>
      <w:numFmt w:val="bullet"/>
      <w:lvlText w:val=""/>
      <w:lvlJc w:val="left"/>
      <w:pPr>
        <w:ind w:left="643" w:hanging="360"/>
      </w:pPr>
      <w:rPr>
        <w:rFonts w:ascii="Symbol" w:hAnsi="Symbol" w:hint="default"/>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18">
    <w:nsid w:val="41797CB7"/>
    <w:multiLevelType w:val="hybridMultilevel"/>
    <w:tmpl w:val="B43CCF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5105EE1"/>
    <w:multiLevelType w:val="singleLevel"/>
    <w:tmpl w:val="0A2525E7"/>
    <w:lvl w:ilvl="0">
      <w:start w:val="1"/>
      <w:numFmt w:val="bullet"/>
      <w:lvlText w:val=""/>
      <w:lvlJc w:val="left"/>
      <w:pPr>
        <w:tabs>
          <w:tab w:val="num" w:pos="1512"/>
        </w:tabs>
        <w:ind w:left="1512" w:hanging="396"/>
      </w:pPr>
      <w:rPr>
        <w:rFonts w:ascii="Symbol" w:hAnsi="Symbol" w:cs="Times New Roman" w:hint="default"/>
      </w:rPr>
    </w:lvl>
  </w:abstractNum>
  <w:abstractNum w:abstractNumId="20">
    <w:nsid w:val="46D72CFC"/>
    <w:multiLevelType w:val="singleLevel"/>
    <w:tmpl w:val="59253AE1"/>
    <w:lvl w:ilvl="0">
      <w:start w:val="1"/>
      <w:numFmt w:val="bullet"/>
      <w:lvlText w:val=""/>
      <w:lvlJc w:val="left"/>
      <w:pPr>
        <w:tabs>
          <w:tab w:val="num" w:pos="1512"/>
        </w:tabs>
        <w:ind w:left="1512" w:hanging="360"/>
      </w:pPr>
      <w:rPr>
        <w:rFonts w:ascii="Symbol" w:hAnsi="Symbol" w:cs="Times New Roman" w:hint="default"/>
      </w:rPr>
    </w:lvl>
  </w:abstractNum>
  <w:abstractNum w:abstractNumId="21">
    <w:nsid w:val="4E351B69"/>
    <w:multiLevelType w:val="hybridMultilevel"/>
    <w:tmpl w:val="69845D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4CF52D4"/>
    <w:multiLevelType w:val="hybridMultilevel"/>
    <w:tmpl w:val="8862B0FC"/>
    <w:lvl w:ilvl="0" w:tplc="04100005">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3">
    <w:nsid w:val="60EA43A5"/>
    <w:multiLevelType w:val="hybridMultilevel"/>
    <w:tmpl w:val="9F7E4B54"/>
    <w:lvl w:ilvl="0" w:tplc="E542C99C">
      <w:start w:val="5"/>
      <w:numFmt w:val="bullet"/>
      <w:lvlText w:val="-"/>
      <w:lvlJc w:val="left"/>
      <w:pPr>
        <w:ind w:left="765" w:hanging="360"/>
      </w:pPr>
      <w:rPr>
        <w:rFonts w:ascii="Arial" w:eastAsia="Times New Roman" w:hAnsi="Aria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4">
    <w:nsid w:val="6BAE55B5"/>
    <w:multiLevelType w:val="singleLevel"/>
    <w:tmpl w:val="7A11C657"/>
    <w:lvl w:ilvl="0">
      <w:start w:val="1"/>
      <w:numFmt w:val="bullet"/>
      <w:lvlText w:val=""/>
      <w:lvlJc w:val="left"/>
      <w:pPr>
        <w:tabs>
          <w:tab w:val="num" w:pos="1512"/>
        </w:tabs>
        <w:ind w:left="1512" w:hanging="360"/>
      </w:pPr>
      <w:rPr>
        <w:rFonts w:ascii="Symbol" w:hAnsi="Symbol" w:cs="Times New Roman" w:hint="default"/>
      </w:rPr>
    </w:lvl>
  </w:abstractNum>
  <w:abstractNum w:abstractNumId="25">
    <w:nsid w:val="71A94E1A"/>
    <w:multiLevelType w:val="singleLevel"/>
    <w:tmpl w:val="3C9B52ED"/>
    <w:lvl w:ilvl="0">
      <w:start w:val="1"/>
      <w:numFmt w:val="bullet"/>
      <w:lvlText w:val=""/>
      <w:lvlJc w:val="left"/>
      <w:pPr>
        <w:tabs>
          <w:tab w:val="num" w:pos="1512"/>
        </w:tabs>
        <w:ind w:left="1512" w:hanging="360"/>
      </w:pPr>
      <w:rPr>
        <w:rFonts w:ascii="Symbol" w:hAnsi="Symbol" w:cs="Times New Roman" w:hint="default"/>
      </w:rPr>
    </w:lvl>
  </w:abstractNum>
  <w:abstractNum w:abstractNumId="26">
    <w:nsid w:val="72526BF0"/>
    <w:multiLevelType w:val="singleLevel"/>
    <w:tmpl w:val="7E24A38B"/>
    <w:lvl w:ilvl="0">
      <w:start w:val="1"/>
      <w:numFmt w:val="bullet"/>
      <w:lvlText w:val=""/>
      <w:lvlJc w:val="left"/>
      <w:pPr>
        <w:tabs>
          <w:tab w:val="num" w:pos="432"/>
        </w:tabs>
        <w:ind w:left="432" w:hanging="432"/>
      </w:pPr>
      <w:rPr>
        <w:rFonts w:ascii="Symbol" w:hAnsi="Symbol" w:cs="Times New Roman" w:hint="default"/>
      </w:rPr>
    </w:lvl>
  </w:abstractNum>
  <w:abstractNum w:abstractNumId="27">
    <w:nsid w:val="75E17DB6"/>
    <w:multiLevelType w:val="hybridMultilevel"/>
    <w:tmpl w:val="037274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9684B3A"/>
    <w:multiLevelType w:val="hybridMultilevel"/>
    <w:tmpl w:val="73A6250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7B5E06D9"/>
    <w:multiLevelType w:val="hybridMultilevel"/>
    <w:tmpl w:val="CBAC3B2A"/>
    <w:lvl w:ilvl="0" w:tplc="02EC69FA">
      <w:start w:val="1"/>
      <w:numFmt w:val="lowerLetter"/>
      <w:lvlText w:val="%1)"/>
      <w:lvlJc w:val="left"/>
      <w:pPr>
        <w:tabs>
          <w:tab w:val="num" w:pos="360"/>
        </w:tabs>
        <w:ind w:left="360" w:hanging="360"/>
      </w:pPr>
      <w:rPr>
        <w:rFonts w:hint="default"/>
        <w:b w:val="0"/>
        <w:i w:val="0"/>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0">
    <w:nsid w:val="7CE2418A"/>
    <w:multiLevelType w:val="hybridMultilevel"/>
    <w:tmpl w:val="F40E7DF0"/>
    <w:lvl w:ilvl="0" w:tplc="FFFFFFFF">
      <w:start w:val="1"/>
      <w:numFmt w:val="lowerLetter"/>
      <w:lvlText w:val="%1)"/>
      <w:lvlJc w:val="left"/>
      <w:pPr>
        <w:tabs>
          <w:tab w:val="num" w:pos="1080"/>
        </w:tabs>
        <w:ind w:left="720"/>
      </w:pPr>
      <w:rPr>
        <w:rFont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1">
    <w:nsid w:val="7DF6B41A"/>
    <w:multiLevelType w:val="singleLevel"/>
    <w:tmpl w:val="15E9A3FD"/>
    <w:lvl w:ilvl="0">
      <w:start w:val="1"/>
      <w:numFmt w:val="bullet"/>
      <w:lvlText w:val=""/>
      <w:lvlJc w:val="left"/>
      <w:pPr>
        <w:tabs>
          <w:tab w:val="num" w:pos="432"/>
        </w:tabs>
        <w:ind w:left="432" w:hanging="396"/>
      </w:pPr>
      <w:rPr>
        <w:rFonts w:ascii="Symbol" w:hAnsi="Symbol" w:cs="Times New Roman" w:hint="default"/>
      </w:rPr>
    </w:lvl>
  </w:abstractNum>
  <w:abstractNum w:abstractNumId="32">
    <w:nsid w:val="7EEA1919"/>
    <w:multiLevelType w:val="hybridMultilevel"/>
    <w:tmpl w:val="4CB64E04"/>
    <w:lvl w:ilvl="0" w:tplc="5CDA9380">
      <w:numFmt w:val="bullet"/>
      <w:lvlText w:val="-"/>
      <w:lvlJc w:val="left"/>
      <w:pPr>
        <w:ind w:left="720" w:hanging="360"/>
      </w:pPr>
      <w:rPr>
        <w:rFonts w:ascii="Arial" w:eastAsia="Times New Roman" w:hAnsi="Arial" w:hint="default"/>
        <w:b w:val="0"/>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num w:numId="1">
    <w:abstractNumId w:val="29"/>
  </w:num>
  <w:num w:numId="2">
    <w:abstractNumId w:val="20"/>
  </w:num>
  <w:num w:numId="3">
    <w:abstractNumId w:val="25"/>
  </w:num>
  <w:num w:numId="4">
    <w:abstractNumId w:val="24"/>
  </w:num>
  <w:num w:numId="5">
    <w:abstractNumId w:val="19"/>
  </w:num>
  <w:num w:numId="6">
    <w:abstractNumId w:val="1"/>
  </w:num>
  <w:num w:numId="7">
    <w:abstractNumId w:val="6"/>
  </w:num>
  <w:num w:numId="8">
    <w:abstractNumId w:val="26"/>
  </w:num>
  <w:num w:numId="9">
    <w:abstractNumId w:val="31"/>
  </w:num>
  <w:num w:numId="10">
    <w:abstractNumId w:val="5"/>
  </w:num>
  <w:num w:numId="11">
    <w:abstractNumId w:val="3"/>
  </w:num>
  <w:num w:numId="12">
    <w:abstractNumId w:val="17"/>
  </w:num>
  <w:num w:numId="13">
    <w:abstractNumId w:val="2"/>
  </w:num>
  <w:num w:numId="14">
    <w:abstractNumId w:val="13"/>
  </w:num>
  <w:num w:numId="15">
    <w:abstractNumId w:val="14"/>
  </w:num>
  <w:num w:numId="16">
    <w:abstractNumId w:val="11"/>
  </w:num>
  <w:num w:numId="17">
    <w:abstractNumId w:val="18"/>
  </w:num>
  <w:num w:numId="18">
    <w:abstractNumId w:val="16"/>
  </w:num>
  <w:num w:numId="19">
    <w:abstractNumId w:val="8"/>
  </w:num>
  <w:num w:numId="20">
    <w:abstractNumId w:val="27"/>
  </w:num>
  <w:num w:numId="21">
    <w:abstractNumId w:val="21"/>
  </w:num>
  <w:num w:numId="22">
    <w:abstractNumId w:val="0"/>
  </w:num>
  <w:num w:numId="23">
    <w:abstractNumId w:val="10"/>
  </w:num>
  <w:num w:numId="24">
    <w:abstractNumId w:val="4"/>
  </w:num>
  <w:num w:numId="25">
    <w:abstractNumId w:val="22"/>
  </w:num>
  <w:num w:numId="26">
    <w:abstractNumId w:val="15"/>
  </w:num>
  <w:num w:numId="27">
    <w:abstractNumId w:val="30"/>
  </w:num>
  <w:num w:numId="28">
    <w:abstractNumId w:val="7"/>
  </w:num>
  <w:num w:numId="29">
    <w:abstractNumId w:val="12"/>
  </w:num>
  <w:num w:numId="30">
    <w:abstractNumId w:val="28"/>
  </w:num>
  <w:num w:numId="31">
    <w:abstractNumId w:val="9"/>
  </w:num>
  <w:num w:numId="32">
    <w:abstractNumId w:val="23"/>
  </w:num>
  <w:num w:numId="33">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F4F"/>
    <w:rsid w:val="00002966"/>
    <w:rsid w:val="00003130"/>
    <w:rsid w:val="00006AF8"/>
    <w:rsid w:val="00007A20"/>
    <w:rsid w:val="00007F5D"/>
    <w:rsid w:val="000114DA"/>
    <w:rsid w:val="00011953"/>
    <w:rsid w:val="00012D60"/>
    <w:rsid w:val="00013143"/>
    <w:rsid w:val="000132DA"/>
    <w:rsid w:val="00015FBF"/>
    <w:rsid w:val="00016450"/>
    <w:rsid w:val="000170CE"/>
    <w:rsid w:val="0002117B"/>
    <w:rsid w:val="00023CA6"/>
    <w:rsid w:val="000254FA"/>
    <w:rsid w:val="00025F06"/>
    <w:rsid w:val="00026BCD"/>
    <w:rsid w:val="000274EB"/>
    <w:rsid w:val="00034FDB"/>
    <w:rsid w:val="00035A27"/>
    <w:rsid w:val="000377D6"/>
    <w:rsid w:val="00042B30"/>
    <w:rsid w:val="00043D87"/>
    <w:rsid w:val="000451E8"/>
    <w:rsid w:val="00045D91"/>
    <w:rsid w:val="00047A7B"/>
    <w:rsid w:val="00055D87"/>
    <w:rsid w:val="00060EC8"/>
    <w:rsid w:val="0006411C"/>
    <w:rsid w:val="000657E7"/>
    <w:rsid w:val="00065B4E"/>
    <w:rsid w:val="00066159"/>
    <w:rsid w:val="00070272"/>
    <w:rsid w:val="00070A1A"/>
    <w:rsid w:val="00071EE4"/>
    <w:rsid w:val="00073CCB"/>
    <w:rsid w:val="0007624D"/>
    <w:rsid w:val="00076BA1"/>
    <w:rsid w:val="00082176"/>
    <w:rsid w:val="00082501"/>
    <w:rsid w:val="00086772"/>
    <w:rsid w:val="00092F00"/>
    <w:rsid w:val="0009354C"/>
    <w:rsid w:val="00096CA6"/>
    <w:rsid w:val="00097EBE"/>
    <w:rsid w:val="000A7052"/>
    <w:rsid w:val="000A7ADE"/>
    <w:rsid w:val="000B35E5"/>
    <w:rsid w:val="000B35F8"/>
    <w:rsid w:val="000B573E"/>
    <w:rsid w:val="000C1F1B"/>
    <w:rsid w:val="000C30E1"/>
    <w:rsid w:val="000C3628"/>
    <w:rsid w:val="000D0D3D"/>
    <w:rsid w:val="000D3058"/>
    <w:rsid w:val="000D59A4"/>
    <w:rsid w:val="000D7DA2"/>
    <w:rsid w:val="000E1807"/>
    <w:rsid w:val="000E5885"/>
    <w:rsid w:val="000F2912"/>
    <w:rsid w:val="000F2AA5"/>
    <w:rsid w:val="000F429E"/>
    <w:rsid w:val="001006E7"/>
    <w:rsid w:val="00100933"/>
    <w:rsid w:val="0010206E"/>
    <w:rsid w:val="00102BD4"/>
    <w:rsid w:val="001039F5"/>
    <w:rsid w:val="00105066"/>
    <w:rsid w:val="001077DC"/>
    <w:rsid w:val="00107B2C"/>
    <w:rsid w:val="00116C0A"/>
    <w:rsid w:val="0011752A"/>
    <w:rsid w:val="001201B7"/>
    <w:rsid w:val="001213D6"/>
    <w:rsid w:val="001214B5"/>
    <w:rsid w:val="001222B0"/>
    <w:rsid w:val="001241A7"/>
    <w:rsid w:val="00134256"/>
    <w:rsid w:val="0013536B"/>
    <w:rsid w:val="00137AE3"/>
    <w:rsid w:val="00143AD5"/>
    <w:rsid w:val="00146D19"/>
    <w:rsid w:val="00147423"/>
    <w:rsid w:val="0015090F"/>
    <w:rsid w:val="0015395F"/>
    <w:rsid w:val="0015640B"/>
    <w:rsid w:val="00157B12"/>
    <w:rsid w:val="001632FE"/>
    <w:rsid w:val="00166EBE"/>
    <w:rsid w:val="001671A4"/>
    <w:rsid w:val="00167B4C"/>
    <w:rsid w:val="0017236A"/>
    <w:rsid w:val="0017567F"/>
    <w:rsid w:val="001758D7"/>
    <w:rsid w:val="00175A4B"/>
    <w:rsid w:val="00177A1D"/>
    <w:rsid w:val="00182327"/>
    <w:rsid w:val="001824B2"/>
    <w:rsid w:val="00183676"/>
    <w:rsid w:val="00183B74"/>
    <w:rsid w:val="00184BE4"/>
    <w:rsid w:val="00187367"/>
    <w:rsid w:val="00191C98"/>
    <w:rsid w:val="00192ADE"/>
    <w:rsid w:val="001973A1"/>
    <w:rsid w:val="001A16B5"/>
    <w:rsid w:val="001A16D7"/>
    <w:rsid w:val="001A4C85"/>
    <w:rsid w:val="001A5928"/>
    <w:rsid w:val="001A5EF9"/>
    <w:rsid w:val="001A62F4"/>
    <w:rsid w:val="001A69F5"/>
    <w:rsid w:val="001B0AB7"/>
    <w:rsid w:val="001B3B69"/>
    <w:rsid w:val="001B5AB6"/>
    <w:rsid w:val="001B77FE"/>
    <w:rsid w:val="001C2C48"/>
    <w:rsid w:val="001C3769"/>
    <w:rsid w:val="001C3B7D"/>
    <w:rsid w:val="001C3F52"/>
    <w:rsid w:val="001C44B8"/>
    <w:rsid w:val="001C4F0E"/>
    <w:rsid w:val="001C5E09"/>
    <w:rsid w:val="001D0EE3"/>
    <w:rsid w:val="001D4559"/>
    <w:rsid w:val="001D5038"/>
    <w:rsid w:val="001D76B9"/>
    <w:rsid w:val="001D76E6"/>
    <w:rsid w:val="001E2A11"/>
    <w:rsid w:val="001E44A3"/>
    <w:rsid w:val="001E55BB"/>
    <w:rsid w:val="001E641B"/>
    <w:rsid w:val="001F052D"/>
    <w:rsid w:val="001F4660"/>
    <w:rsid w:val="001F7F67"/>
    <w:rsid w:val="00201E74"/>
    <w:rsid w:val="002026EA"/>
    <w:rsid w:val="00202BFE"/>
    <w:rsid w:val="00202E48"/>
    <w:rsid w:val="00205FD7"/>
    <w:rsid w:val="00206051"/>
    <w:rsid w:val="00206718"/>
    <w:rsid w:val="002102B9"/>
    <w:rsid w:val="00213C2C"/>
    <w:rsid w:val="00214F4F"/>
    <w:rsid w:val="0021774B"/>
    <w:rsid w:val="002206A3"/>
    <w:rsid w:val="00225CFC"/>
    <w:rsid w:val="002266A3"/>
    <w:rsid w:val="002304ED"/>
    <w:rsid w:val="00232326"/>
    <w:rsid w:val="00232400"/>
    <w:rsid w:val="00233302"/>
    <w:rsid w:val="00234F3C"/>
    <w:rsid w:val="00235C20"/>
    <w:rsid w:val="00235E0C"/>
    <w:rsid w:val="00240358"/>
    <w:rsid w:val="00241A69"/>
    <w:rsid w:val="00242FF3"/>
    <w:rsid w:val="00247037"/>
    <w:rsid w:val="00251358"/>
    <w:rsid w:val="00255C91"/>
    <w:rsid w:val="00257407"/>
    <w:rsid w:val="002648EC"/>
    <w:rsid w:val="002669AC"/>
    <w:rsid w:val="002714E5"/>
    <w:rsid w:val="00273386"/>
    <w:rsid w:val="00275F10"/>
    <w:rsid w:val="00276AA2"/>
    <w:rsid w:val="00280B5F"/>
    <w:rsid w:val="0028793B"/>
    <w:rsid w:val="00294AB4"/>
    <w:rsid w:val="002964A0"/>
    <w:rsid w:val="002975D9"/>
    <w:rsid w:val="002A140C"/>
    <w:rsid w:val="002A3371"/>
    <w:rsid w:val="002A4653"/>
    <w:rsid w:val="002A4CFE"/>
    <w:rsid w:val="002A5622"/>
    <w:rsid w:val="002B0E2B"/>
    <w:rsid w:val="002B15F7"/>
    <w:rsid w:val="002B3450"/>
    <w:rsid w:val="002B391D"/>
    <w:rsid w:val="002C22DC"/>
    <w:rsid w:val="002C34A5"/>
    <w:rsid w:val="002C4C11"/>
    <w:rsid w:val="002C52AE"/>
    <w:rsid w:val="002D1BE7"/>
    <w:rsid w:val="002D222B"/>
    <w:rsid w:val="002D36B7"/>
    <w:rsid w:val="002D56D4"/>
    <w:rsid w:val="002D6978"/>
    <w:rsid w:val="002E3142"/>
    <w:rsid w:val="002E3568"/>
    <w:rsid w:val="002E3992"/>
    <w:rsid w:val="002E7537"/>
    <w:rsid w:val="002F1B52"/>
    <w:rsid w:val="002F2651"/>
    <w:rsid w:val="002F2AF8"/>
    <w:rsid w:val="002F4B72"/>
    <w:rsid w:val="00300607"/>
    <w:rsid w:val="00300F89"/>
    <w:rsid w:val="00301168"/>
    <w:rsid w:val="0030213A"/>
    <w:rsid w:val="00303202"/>
    <w:rsid w:val="003043E3"/>
    <w:rsid w:val="00310477"/>
    <w:rsid w:val="00312D73"/>
    <w:rsid w:val="00312D7E"/>
    <w:rsid w:val="0032145E"/>
    <w:rsid w:val="00321AD1"/>
    <w:rsid w:val="003250E7"/>
    <w:rsid w:val="0032666F"/>
    <w:rsid w:val="003315B1"/>
    <w:rsid w:val="003322A4"/>
    <w:rsid w:val="00336EDA"/>
    <w:rsid w:val="00337352"/>
    <w:rsid w:val="00337C6A"/>
    <w:rsid w:val="003426F0"/>
    <w:rsid w:val="0034270C"/>
    <w:rsid w:val="00343A33"/>
    <w:rsid w:val="0034630B"/>
    <w:rsid w:val="00350648"/>
    <w:rsid w:val="00352149"/>
    <w:rsid w:val="003557CB"/>
    <w:rsid w:val="00356853"/>
    <w:rsid w:val="00356F84"/>
    <w:rsid w:val="003574E7"/>
    <w:rsid w:val="00357A9D"/>
    <w:rsid w:val="00360E6C"/>
    <w:rsid w:val="0036324D"/>
    <w:rsid w:val="00363787"/>
    <w:rsid w:val="00365B10"/>
    <w:rsid w:val="00366E18"/>
    <w:rsid w:val="00366EB2"/>
    <w:rsid w:val="003715BA"/>
    <w:rsid w:val="003719B3"/>
    <w:rsid w:val="0037484B"/>
    <w:rsid w:val="0037562A"/>
    <w:rsid w:val="00376A7A"/>
    <w:rsid w:val="00377D9A"/>
    <w:rsid w:val="003902E0"/>
    <w:rsid w:val="0039068E"/>
    <w:rsid w:val="00392B28"/>
    <w:rsid w:val="0039331A"/>
    <w:rsid w:val="00395365"/>
    <w:rsid w:val="00395393"/>
    <w:rsid w:val="003965BC"/>
    <w:rsid w:val="003A08F0"/>
    <w:rsid w:val="003A3813"/>
    <w:rsid w:val="003A3829"/>
    <w:rsid w:val="003A4162"/>
    <w:rsid w:val="003A5AC8"/>
    <w:rsid w:val="003A77A7"/>
    <w:rsid w:val="003B56F6"/>
    <w:rsid w:val="003B7501"/>
    <w:rsid w:val="003C0366"/>
    <w:rsid w:val="003C2C41"/>
    <w:rsid w:val="003C3399"/>
    <w:rsid w:val="003C3E5E"/>
    <w:rsid w:val="003C4F8B"/>
    <w:rsid w:val="003C6906"/>
    <w:rsid w:val="003C6DD8"/>
    <w:rsid w:val="003C7B87"/>
    <w:rsid w:val="003D1547"/>
    <w:rsid w:val="003D214E"/>
    <w:rsid w:val="003D2B5F"/>
    <w:rsid w:val="003D6530"/>
    <w:rsid w:val="003D77B0"/>
    <w:rsid w:val="003D7A30"/>
    <w:rsid w:val="003D7B60"/>
    <w:rsid w:val="003E31C9"/>
    <w:rsid w:val="003E381D"/>
    <w:rsid w:val="003E4BCF"/>
    <w:rsid w:val="003E4FFC"/>
    <w:rsid w:val="003E5AE9"/>
    <w:rsid w:val="003E71DC"/>
    <w:rsid w:val="003E729F"/>
    <w:rsid w:val="003E7AA6"/>
    <w:rsid w:val="003E7AAD"/>
    <w:rsid w:val="003F17EB"/>
    <w:rsid w:val="003F6FE5"/>
    <w:rsid w:val="003F72FF"/>
    <w:rsid w:val="003F76DD"/>
    <w:rsid w:val="00402074"/>
    <w:rsid w:val="00402C48"/>
    <w:rsid w:val="00404CF3"/>
    <w:rsid w:val="00407A3F"/>
    <w:rsid w:val="004137B6"/>
    <w:rsid w:val="00416526"/>
    <w:rsid w:val="00421EF4"/>
    <w:rsid w:val="0042519A"/>
    <w:rsid w:val="00425E09"/>
    <w:rsid w:val="00433173"/>
    <w:rsid w:val="0043736C"/>
    <w:rsid w:val="00437512"/>
    <w:rsid w:val="004377EB"/>
    <w:rsid w:val="00443AE2"/>
    <w:rsid w:val="00445148"/>
    <w:rsid w:val="00453234"/>
    <w:rsid w:val="004568AF"/>
    <w:rsid w:val="0046395A"/>
    <w:rsid w:val="00463B7F"/>
    <w:rsid w:val="0046456E"/>
    <w:rsid w:val="004707DF"/>
    <w:rsid w:val="00471E8F"/>
    <w:rsid w:val="00474391"/>
    <w:rsid w:val="00475279"/>
    <w:rsid w:val="00483B66"/>
    <w:rsid w:val="00491655"/>
    <w:rsid w:val="004A489B"/>
    <w:rsid w:val="004B148A"/>
    <w:rsid w:val="004B232C"/>
    <w:rsid w:val="004B32D5"/>
    <w:rsid w:val="004B47E8"/>
    <w:rsid w:val="004C0BAB"/>
    <w:rsid w:val="004C24A8"/>
    <w:rsid w:val="004C2A94"/>
    <w:rsid w:val="004C4E49"/>
    <w:rsid w:val="004C69AB"/>
    <w:rsid w:val="004C7E4B"/>
    <w:rsid w:val="004D158C"/>
    <w:rsid w:val="004D50FB"/>
    <w:rsid w:val="004D6EFC"/>
    <w:rsid w:val="004D7868"/>
    <w:rsid w:val="004D7E7C"/>
    <w:rsid w:val="004E004D"/>
    <w:rsid w:val="004F014E"/>
    <w:rsid w:val="004F108F"/>
    <w:rsid w:val="00502437"/>
    <w:rsid w:val="005116EF"/>
    <w:rsid w:val="00511AA1"/>
    <w:rsid w:val="005131CC"/>
    <w:rsid w:val="00513993"/>
    <w:rsid w:val="00514BB3"/>
    <w:rsid w:val="00515E7C"/>
    <w:rsid w:val="00517A68"/>
    <w:rsid w:val="00530D45"/>
    <w:rsid w:val="00531583"/>
    <w:rsid w:val="005330BC"/>
    <w:rsid w:val="00535B39"/>
    <w:rsid w:val="005373E2"/>
    <w:rsid w:val="005378C6"/>
    <w:rsid w:val="00546E6D"/>
    <w:rsid w:val="005543A1"/>
    <w:rsid w:val="00555292"/>
    <w:rsid w:val="00556F47"/>
    <w:rsid w:val="005626E2"/>
    <w:rsid w:val="00566EE9"/>
    <w:rsid w:val="00572BE1"/>
    <w:rsid w:val="00573B3D"/>
    <w:rsid w:val="0057504D"/>
    <w:rsid w:val="005750CC"/>
    <w:rsid w:val="005756CF"/>
    <w:rsid w:val="0057595A"/>
    <w:rsid w:val="005776B1"/>
    <w:rsid w:val="00580456"/>
    <w:rsid w:val="0058250C"/>
    <w:rsid w:val="00582581"/>
    <w:rsid w:val="0058299E"/>
    <w:rsid w:val="00583392"/>
    <w:rsid w:val="0058485E"/>
    <w:rsid w:val="00585D31"/>
    <w:rsid w:val="00591EE4"/>
    <w:rsid w:val="005953BA"/>
    <w:rsid w:val="00597D98"/>
    <w:rsid w:val="005A038D"/>
    <w:rsid w:val="005B1232"/>
    <w:rsid w:val="005B12F0"/>
    <w:rsid w:val="005B38C7"/>
    <w:rsid w:val="005B422F"/>
    <w:rsid w:val="005B49F4"/>
    <w:rsid w:val="005B5141"/>
    <w:rsid w:val="005B5612"/>
    <w:rsid w:val="005C33AD"/>
    <w:rsid w:val="005D00FE"/>
    <w:rsid w:val="005D0710"/>
    <w:rsid w:val="005D26C0"/>
    <w:rsid w:val="005D33C3"/>
    <w:rsid w:val="005D5F8C"/>
    <w:rsid w:val="005D6AE9"/>
    <w:rsid w:val="005E0DF1"/>
    <w:rsid w:val="005E11A6"/>
    <w:rsid w:val="005E11B0"/>
    <w:rsid w:val="005E406A"/>
    <w:rsid w:val="005E42C3"/>
    <w:rsid w:val="005E5055"/>
    <w:rsid w:val="005E525F"/>
    <w:rsid w:val="005E67E3"/>
    <w:rsid w:val="005F5B26"/>
    <w:rsid w:val="005F6B1A"/>
    <w:rsid w:val="0060066F"/>
    <w:rsid w:val="006032D7"/>
    <w:rsid w:val="00604CA0"/>
    <w:rsid w:val="006054AB"/>
    <w:rsid w:val="0060663E"/>
    <w:rsid w:val="006101A1"/>
    <w:rsid w:val="00611281"/>
    <w:rsid w:val="006123AE"/>
    <w:rsid w:val="00613AE0"/>
    <w:rsid w:val="00614F49"/>
    <w:rsid w:val="00615E8C"/>
    <w:rsid w:val="006173E6"/>
    <w:rsid w:val="00620EE5"/>
    <w:rsid w:val="00626AFF"/>
    <w:rsid w:val="00626BF8"/>
    <w:rsid w:val="00631B26"/>
    <w:rsid w:val="0063326C"/>
    <w:rsid w:val="00636A91"/>
    <w:rsid w:val="0064415C"/>
    <w:rsid w:val="006457E7"/>
    <w:rsid w:val="00647BC7"/>
    <w:rsid w:val="006517EC"/>
    <w:rsid w:val="00654CF8"/>
    <w:rsid w:val="0066582C"/>
    <w:rsid w:val="006673E3"/>
    <w:rsid w:val="00667620"/>
    <w:rsid w:val="00670003"/>
    <w:rsid w:val="006707A2"/>
    <w:rsid w:val="0067240F"/>
    <w:rsid w:val="00680ACA"/>
    <w:rsid w:val="00681087"/>
    <w:rsid w:val="00684B8C"/>
    <w:rsid w:val="006864F5"/>
    <w:rsid w:val="00686752"/>
    <w:rsid w:val="00686949"/>
    <w:rsid w:val="00687C37"/>
    <w:rsid w:val="0069138C"/>
    <w:rsid w:val="006918ED"/>
    <w:rsid w:val="00691B04"/>
    <w:rsid w:val="00692A16"/>
    <w:rsid w:val="00693BF8"/>
    <w:rsid w:val="00695B3D"/>
    <w:rsid w:val="00696273"/>
    <w:rsid w:val="006A0A42"/>
    <w:rsid w:val="006A0BC5"/>
    <w:rsid w:val="006A163A"/>
    <w:rsid w:val="006A31A9"/>
    <w:rsid w:val="006B1DF8"/>
    <w:rsid w:val="006B64FF"/>
    <w:rsid w:val="006B7645"/>
    <w:rsid w:val="006B7922"/>
    <w:rsid w:val="006C0B69"/>
    <w:rsid w:val="006C3EAE"/>
    <w:rsid w:val="006C43B5"/>
    <w:rsid w:val="006C445E"/>
    <w:rsid w:val="006C7ED5"/>
    <w:rsid w:val="006D40C2"/>
    <w:rsid w:val="006D5117"/>
    <w:rsid w:val="006D6481"/>
    <w:rsid w:val="006D65FB"/>
    <w:rsid w:val="006E52C1"/>
    <w:rsid w:val="006F3FAC"/>
    <w:rsid w:val="006F5E8D"/>
    <w:rsid w:val="007021F8"/>
    <w:rsid w:val="0070380F"/>
    <w:rsid w:val="00714403"/>
    <w:rsid w:val="0071526A"/>
    <w:rsid w:val="00716866"/>
    <w:rsid w:val="00717401"/>
    <w:rsid w:val="007179FA"/>
    <w:rsid w:val="00723CDC"/>
    <w:rsid w:val="00724EA5"/>
    <w:rsid w:val="00732C0E"/>
    <w:rsid w:val="00734257"/>
    <w:rsid w:val="0073614D"/>
    <w:rsid w:val="00736A90"/>
    <w:rsid w:val="00740F22"/>
    <w:rsid w:val="007444AF"/>
    <w:rsid w:val="00746E04"/>
    <w:rsid w:val="00747301"/>
    <w:rsid w:val="0075313B"/>
    <w:rsid w:val="00763443"/>
    <w:rsid w:val="00763CFF"/>
    <w:rsid w:val="00764385"/>
    <w:rsid w:val="0076458F"/>
    <w:rsid w:val="007663D8"/>
    <w:rsid w:val="0076655C"/>
    <w:rsid w:val="007700FA"/>
    <w:rsid w:val="00770715"/>
    <w:rsid w:val="00770F58"/>
    <w:rsid w:val="00771E7B"/>
    <w:rsid w:val="007815A2"/>
    <w:rsid w:val="0078161C"/>
    <w:rsid w:val="00783C9D"/>
    <w:rsid w:val="00784C11"/>
    <w:rsid w:val="00784C72"/>
    <w:rsid w:val="0078749A"/>
    <w:rsid w:val="00793D56"/>
    <w:rsid w:val="00796365"/>
    <w:rsid w:val="00796F37"/>
    <w:rsid w:val="00797768"/>
    <w:rsid w:val="00797ED5"/>
    <w:rsid w:val="007A109E"/>
    <w:rsid w:val="007B2F5A"/>
    <w:rsid w:val="007B38CB"/>
    <w:rsid w:val="007C0F5A"/>
    <w:rsid w:val="007C240C"/>
    <w:rsid w:val="007C2DE2"/>
    <w:rsid w:val="007C3C2F"/>
    <w:rsid w:val="007C4430"/>
    <w:rsid w:val="007E77FC"/>
    <w:rsid w:val="007E7B02"/>
    <w:rsid w:val="007F081C"/>
    <w:rsid w:val="007F0C22"/>
    <w:rsid w:val="007F6EB8"/>
    <w:rsid w:val="00800043"/>
    <w:rsid w:val="00801FC9"/>
    <w:rsid w:val="00805074"/>
    <w:rsid w:val="00806913"/>
    <w:rsid w:val="00810736"/>
    <w:rsid w:val="00811FDB"/>
    <w:rsid w:val="00815CA1"/>
    <w:rsid w:val="00816527"/>
    <w:rsid w:val="008173F7"/>
    <w:rsid w:val="008177CE"/>
    <w:rsid w:val="00822307"/>
    <w:rsid w:val="00822BA1"/>
    <w:rsid w:val="00822EB0"/>
    <w:rsid w:val="00826179"/>
    <w:rsid w:val="00833F9B"/>
    <w:rsid w:val="00834296"/>
    <w:rsid w:val="0083665B"/>
    <w:rsid w:val="0084011B"/>
    <w:rsid w:val="00840D92"/>
    <w:rsid w:val="0084118D"/>
    <w:rsid w:val="00844D46"/>
    <w:rsid w:val="008454D8"/>
    <w:rsid w:val="008475CE"/>
    <w:rsid w:val="00847D13"/>
    <w:rsid w:val="00850CA8"/>
    <w:rsid w:val="00851892"/>
    <w:rsid w:val="00855587"/>
    <w:rsid w:val="00866DB9"/>
    <w:rsid w:val="0086713C"/>
    <w:rsid w:val="008714B7"/>
    <w:rsid w:val="008802F8"/>
    <w:rsid w:val="00881B4A"/>
    <w:rsid w:val="00883A03"/>
    <w:rsid w:val="00883A72"/>
    <w:rsid w:val="00884271"/>
    <w:rsid w:val="00885281"/>
    <w:rsid w:val="00885D6F"/>
    <w:rsid w:val="008905F2"/>
    <w:rsid w:val="0089078A"/>
    <w:rsid w:val="008918C0"/>
    <w:rsid w:val="00893C87"/>
    <w:rsid w:val="00895543"/>
    <w:rsid w:val="008972CB"/>
    <w:rsid w:val="008A2D9C"/>
    <w:rsid w:val="008A3F94"/>
    <w:rsid w:val="008A417A"/>
    <w:rsid w:val="008B35F6"/>
    <w:rsid w:val="008B425F"/>
    <w:rsid w:val="008B4ABD"/>
    <w:rsid w:val="008B7FEE"/>
    <w:rsid w:val="008C3134"/>
    <w:rsid w:val="008C351E"/>
    <w:rsid w:val="008C38E8"/>
    <w:rsid w:val="008C5356"/>
    <w:rsid w:val="008C7180"/>
    <w:rsid w:val="008C7B73"/>
    <w:rsid w:val="008D19F1"/>
    <w:rsid w:val="008D754F"/>
    <w:rsid w:val="008D77F6"/>
    <w:rsid w:val="008E02D5"/>
    <w:rsid w:val="008E18DB"/>
    <w:rsid w:val="008E2D1F"/>
    <w:rsid w:val="008E6674"/>
    <w:rsid w:val="008E7180"/>
    <w:rsid w:val="008F172C"/>
    <w:rsid w:val="008F1927"/>
    <w:rsid w:val="008F3B63"/>
    <w:rsid w:val="008F483B"/>
    <w:rsid w:val="008F51A1"/>
    <w:rsid w:val="008F7C0F"/>
    <w:rsid w:val="00900BEF"/>
    <w:rsid w:val="009071AB"/>
    <w:rsid w:val="00911BE1"/>
    <w:rsid w:val="00915824"/>
    <w:rsid w:val="009204F1"/>
    <w:rsid w:val="00921301"/>
    <w:rsid w:val="00922666"/>
    <w:rsid w:val="009266F4"/>
    <w:rsid w:val="00930594"/>
    <w:rsid w:val="00931D7F"/>
    <w:rsid w:val="00936EB2"/>
    <w:rsid w:val="0094167C"/>
    <w:rsid w:val="00943A3F"/>
    <w:rsid w:val="009441A6"/>
    <w:rsid w:val="00946E22"/>
    <w:rsid w:val="00947E82"/>
    <w:rsid w:val="0095219B"/>
    <w:rsid w:val="0095480A"/>
    <w:rsid w:val="009560FC"/>
    <w:rsid w:val="009632C3"/>
    <w:rsid w:val="00963A86"/>
    <w:rsid w:val="009670FF"/>
    <w:rsid w:val="00967E57"/>
    <w:rsid w:val="009721BE"/>
    <w:rsid w:val="0097359A"/>
    <w:rsid w:val="0097569E"/>
    <w:rsid w:val="00975B09"/>
    <w:rsid w:val="00980FAE"/>
    <w:rsid w:val="00982E96"/>
    <w:rsid w:val="00983C57"/>
    <w:rsid w:val="00985A56"/>
    <w:rsid w:val="00986F6C"/>
    <w:rsid w:val="00990C5B"/>
    <w:rsid w:val="00991D78"/>
    <w:rsid w:val="00993306"/>
    <w:rsid w:val="00993ECB"/>
    <w:rsid w:val="00994D62"/>
    <w:rsid w:val="009A01C5"/>
    <w:rsid w:val="009A121A"/>
    <w:rsid w:val="009A18B8"/>
    <w:rsid w:val="009A1A61"/>
    <w:rsid w:val="009A6B03"/>
    <w:rsid w:val="009B02FF"/>
    <w:rsid w:val="009B4143"/>
    <w:rsid w:val="009C023F"/>
    <w:rsid w:val="009C6D0B"/>
    <w:rsid w:val="009D38AA"/>
    <w:rsid w:val="009D4517"/>
    <w:rsid w:val="009D6787"/>
    <w:rsid w:val="009E3DEA"/>
    <w:rsid w:val="009E4D05"/>
    <w:rsid w:val="009E55D5"/>
    <w:rsid w:val="009F0FC0"/>
    <w:rsid w:val="009F102A"/>
    <w:rsid w:val="009F2DB9"/>
    <w:rsid w:val="009F2DE2"/>
    <w:rsid w:val="009F3DBC"/>
    <w:rsid w:val="009F40C7"/>
    <w:rsid w:val="009F713A"/>
    <w:rsid w:val="00A11252"/>
    <w:rsid w:val="00A11968"/>
    <w:rsid w:val="00A11E9E"/>
    <w:rsid w:val="00A15B18"/>
    <w:rsid w:val="00A15E22"/>
    <w:rsid w:val="00A20F57"/>
    <w:rsid w:val="00A23B91"/>
    <w:rsid w:val="00A24E81"/>
    <w:rsid w:val="00A26B7E"/>
    <w:rsid w:val="00A27FFE"/>
    <w:rsid w:val="00A302AA"/>
    <w:rsid w:val="00A40146"/>
    <w:rsid w:val="00A40B53"/>
    <w:rsid w:val="00A411DC"/>
    <w:rsid w:val="00A42ED9"/>
    <w:rsid w:val="00A510FD"/>
    <w:rsid w:val="00A51FA0"/>
    <w:rsid w:val="00A53055"/>
    <w:rsid w:val="00A567C0"/>
    <w:rsid w:val="00A5718E"/>
    <w:rsid w:val="00A61AC3"/>
    <w:rsid w:val="00A622C9"/>
    <w:rsid w:val="00A64AA9"/>
    <w:rsid w:val="00A6547D"/>
    <w:rsid w:val="00A6746E"/>
    <w:rsid w:val="00A6786D"/>
    <w:rsid w:val="00A7120E"/>
    <w:rsid w:val="00A722CB"/>
    <w:rsid w:val="00A726AE"/>
    <w:rsid w:val="00A74034"/>
    <w:rsid w:val="00A76414"/>
    <w:rsid w:val="00A81E96"/>
    <w:rsid w:val="00A832DE"/>
    <w:rsid w:val="00A845DE"/>
    <w:rsid w:val="00A9373D"/>
    <w:rsid w:val="00AA3871"/>
    <w:rsid w:val="00AA5026"/>
    <w:rsid w:val="00AA51B5"/>
    <w:rsid w:val="00AA6F91"/>
    <w:rsid w:val="00AB01AE"/>
    <w:rsid w:val="00AB0721"/>
    <w:rsid w:val="00AB10D6"/>
    <w:rsid w:val="00AB1245"/>
    <w:rsid w:val="00AB3668"/>
    <w:rsid w:val="00AB6051"/>
    <w:rsid w:val="00AB717A"/>
    <w:rsid w:val="00AC24E4"/>
    <w:rsid w:val="00AC2C77"/>
    <w:rsid w:val="00AC6C99"/>
    <w:rsid w:val="00AC7C11"/>
    <w:rsid w:val="00AD2661"/>
    <w:rsid w:val="00AE065C"/>
    <w:rsid w:val="00AE0CB8"/>
    <w:rsid w:val="00AE14D8"/>
    <w:rsid w:val="00AE3032"/>
    <w:rsid w:val="00AE3F03"/>
    <w:rsid w:val="00AE45F5"/>
    <w:rsid w:val="00AE564E"/>
    <w:rsid w:val="00AE757E"/>
    <w:rsid w:val="00AE7DD6"/>
    <w:rsid w:val="00AF15BE"/>
    <w:rsid w:val="00AF356B"/>
    <w:rsid w:val="00AF39BA"/>
    <w:rsid w:val="00B00DCB"/>
    <w:rsid w:val="00B0163A"/>
    <w:rsid w:val="00B05498"/>
    <w:rsid w:val="00B05BF5"/>
    <w:rsid w:val="00B20DE8"/>
    <w:rsid w:val="00B258C2"/>
    <w:rsid w:val="00B2684D"/>
    <w:rsid w:val="00B34951"/>
    <w:rsid w:val="00B377D0"/>
    <w:rsid w:val="00B416A8"/>
    <w:rsid w:val="00B43A3E"/>
    <w:rsid w:val="00B44DB8"/>
    <w:rsid w:val="00B4542B"/>
    <w:rsid w:val="00B472AE"/>
    <w:rsid w:val="00B477CD"/>
    <w:rsid w:val="00B54B88"/>
    <w:rsid w:val="00B579AF"/>
    <w:rsid w:val="00B646BA"/>
    <w:rsid w:val="00B66DEF"/>
    <w:rsid w:val="00B70C33"/>
    <w:rsid w:val="00B70C8C"/>
    <w:rsid w:val="00B71FAD"/>
    <w:rsid w:val="00B728FA"/>
    <w:rsid w:val="00B77795"/>
    <w:rsid w:val="00B77B96"/>
    <w:rsid w:val="00B80CF3"/>
    <w:rsid w:val="00B80D2C"/>
    <w:rsid w:val="00B81120"/>
    <w:rsid w:val="00B819E7"/>
    <w:rsid w:val="00B85A16"/>
    <w:rsid w:val="00B9114D"/>
    <w:rsid w:val="00B93DF6"/>
    <w:rsid w:val="00B95534"/>
    <w:rsid w:val="00B955A4"/>
    <w:rsid w:val="00BA17CC"/>
    <w:rsid w:val="00BB0C59"/>
    <w:rsid w:val="00BB0E94"/>
    <w:rsid w:val="00BB1A94"/>
    <w:rsid w:val="00BB30CA"/>
    <w:rsid w:val="00BB3B59"/>
    <w:rsid w:val="00BB715E"/>
    <w:rsid w:val="00BB7B8E"/>
    <w:rsid w:val="00BC2152"/>
    <w:rsid w:val="00BC7E13"/>
    <w:rsid w:val="00BD14ED"/>
    <w:rsid w:val="00BD3C89"/>
    <w:rsid w:val="00BE06E2"/>
    <w:rsid w:val="00BE27BC"/>
    <w:rsid w:val="00BE2FAA"/>
    <w:rsid w:val="00BE3296"/>
    <w:rsid w:val="00BE37D0"/>
    <w:rsid w:val="00BE74D8"/>
    <w:rsid w:val="00BF04D6"/>
    <w:rsid w:val="00BF5284"/>
    <w:rsid w:val="00C0152F"/>
    <w:rsid w:val="00C03185"/>
    <w:rsid w:val="00C0325C"/>
    <w:rsid w:val="00C046CB"/>
    <w:rsid w:val="00C04D13"/>
    <w:rsid w:val="00C06347"/>
    <w:rsid w:val="00C06D5C"/>
    <w:rsid w:val="00C07D00"/>
    <w:rsid w:val="00C10C2E"/>
    <w:rsid w:val="00C1359E"/>
    <w:rsid w:val="00C13ED6"/>
    <w:rsid w:val="00C16264"/>
    <w:rsid w:val="00C16DE4"/>
    <w:rsid w:val="00C1752E"/>
    <w:rsid w:val="00C20923"/>
    <w:rsid w:val="00C2205A"/>
    <w:rsid w:val="00C2510F"/>
    <w:rsid w:val="00C254A4"/>
    <w:rsid w:val="00C30305"/>
    <w:rsid w:val="00C30839"/>
    <w:rsid w:val="00C3103F"/>
    <w:rsid w:val="00C33160"/>
    <w:rsid w:val="00C33243"/>
    <w:rsid w:val="00C3461A"/>
    <w:rsid w:val="00C4069A"/>
    <w:rsid w:val="00C42486"/>
    <w:rsid w:val="00C459C7"/>
    <w:rsid w:val="00C45DDF"/>
    <w:rsid w:val="00C46BD9"/>
    <w:rsid w:val="00C50158"/>
    <w:rsid w:val="00C507CE"/>
    <w:rsid w:val="00C52BE6"/>
    <w:rsid w:val="00C53335"/>
    <w:rsid w:val="00C5576A"/>
    <w:rsid w:val="00C62B9F"/>
    <w:rsid w:val="00C64451"/>
    <w:rsid w:val="00C70E34"/>
    <w:rsid w:val="00C76737"/>
    <w:rsid w:val="00C768C5"/>
    <w:rsid w:val="00C771F6"/>
    <w:rsid w:val="00C82277"/>
    <w:rsid w:val="00C844BE"/>
    <w:rsid w:val="00C872A2"/>
    <w:rsid w:val="00C87499"/>
    <w:rsid w:val="00C938F1"/>
    <w:rsid w:val="00C94BBC"/>
    <w:rsid w:val="00C9618B"/>
    <w:rsid w:val="00C96ABC"/>
    <w:rsid w:val="00C97688"/>
    <w:rsid w:val="00CA1933"/>
    <w:rsid w:val="00CA2047"/>
    <w:rsid w:val="00CA24B1"/>
    <w:rsid w:val="00CA3DCD"/>
    <w:rsid w:val="00CA75D3"/>
    <w:rsid w:val="00CB6F21"/>
    <w:rsid w:val="00CC14F9"/>
    <w:rsid w:val="00CC20E8"/>
    <w:rsid w:val="00CC281A"/>
    <w:rsid w:val="00CC3E96"/>
    <w:rsid w:val="00CC588F"/>
    <w:rsid w:val="00CC6092"/>
    <w:rsid w:val="00CD4480"/>
    <w:rsid w:val="00CD48D3"/>
    <w:rsid w:val="00CE1519"/>
    <w:rsid w:val="00CE210F"/>
    <w:rsid w:val="00CE3163"/>
    <w:rsid w:val="00CE32B5"/>
    <w:rsid w:val="00CE5729"/>
    <w:rsid w:val="00CE5C35"/>
    <w:rsid w:val="00CE688B"/>
    <w:rsid w:val="00CF392D"/>
    <w:rsid w:val="00CF46B4"/>
    <w:rsid w:val="00CF518D"/>
    <w:rsid w:val="00D120A5"/>
    <w:rsid w:val="00D1247D"/>
    <w:rsid w:val="00D1263F"/>
    <w:rsid w:val="00D17427"/>
    <w:rsid w:val="00D200AA"/>
    <w:rsid w:val="00D2169B"/>
    <w:rsid w:val="00D235D1"/>
    <w:rsid w:val="00D26B9B"/>
    <w:rsid w:val="00D30F68"/>
    <w:rsid w:val="00D31194"/>
    <w:rsid w:val="00D344E9"/>
    <w:rsid w:val="00D34907"/>
    <w:rsid w:val="00D36131"/>
    <w:rsid w:val="00D40820"/>
    <w:rsid w:val="00D519B1"/>
    <w:rsid w:val="00D53291"/>
    <w:rsid w:val="00D53364"/>
    <w:rsid w:val="00D540D4"/>
    <w:rsid w:val="00D5583E"/>
    <w:rsid w:val="00D602FA"/>
    <w:rsid w:val="00D609F2"/>
    <w:rsid w:val="00D63580"/>
    <w:rsid w:val="00D641F3"/>
    <w:rsid w:val="00D6768F"/>
    <w:rsid w:val="00D67EF7"/>
    <w:rsid w:val="00D75C74"/>
    <w:rsid w:val="00D81B95"/>
    <w:rsid w:val="00D8386C"/>
    <w:rsid w:val="00D86443"/>
    <w:rsid w:val="00D87F15"/>
    <w:rsid w:val="00D95043"/>
    <w:rsid w:val="00D959C1"/>
    <w:rsid w:val="00D9774D"/>
    <w:rsid w:val="00D977FC"/>
    <w:rsid w:val="00DA3478"/>
    <w:rsid w:val="00DA4EB1"/>
    <w:rsid w:val="00DA5ED9"/>
    <w:rsid w:val="00DA6040"/>
    <w:rsid w:val="00DA65BF"/>
    <w:rsid w:val="00DB7F94"/>
    <w:rsid w:val="00DC2282"/>
    <w:rsid w:val="00DC2FAB"/>
    <w:rsid w:val="00DC4D23"/>
    <w:rsid w:val="00DC4DA3"/>
    <w:rsid w:val="00DC56F1"/>
    <w:rsid w:val="00DD3053"/>
    <w:rsid w:val="00DD6BBA"/>
    <w:rsid w:val="00DE3631"/>
    <w:rsid w:val="00DE3B4E"/>
    <w:rsid w:val="00DF0446"/>
    <w:rsid w:val="00DF0844"/>
    <w:rsid w:val="00DF2150"/>
    <w:rsid w:val="00DF3667"/>
    <w:rsid w:val="00DF5349"/>
    <w:rsid w:val="00DF6400"/>
    <w:rsid w:val="00E10984"/>
    <w:rsid w:val="00E1134D"/>
    <w:rsid w:val="00E12788"/>
    <w:rsid w:val="00E12D2A"/>
    <w:rsid w:val="00E14C37"/>
    <w:rsid w:val="00E14E7B"/>
    <w:rsid w:val="00E14F33"/>
    <w:rsid w:val="00E1583C"/>
    <w:rsid w:val="00E207CD"/>
    <w:rsid w:val="00E20EDA"/>
    <w:rsid w:val="00E22A11"/>
    <w:rsid w:val="00E25EEE"/>
    <w:rsid w:val="00E34BB3"/>
    <w:rsid w:val="00E41DF4"/>
    <w:rsid w:val="00E439EA"/>
    <w:rsid w:val="00E45EF4"/>
    <w:rsid w:val="00E5017D"/>
    <w:rsid w:val="00E504E9"/>
    <w:rsid w:val="00E51B16"/>
    <w:rsid w:val="00E5414A"/>
    <w:rsid w:val="00E55C68"/>
    <w:rsid w:val="00E57962"/>
    <w:rsid w:val="00E62F7F"/>
    <w:rsid w:val="00E66447"/>
    <w:rsid w:val="00E66BA2"/>
    <w:rsid w:val="00E70C61"/>
    <w:rsid w:val="00E7100C"/>
    <w:rsid w:val="00E713BE"/>
    <w:rsid w:val="00E76538"/>
    <w:rsid w:val="00E821FD"/>
    <w:rsid w:val="00E825EC"/>
    <w:rsid w:val="00E83135"/>
    <w:rsid w:val="00E83386"/>
    <w:rsid w:val="00E83AE2"/>
    <w:rsid w:val="00E843BE"/>
    <w:rsid w:val="00E84B4B"/>
    <w:rsid w:val="00E90BBB"/>
    <w:rsid w:val="00E97854"/>
    <w:rsid w:val="00EA2D07"/>
    <w:rsid w:val="00EA3A34"/>
    <w:rsid w:val="00EA5AE2"/>
    <w:rsid w:val="00EC0C3B"/>
    <w:rsid w:val="00EC1FE1"/>
    <w:rsid w:val="00EC340C"/>
    <w:rsid w:val="00ED12A0"/>
    <w:rsid w:val="00ED45DB"/>
    <w:rsid w:val="00ED5009"/>
    <w:rsid w:val="00ED6762"/>
    <w:rsid w:val="00EE0A75"/>
    <w:rsid w:val="00EE1156"/>
    <w:rsid w:val="00EE2626"/>
    <w:rsid w:val="00EE3FF6"/>
    <w:rsid w:val="00EE4109"/>
    <w:rsid w:val="00EE4193"/>
    <w:rsid w:val="00EE6C42"/>
    <w:rsid w:val="00EE710E"/>
    <w:rsid w:val="00EF01F8"/>
    <w:rsid w:val="00EF027D"/>
    <w:rsid w:val="00EF040C"/>
    <w:rsid w:val="00EF30A2"/>
    <w:rsid w:val="00EF4D71"/>
    <w:rsid w:val="00EF63DC"/>
    <w:rsid w:val="00EF770F"/>
    <w:rsid w:val="00F00DC0"/>
    <w:rsid w:val="00F04753"/>
    <w:rsid w:val="00F04784"/>
    <w:rsid w:val="00F05388"/>
    <w:rsid w:val="00F0590A"/>
    <w:rsid w:val="00F06B51"/>
    <w:rsid w:val="00F06F15"/>
    <w:rsid w:val="00F07EB5"/>
    <w:rsid w:val="00F15C05"/>
    <w:rsid w:val="00F1736A"/>
    <w:rsid w:val="00F205E0"/>
    <w:rsid w:val="00F20C47"/>
    <w:rsid w:val="00F238A5"/>
    <w:rsid w:val="00F36F1D"/>
    <w:rsid w:val="00F436BD"/>
    <w:rsid w:val="00F445E5"/>
    <w:rsid w:val="00F5252F"/>
    <w:rsid w:val="00F578B0"/>
    <w:rsid w:val="00F57F3F"/>
    <w:rsid w:val="00F6035A"/>
    <w:rsid w:val="00F616C7"/>
    <w:rsid w:val="00F62196"/>
    <w:rsid w:val="00F63407"/>
    <w:rsid w:val="00F659CC"/>
    <w:rsid w:val="00F65EBF"/>
    <w:rsid w:val="00F72E3E"/>
    <w:rsid w:val="00F7619C"/>
    <w:rsid w:val="00F76715"/>
    <w:rsid w:val="00F7736E"/>
    <w:rsid w:val="00F77CFD"/>
    <w:rsid w:val="00F77F75"/>
    <w:rsid w:val="00F81161"/>
    <w:rsid w:val="00F81D6A"/>
    <w:rsid w:val="00F82D79"/>
    <w:rsid w:val="00F86A3C"/>
    <w:rsid w:val="00F90BC4"/>
    <w:rsid w:val="00F95050"/>
    <w:rsid w:val="00FA037F"/>
    <w:rsid w:val="00FA05EA"/>
    <w:rsid w:val="00FA259C"/>
    <w:rsid w:val="00FA601C"/>
    <w:rsid w:val="00FA7DB4"/>
    <w:rsid w:val="00FB25AE"/>
    <w:rsid w:val="00FB47A5"/>
    <w:rsid w:val="00FB55F6"/>
    <w:rsid w:val="00FB7D9C"/>
    <w:rsid w:val="00FC5667"/>
    <w:rsid w:val="00FC6234"/>
    <w:rsid w:val="00FC77B3"/>
    <w:rsid w:val="00FD27FD"/>
    <w:rsid w:val="00FD346E"/>
    <w:rsid w:val="00FD660E"/>
    <w:rsid w:val="00FE201E"/>
    <w:rsid w:val="00FE2294"/>
    <w:rsid w:val="00FF2AAE"/>
    <w:rsid w:val="00FF344C"/>
    <w:rsid w:val="00FF3F0F"/>
    <w:rsid w:val="00FF727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89F858"/>
  <w15:docId w15:val="{72EC094F-021B-465F-8A99-EF3B24F1E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64451"/>
    <w:rPr>
      <w:rFonts w:ascii="Times" w:hAnsi="Times"/>
      <w:sz w:val="20"/>
      <w:szCs w:val="20"/>
    </w:rPr>
  </w:style>
  <w:style w:type="paragraph" w:styleId="Titolo1">
    <w:name w:val="heading 1"/>
    <w:basedOn w:val="Normale"/>
    <w:next w:val="Normale"/>
    <w:link w:val="Titolo1Carattere"/>
    <w:uiPriority w:val="9"/>
    <w:qFormat/>
    <w:rsid w:val="00822EB0"/>
    <w:pPr>
      <w:keepNext/>
      <w:keepLines/>
      <w:spacing w:before="480"/>
      <w:jc w:val="center"/>
      <w:outlineLvl w:val="0"/>
    </w:pPr>
    <w:rPr>
      <w:rFonts w:ascii="Arial" w:eastAsiaTheme="majorEastAsia" w:hAnsi="Arial" w:cstheme="majorBidi"/>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14F4F"/>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214F4F"/>
    <w:rPr>
      <w:rFonts w:ascii="Lucida Grande" w:hAnsi="Lucida Grande" w:cs="Lucida Grande"/>
      <w:sz w:val="18"/>
      <w:szCs w:val="18"/>
    </w:rPr>
  </w:style>
  <w:style w:type="paragraph" w:customStyle="1" w:styleId="Default">
    <w:name w:val="Default"/>
    <w:link w:val="DefaultCarattere"/>
    <w:rsid w:val="00214F4F"/>
    <w:pPr>
      <w:autoSpaceDE w:val="0"/>
      <w:autoSpaceDN w:val="0"/>
      <w:adjustRightInd w:val="0"/>
    </w:pPr>
    <w:rPr>
      <w:rFonts w:ascii="Arial" w:eastAsia="Times New Roman" w:hAnsi="Arial" w:cs="Arial"/>
      <w:color w:val="000000"/>
    </w:rPr>
  </w:style>
  <w:style w:type="character" w:customStyle="1" w:styleId="DefaultCarattere">
    <w:name w:val="Default Carattere"/>
    <w:link w:val="Default"/>
    <w:rsid w:val="00214F4F"/>
    <w:rPr>
      <w:rFonts w:ascii="Arial" w:eastAsia="Times New Roman" w:hAnsi="Arial" w:cs="Arial"/>
      <w:color w:val="000000"/>
    </w:rPr>
  </w:style>
  <w:style w:type="paragraph" w:styleId="Corpodeltesto2">
    <w:name w:val="Body Text 2"/>
    <w:basedOn w:val="Normale"/>
    <w:link w:val="Corpodeltesto2Carattere"/>
    <w:rsid w:val="00654CF8"/>
    <w:pPr>
      <w:ind w:right="144"/>
      <w:jc w:val="both"/>
    </w:pPr>
    <w:rPr>
      <w:rFonts w:ascii="Times New Roman" w:eastAsia="Times New Roman" w:hAnsi="Times New Roman" w:cs="Times New Roman"/>
      <w:sz w:val="23"/>
      <w:szCs w:val="23"/>
    </w:rPr>
  </w:style>
  <w:style w:type="character" w:customStyle="1" w:styleId="Corpodeltesto2Carattere">
    <w:name w:val="Corpo del testo 2 Carattere"/>
    <w:basedOn w:val="Carpredefinitoparagrafo"/>
    <w:link w:val="Corpodeltesto2"/>
    <w:rsid w:val="00654CF8"/>
    <w:rPr>
      <w:rFonts w:ascii="Times New Roman" w:eastAsia="Times New Roman" w:hAnsi="Times New Roman" w:cs="Times New Roman"/>
      <w:sz w:val="23"/>
      <w:szCs w:val="23"/>
    </w:rPr>
  </w:style>
  <w:style w:type="paragraph" w:customStyle="1" w:styleId="Testosegnaposto1">
    <w:name w:val="Testo segnaposto1"/>
    <w:basedOn w:val="Normale"/>
    <w:rsid w:val="00654CF8"/>
    <w:pPr>
      <w:keepNext/>
      <w:suppressAutoHyphens/>
      <w:contextualSpacing/>
    </w:pPr>
    <w:rPr>
      <w:rFonts w:ascii="Verdana" w:eastAsia="MS Gothic" w:hAnsi="Verdana" w:cs="Verdana"/>
      <w:sz w:val="24"/>
      <w:szCs w:val="24"/>
      <w:lang w:eastAsia="zh-CN"/>
    </w:rPr>
  </w:style>
  <w:style w:type="paragraph" w:styleId="Paragrafoelenco">
    <w:name w:val="List Paragraph"/>
    <w:basedOn w:val="Normale"/>
    <w:uiPriority w:val="34"/>
    <w:qFormat/>
    <w:rsid w:val="00810736"/>
    <w:pPr>
      <w:ind w:left="720"/>
      <w:contextualSpacing/>
    </w:pPr>
    <w:rPr>
      <w:rFonts w:asciiTheme="minorHAnsi" w:hAnsiTheme="minorHAnsi"/>
      <w:sz w:val="24"/>
      <w:szCs w:val="24"/>
    </w:rPr>
  </w:style>
  <w:style w:type="table" w:styleId="Grigliatabella">
    <w:name w:val="Table Grid"/>
    <w:basedOn w:val="Tabellanormale"/>
    <w:uiPriority w:val="59"/>
    <w:rsid w:val="004D7E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uiPriority w:val="99"/>
    <w:semiHidden/>
    <w:unhideWhenUsed/>
    <w:rsid w:val="00BD14ED"/>
    <w:rPr>
      <w:sz w:val="18"/>
      <w:szCs w:val="18"/>
    </w:rPr>
  </w:style>
  <w:style w:type="paragraph" w:styleId="Testocommento">
    <w:name w:val="annotation text"/>
    <w:basedOn w:val="Normale"/>
    <w:link w:val="TestocommentoCarattere"/>
    <w:uiPriority w:val="99"/>
    <w:semiHidden/>
    <w:unhideWhenUsed/>
    <w:rsid w:val="00BD14ED"/>
    <w:rPr>
      <w:rFonts w:asciiTheme="minorHAnsi" w:hAnsiTheme="minorHAnsi"/>
      <w:sz w:val="24"/>
      <w:szCs w:val="24"/>
    </w:rPr>
  </w:style>
  <w:style w:type="character" w:customStyle="1" w:styleId="TestocommentoCarattere">
    <w:name w:val="Testo commento Carattere"/>
    <w:basedOn w:val="Carpredefinitoparagrafo"/>
    <w:link w:val="Testocommento"/>
    <w:uiPriority w:val="99"/>
    <w:semiHidden/>
    <w:rsid w:val="00BD14ED"/>
  </w:style>
  <w:style w:type="paragraph" w:styleId="Soggettocommento">
    <w:name w:val="annotation subject"/>
    <w:basedOn w:val="Testocommento"/>
    <w:next w:val="Testocommento"/>
    <w:link w:val="SoggettocommentoCarattere"/>
    <w:uiPriority w:val="99"/>
    <w:semiHidden/>
    <w:unhideWhenUsed/>
    <w:rsid w:val="00BD14ED"/>
    <w:rPr>
      <w:b/>
      <w:bCs/>
      <w:sz w:val="20"/>
      <w:szCs w:val="20"/>
    </w:rPr>
  </w:style>
  <w:style w:type="character" w:customStyle="1" w:styleId="SoggettocommentoCarattere">
    <w:name w:val="Soggetto commento Carattere"/>
    <w:basedOn w:val="TestocommentoCarattere"/>
    <w:link w:val="Soggettocommento"/>
    <w:uiPriority w:val="99"/>
    <w:semiHidden/>
    <w:rsid w:val="00BD14ED"/>
    <w:rPr>
      <w:b/>
      <w:bCs/>
      <w:sz w:val="20"/>
      <w:szCs w:val="20"/>
    </w:rPr>
  </w:style>
  <w:style w:type="character" w:customStyle="1" w:styleId="apple-converted-space">
    <w:name w:val="apple-converted-space"/>
    <w:basedOn w:val="Carpredefinitoparagrafo"/>
    <w:rsid w:val="00691B04"/>
  </w:style>
  <w:style w:type="character" w:styleId="Collegamentoipertestuale">
    <w:name w:val="Hyperlink"/>
    <w:basedOn w:val="Carpredefinitoparagrafo"/>
    <w:unhideWhenUsed/>
    <w:rsid w:val="00E504E9"/>
    <w:rPr>
      <w:color w:val="0000FF"/>
      <w:u w:val="single"/>
    </w:rPr>
  </w:style>
  <w:style w:type="character" w:styleId="Testosegnaposto">
    <w:name w:val="Placeholder Text"/>
    <w:basedOn w:val="Carpredefinitoparagrafo"/>
    <w:uiPriority w:val="99"/>
    <w:semiHidden/>
    <w:rsid w:val="0076458F"/>
    <w:rPr>
      <w:color w:val="808080"/>
    </w:rPr>
  </w:style>
  <w:style w:type="paragraph" w:styleId="NormaleWeb">
    <w:name w:val="Normal (Web)"/>
    <w:basedOn w:val="Normale"/>
    <w:uiPriority w:val="99"/>
    <w:semiHidden/>
    <w:unhideWhenUsed/>
    <w:rsid w:val="000E1807"/>
    <w:pPr>
      <w:spacing w:before="100" w:beforeAutospacing="1" w:after="100" w:afterAutospacing="1"/>
    </w:pPr>
    <w:rPr>
      <w:rFonts w:cs="Times New Roman"/>
    </w:rPr>
  </w:style>
  <w:style w:type="paragraph" w:styleId="Puntoelenco3">
    <w:name w:val="List Bullet 3"/>
    <w:basedOn w:val="Normale"/>
    <w:autoRedefine/>
    <w:rsid w:val="00A510FD"/>
    <w:pPr>
      <w:numPr>
        <w:numId w:val="22"/>
      </w:numPr>
      <w:spacing w:after="240"/>
      <w:jc w:val="both"/>
    </w:pPr>
    <w:rPr>
      <w:rFonts w:ascii="Times New Roman" w:eastAsia="Times New Roman" w:hAnsi="Times New Roman" w:cs="Times New Roman"/>
      <w:sz w:val="24"/>
      <w:szCs w:val="24"/>
    </w:rPr>
  </w:style>
  <w:style w:type="paragraph" w:customStyle="1" w:styleId="Corpodeltesto31">
    <w:name w:val="Corpo del testo 31"/>
    <w:basedOn w:val="Normale"/>
    <w:rsid w:val="00A510FD"/>
    <w:pPr>
      <w:widowControl w:val="0"/>
      <w:spacing w:line="360" w:lineRule="auto"/>
      <w:jc w:val="both"/>
    </w:pPr>
    <w:rPr>
      <w:rFonts w:ascii="Times New Roman" w:eastAsia="Times New Roman" w:hAnsi="Times New Roman" w:cs="Times New Roman"/>
      <w:sz w:val="24"/>
      <w:szCs w:val="24"/>
    </w:rPr>
  </w:style>
  <w:style w:type="paragraph" w:customStyle="1" w:styleId="provvr0">
    <w:name w:val="provv_r0"/>
    <w:basedOn w:val="Normale"/>
    <w:rsid w:val="006864F5"/>
    <w:pPr>
      <w:spacing w:before="100" w:beforeAutospacing="1" w:after="100" w:afterAutospacing="1"/>
      <w:jc w:val="both"/>
    </w:pPr>
    <w:rPr>
      <w:rFonts w:ascii="Times New Roman" w:eastAsia="Times New Roman" w:hAnsi="Times New Roman" w:cs="Times New Roman"/>
      <w:sz w:val="24"/>
      <w:szCs w:val="24"/>
    </w:rPr>
  </w:style>
  <w:style w:type="character" w:customStyle="1" w:styleId="Titolo1Carattere">
    <w:name w:val="Titolo 1 Carattere"/>
    <w:basedOn w:val="Carpredefinitoparagrafo"/>
    <w:link w:val="Titolo1"/>
    <w:uiPriority w:val="9"/>
    <w:rsid w:val="00822EB0"/>
    <w:rPr>
      <w:rFonts w:ascii="Arial" w:eastAsiaTheme="majorEastAsia" w:hAnsi="Arial" w:cstheme="majorBidi"/>
      <w:b/>
      <w:bCs/>
    </w:rPr>
  </w:style>
  <w:style w:type="paragraph" w:styleId="Corpodeltesto3">
    <w:name w:val="Body Text 3"/>
    <w:basedOn w:val="Normale"/>
    <w:link w:val="Corpodeltesto3Carattere"/>
    <w:uiPriority w:val="99"/>
    <w:unhideWhenUsed/>
    <w:rsid w:val="006C0B69"/>
    <w:pPr>
      <w:spacing w:after="120"/>
    </w:pPr>
    <w:rPr>
      <w:sz w:val="16"/>
      <w:szCs w:val="16"/>
    </w:rPr>
  </w:style>
  <w:style w:type="character" w:customStyle="1" w:styleId="Corpodeltesto3Carattere">
    <w:name w:val="Corpo del testo 3 Carattere"/>
    <w:basedOn w:val="Carpredefinitoparagrafo"/>
    <w:link w:val="Corpodeltesto3"/>
    <w:uiPriority w:val="99"/>
    <w:rsid w:val="006C0B69"/>
    <w:rPr>
      <w:rFonts w:ascii="Times" w:hAnsi="Times"/>
      <w:sz w:val="16"/>
      <w:szCs w:val="16"/>
    </w:rPr>
  </w:style>
  <w:style w:type="paragraph" w:styleId="Testonotaapidipagina">
    <w:name w:val="footnote text"/>
    <w:basedOn w:val="Normale"/>
    <w:link w:val="TestonotaapidipaginaCarattere"/>
    <w:semiHidden/>
    <w:rsid w:val="006C0B69"/>
    <w:pPr>
      <w:spacing w:after="200" w:line="276" w:lineRule="auto"/>
      <w:jc w:val="both"/>
    </w:pPr>
    <w:rPr>
      <w:rFonts w:ascii="Calibri" w:eastAsia="Calibri" w:hAnsi="Calibri" w:cs="Times New Roman"/>
      <w:lang w:eastAsia="en-US"/>
    </w:rPr>
  </w:style>
  <w:style w:type="character" w:customStyle="1" w:styleId="TestonotaapidipaginaCarattere">
    <w:name w:val="Testo nota a piè di pagina Carattere"/>
    <w:basedOn w:val="Carpredefinitoparagrafo"/>
    <w:link w:val="Testonotaapidipagina"/>
    <w:semiHidden/>
    <w:rsid w:val="006C0B69"/>
    <w:rPr>
      <w:rFonts w:ascii="Calibri" w:eastAsia="Calibri" w:hAnsi="Calibri" w:cs="Times New Roman"/>
      <w:sz w:val="20"/>
      <w:szCs w:val="20"/>
      <w:lang w:eastAsia="en-US"/>
    </w:rPr>
  </w:style>
  <w:style w:type="character" w:styleId="Rimandonotaapidipagina">
    <w:name w:val="footnote reference"/>
    <w:semiHidden/>
    <w:rsid w:val="006C0B69"/>
    <w:rPr>
      <w:vertAlign w:val="superscript"/>
    </w:rPr>
  </w:style>
  <w:style w:type="paragraph" w:styleId="Intestazione">
    <w:name w:val="header"/>
    <w:basedOn w:val="Normale"/>
    <w:link w:val="IntestazioneCarattere"/>
    <w:uiPriority w:val="99"/>
    <w:unhideWhenUsed/>
    <w:rsid w:val="00686752"/>
    <w:pPr>
      <w:tabs>
        <w:tab w:val="center" w:pos="4819"/>
        <w:tab w:val="right" w:pos="9638"/>
      </w:tabs>
    </w:pPr>
  </w:style>
  <w:style w:type="character" w:customStyle="1" w:styleId="IntestazioneCarattere">
    <w:name w:val="Intestazione Carattere"/>
    <w:basedOn w:val="Carpredefinitoparagrafo"/>
    <w:link w:val="Intestazione"/>
    <w:uiPriority w:val="99"/>
    <w:rsid w:val="00686752"/>
    <w:rPr>
      <w:rFonts w:ascii="Times" w:hAnsi="Times"/>
      <w:sz w:val="20"/>
      <w:szCs w:val="20"/>
    </w:rPr>
  </w:style>
  <w:style w:type="paragraph" w:styleId="Pidipagina">
    <w:name w:val="footer"/>
    <w:basedOn w:val="Normale"/>
    <w:link w:val="PidipaginaCarattere"/>
    <w:uiPriority w:val="99"/>
    <w:unhideWhenUsed/>
    <w:rsid w:val="00686752"/>
    <w:pPr>
      <w:tabs>
        <w:tab w:val="center" w:pos="4819"/>
        <w:tab w:val="right" w:pos="9638"/>
      </w:tabs>
    </w:pPr>
  </w:style>
  <w:style w:type="character" w:customStyle="1" w:styleId="PidipaginaCarattere">
    <w:name w:val="Piè di pagina Carattere"/>
    <w:basedOn w:val="Carpredefinitoparagrafo"/>
    <w:link w:val="Pidipagina"/>
    <w:uiPriority w:val="99"/>
    <w:rsid w:val="00686752"/>
    <w:rPr>
      <w:rFonts w:ascii="Times" w:hAnsi="Times"/>
      <w:sz w:val="20"/>
      <w:szCs w:val="20"/>
    </w:rPr>
  </w:style>
  <w:style w:type="paragraph" w:styleId="Corpotesto">
    <w:name w:val="Body Text"/>
    <w:basedOn w:val="Normale"/>
    <w:link w:val="CorpotestoCarattere"/>
    <w:uiPriority w:val="99"/>
    <w:unhideWhenUsed/>
    <w:rsid w:val="00205FD7"/>
    <w:pPr>
      <w:spacing w:after="120"/>
    </w:pPr>
  </w:style>
  <w:style w:type="character" w:customStyle="1" w:styleId="CorpotestoCarattere">
    <w:name w:val="Corpo testo Carattere"/>
    <w:basedOn w:val="Carpredefinitoparagrafo"/>
    <w:link w:val="Corpotesto"/>
    <w:uiPriority w:val="99"/>
    <w:rsid w:val="00205FD7"/>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4652">
      <w:bodyDiv w:val="1"/>
      <w:marLeft w:val="0"/>
      <w:marRight w:val="0"/>
      <w:marTop w:val="0"/>
      <w:marBottom w:val="0"/>
      <w:divBdr>
        <w:top w:val="none" w:sz="0" w:space="0" w:color="auto"/>
        <w:left w:val="none" w:sz="0" w:space="0" w:color="auto"/>
        <w:bottom w:val="none" w:sz="0" w:space="0" w:color="auto"/>
        <w:right w:val="none" w:sz="0" w:space="0" w:color="auto"/>
      </w:divBdr>
    </w:div>
    <w:div w:id="66612562">
      <w:bodyDiv w:val="1"/>
      <w:marLeft w:val="0"/>
      <w:marRight w:val="0"/>
      <w:marTop w:val="0"/>
      <w:marBottom w:val="0"/>
      <w:divBdr>
        <w:top w:val="none" w:sz="0" w:space="0" w:color="auto"/>
        <w:left w:val="none" w:sz="0" w:space="0" w:color="auto"/>
        <w:bottom w:val="none" w:sz="0" w:space="0" w:color="auto"/>
        <w:right w:val="none" w:sz="0" w:space="0" w:color="auto"/>
      </w:divBdr>
    </w:div>
    <w:div w:id="68695150">
      <w:bodyDiv w:val="1"/>
      <w:marLeft w:val="0"/>
      <w:marRight w:val="0"/>
      <w:marTop w:val="0"/>
      <w:marBottom w:val="0"/>
      <w:divBdr>
        <w:top w:val="none" w:sz="0" w:space="0" w:color="auto"/>
        <w:left w:val="none" w:sz="0" w:space="0" w:color="auto"/>
        <w:bottom w:val="none" w:sz="0" w:space="0" w:color="auto"/>
        <w:right w:val="none" w:sz="0" w:space="0" w:color="auto"/>
      </w:divBdr>
    </w:div>
    <w:div w:id="241112416">
      <w:bodyDiv w:val="1"/>
      <w:marLeft w:val="0"/>
      <w:marRight w:val="0"/>
      <w:marTop w:val="0"/>
      <w:marBottom w:val="0"/>
      <w:divBdr>
        <w:top w:val="none" w:sz="0" w:space="0" w:color="auto"/>
        <w:left w:val="none" w:sz="0" w:space="0" w:color="auto"/>
        <w:bottom w:val="none" w:sz="0" w:space="0" w:color="auto"/>
        <w:right w:val="none" w:sz="0" w:space="0" w:color="auto"/>
      </w:divBdr>
    </w:div>
    <w:div w:id="260452892">
      <w:bodyDiv w:val="1"/>
      <w:marLeft w:val="0"/>
      <w:marRight w:val="0"/>
      <w:marTop w:val="0"/>
      <w:marBottom w:val="0"/>
      <w:divBdr>
        <w:top w:val="none" w:sz="0" w:space="0" w:color="auto"/>
        <w:left w:val="none" w:sz="0" w:space="0" w:color="auto"/>
        <w:bottom w:val="none" w:sz="0" w:space="0" w:color="auto"/>
        <w:right w:val="none" w:sz="0" w:space="0" w:color="auto"/>
      </w:divBdr>
    </w:div>
    <w:div w:id="291327174">
      <w:bodyDiv w:val="1"/>
      <w:marLeft w:val="0"/>
      <w:marRight w:val="0"/>
      <w:marTop w:val="0"/>
      <w:marBottom w:val="0"/>
      <w:divBdr>
        <w:top w:val="none" w:sz="0" w:space="0" w:color="auto"/>
        <w:left w:val="none" w:sz="0" w:space="0" w:color="auto"/>
        <w:bottom w:val="none" w:sz="0" w:space="0" w:color="auto"/>
        <w:right w:val="none" w:sz="0" w:space="0" w:color="auto"/>
      </w:divBdr>
    </w:div>
    <w:div w:id="322634044">
      <w:bodyDiv w:val="1"/>
      <w:marLeft w:val="0"/>
      <w:marRight w:val="0"/>
      <w:marTop w:val="0"/>
      <w:marBottom w:val="0"/>
      <w:divBdr>
        <w:top w:val="none" w:sz="0" w:space="0" w:color="auto"/>
        <w:left w:val="none" w:sz="0" w:space="0" w:color="auto"/>
        <w:bottom w:val="none" w:sz="0" w:space="0" w:color="auto"/>
        <w:right w:val="none" w:sz="0" w:space="0" w:color="auto"/>
      </w:divBdr>
    </w:div>
    <w:div w:id="600114041">
      <w:bodyDiv w:val="1"/>
      <w:marLeft w:val="0"/>
      <w:marRight w:val="0"/>
      <w:marTop w:val="0"/>
      <w:marBottom w:val="0"/>
      <w:divBdr>
        <w:top w:val="none" w:sz="0" w:space="0" w:color="auto"/>
        <w:left w:val="none" w:sz="0" w:space="0" w:color="auto"/>
        <w:bottom w:val="none" w:sz="0" w:space="0" w:color="auto"/>
        <w:right w:val="none" w:sz="0" w:space="0" w:color="auto"/>
      </w:divBdr>
    </w:div>
    <w:div w:id="601185742">
      <w:bodyDiv w:val="1"/>
      <w:marLeft w:val="0"/>
      <w:marRight w:val="0"/>
      <w:marTop w:val="0"/>
      <w:marBottom w:val="0"/>
      <w:divBdr>
        <w:top w:val="none" w:sz="0" w:space="0" w:color="auto"/>
        <w:left w:val="none" w:sz="0" w:space="0" w:color="auto"/>
        <w:bottom w:val="none" w:sz="0" w:space="0" w:color="auto"/>
        <w:right w:val="none" w:sz="0" w:space="0" w:color="auto"/>
      </w:divBdr>
    </w:div>
    <w:div w:id="604729823">
      <w:bodyDiv w:val="1"/>
      <w:marLeft w:val="0"/>
      <w:marRight w:val="0"/>
      <w:marTop w:val="0"/>
      <w:marBottom w:val="0"/>
      <w:divBdr>
        <w:top w:val="none" w:sz="0" w:space="0" w:color="auto"/>
        <w:left w:val="none" w:sz="0" w:space="0" w:color="auto"/>
        <w:bottom w:val="none" w:sz="0" w:space="0" w:color="auto"/>
        <w:right w:val="none" w:sz="0" w:space="0" w:color="auto"/>
      </w:divBdr>
    </w:div>
    <w:div w:id="605846514">
      <w:bodyDiv w:val="1"/>
      <w:marLeft w:val="0"/>
      <w:marRight w:val="0"/>
      <w:marTop w:val="0"/>
      <w:marBottom w:val="0"/>
      <w:divBdr>
        <w:top w:val="none" w:sz="0" w:space="0" w:color="auto"/>
        <w:left w:val="none" w:sz="0" w:space="0" w:color="auto"/>
        <w:bottom w:val="none" w:sz="0" w:space="0" w:color="auto"/>
        <w:right w:val="none" w:sz="0" w:space="0" w:color="auto"/>
      </w:divBdr>
    </w:div>
    <w:div w:id="764615246">
      <w:bodyDiv w:val="1"/>
      <w:marLeft w:val="0"/>
      <w:marRight w:val="0"/>
      <w:marTop w:val="0"/>
      <w:marBottom w:val="0"/>
      <w:divBdr>
        <w:top w:val="none" w:sz="0" w:space="0" w:color="auto"/>
        <w:left w:val="none" w:sz="0" w:space="0" w:color="auto"/>
        <w:bottom w:val="none" w:sz="0" w:space="0" w:color="auto"/>
        <w:right w:val="none" w:sz="0" w:space="0" w:color="auto"/>
      </w:divBdr>
    </w:div>
    <w:div w:id="792603626">
      <w:bodyDiv w:val="1"/>
      <w:marLeft w:val="0"/>
      <w:marRight w:val="0"/>
      <w:marTop w:val="0"/>
      <w:marBottom w:val="0"/>
      <w:divBdr>
        <w:top w:val="none" w:sz="0" w:space="0" w:color="auto"/>
        <w:left w:val="none" w:sz="0" w:space="0" w:color="auto"/>
        <w:bottom w:val="none" w:sz="0" w:space="0" w:color="auto"/>
        <w:right w:val="none" w:sz="0" w:space="0" w:color="auto"/>
      </w:divBdr>
    </w:div>
    <w:div w:id="849876765">
      <w:bodyDiv w:val="1"/>
      <w:marLeft w:val="0"/>
      <w:marRight w:val="0"/>
      <w:marTop w:val="0"/>
      <w:marBottom w:val="0"/>
      <w:divBdr>
        <w:top w:val="none" w:sz="0" w:space="0" w:color="auto"/>
        <w:left w:val="none" w:sz="0" w:space="0" w:color="auto"/>
        <w:bottom w:val="none" w:sz="0" w:space="0" w:color="auto"/>
        <w:right w:val="none" w:sz="0" w:space="0" w:color="auto"/>
      </w:divBdr>
    </w:div>
    <w:div w:id="953947467">
      <w:bodyDiv w:val="1"/>
      <w:marLeft w:val="0"/>
      <w:marRight w:val="0"/>
      <w:marTop w:val="0"/>
      <w:marBottom w:val="0"/>
      <w:divBdr>
        <w:top w:val="none" w:sz="0" w:space="0" w:color="auto"/>
        <w:left w:val="none" w:sz="0" w:space="0" w:color="auto"/>
        <w:bottom w:val="none" w:sz="0" w:space="0" w:color="auto"/>
        <w:right w:val="none" w:sz="0" w:space="0" w:color="auto"/>
      </w:divBdr>
    </w:div>
    <w:div w:id="974482723">
      <w:bodyDiv w:val="1"/>
      <w:marLeft w:val="0"/>
      <w:marRight w:val="0"/>
      <w:marTop w:val="0"/>
      <w:marBottom w:val="0"/>
      <w:divBdr>
        <w:top w:val="none" w:sz="0" w:space="0" w:color="auto"/>
        <w:left w:val="none" w:sz="0" w:space="0" w:color="auto"/>
        <w:bottom w:val="none" w:sz="0" w:space="0" w:color="auto"/>
        <w:right w:val="none" w:sz="0" w:space="0" w:color="auto"/>
      </w:divBdr>
    </w:div>
    <w:div w:id="1110320272">
      <w:bodyDiv w:val="1"/>
      <w:marLeft w:val="0"/>
      <w:marRight w:val="0"/>
      <w:marTop w:val="0"/>
      <w:marBottom w:val="0"/>
      <w:divBdr>
        <w:top w:val="none" w:sz="0" w:space="0" w:color="auto"/>
        <w:left w:val="none" w:sz="0" w:space="0" w:color="auto"/>
        <w:bottom w:val="none" w:sz="0" w:space="0" w:color="auto"/>
        <w:right w:val="none" w:sz="0" w:space="0" w:color="auto"/>
      </w:divBdr>
    </w:div>
    <w:div w:id="1156805558">
      <w:bodyDiv w:val="1"/>
      <w:marLeft w:val="0"/>
      <w:marRight w:val="0"/>
      <w:marTop w:val="0"/>
      <w:marBottom w:val="0"/>
      <w:divBdr>
        <w:top w:val="none" w:sz="0" w:space="0" w:color="auto"/>
        <w:left w:val="none" w:sz="0" w:space="0" w:color="auto"/>
        <w:bottom w:val="none" w:sz="0" w:space="0" w:color="auto"/>
        <w:right w:val="none" w:sz="0" w:space="0" w:color="auto"/>
      </w:divBdr>
    </w:div>
    <w:div w:id="1324358436">
      <w:bodyDiv w:val="1"/>
      <w:marLeft w:val="0"/>
      <w:marRight w:val="0"/>
      <w:marTop w:val="0"/>
      <w:marBottom w:val="0"/>
      <w:divBdr>
        <w:top w:val="none" w:sz="0" w:space="0" w:color="auto"/>
        <w:left w:val="none" w:sz="0" w:space="0" w:color="auto"/>
        <w:bottom w:val="none" w:sz="0" w:space="0" w:color="auto"/>
        <w:right w:val="none" w:sz="0" w:space="0" w:color="auto"/>
      </w:divBdr>
    </w:div>
    <w:div w:id="1362123971">
      <w:bodyDiv w:val="1"/>
      <w:marLeft w:val="0"/>
      <w:marRight w:val="0"/>
      <w:marTop w:val="0"/>
      <w:marBottom w:val="0"/>
      <w:divBdr>
        <w:top w:val="none" w:sz="0" w:space="0" w:color="auto"/>
        <w:left w:val="none" w:sz="0" w:space="0" w:color="auto"/>
        <w:bottom w:val="none" w:sz="0" w:space="0" w:color="auto"/>
        <w:right w:val="none" w:sz="0" w:space="0" w:color="auto"/>
      </w:divBdr>
    </w:div>
    <w:div w:id="1439907612">
      <w:bodyDiv w:val="1"/>
      <w:marLeft w:val="0"/>
      <w:marRight w:val="0"/>
      <w:marTop w:val="0"/>
      <w:marBottom w:val="0"/>
      <w:divBdr>
        <w:top w:val="none" w:sz="0" w:space="0" w:color="auto"/>
        <w:left w:val="none" w:sz="0" w:space="0" w:color="auto"/>
        <w:bottom w:val="none" w:sz="0" w:space="0" w:color="auto"/>
        <w:right w:val="none" w:sz="0" w:space="0" w:color="auto"/>
      </w:divBdr>
    </w:div>
    <w:div w:id="1451129155">
      <w:bodyDiv w:val="1"/>
      <w:marLeft w:val="0"/>
      <w:marRight w:val="0"/>
      <w:marTop w:val="0"/>
      <w:marBottom w:val="0"/>
      <w:divBdr>
        <w:top w:val="none" w:sz="0" w:space="0" w:color="auto"/>
        <w:left w:val="none" w:sz="0" w:space="0" w:color="auto"/>
        <w:bottom w:val="none" w:sz="0" w:space="0" w:color="auto"/>
        <w:right w:val="none" w:sz="0" w:space="0" w:color="auto"/>
      </w:divBdr>
    </w:div>
    <w:div w:id="1515654147">
      <w:bodyDiv w:val="1"/>
      <w:marLeft w:val="0"/>
      <w:marRight w:val="0"/>
      <w:marTop w:val="0"/>
      <w:marBottom w:val="0"/>
      <w:divBdr>
        <w:top w:val="none" w:sz="0" w:space="0" w:color="auto"/>
        <w:left w:val="none" w:sz="0" w:space="0" w:color="auto"/>
        <w:bottom w:val="none" w:sz="0" w:space="0" w:color="auto"/>
        <w:right w:val="none" w:sz="0" w:space="0" w:color="auto"/>
      </w:divBdr>
    </w:div>
    <w:div w:id="1557084602">
      <w:bodyDiv w:val="1"/>
      <w:marLeft w:val="0"/>
      <w:marRight w:val="0"/>
      <w:marTop w:val="0"/>
      <w:marBottom w:val="0"/>
      <w:divBdr>
        <w:top w:val="none" w:sz="0" w:space="0" w:color="auto"/>
        <w:left w:val="none" w:sz="0" w:space="0" w:color="auto"/>
        <w:bottom w:val="none" w:sz="0" w:space="0" w:color="auto"/>
        <w:right w:val="none" w:sz="0" w:space="0" w:color="auto"/>
      </w:divBdr>
    </w:div>
    <w:div w:id="1588658250">
      <w:bodyDiv w:val="1"/>
      <w:marLeft w:val="0"/>
      <w:marRight w:val="0"/>
      <w:marTop w:val="0"/>
      <w:marBottom w:val="0"/>
      <w:divBdr>
        <w:top w:val="none" w:sz="0" w:space="0" w:color="auto"/>
        <w:left w:val="none" w:sz="0" w:space="0" w:color="auto"/>
        <w:bottom w:val="none" w:sz="0" w:space="0" w:color="auto"/>
        <w:right w:val="none" w:sz="0" w:space="0" w:color="auto"/>
      </w:divBdr>
    </w:div>
    <w:div w:id="1630551535">
      <w:bodyDiv w:val="1"/>
      <w:marLeft w:val="0"/>
      <w:marRight w:val="0"/>
      <w:marTop w:val="0"/>
      <w:marBottom w:val="0"/>
      <w:divBdr>
        <w:top w:val="none" w:sz="0" w:space="0" w:color="auto"/>
        <w:left w:val="none" w:sz="0" w:space="0" w:color="auto"/>
        <w:bottom w:val="none" w:sz="0" w:space="0" w:color="auto"/>
        <w:right w:val="none" w:sz="0" w:space="0" w:color="auto"/>
      </w:divBdr>
    </w:div>
    <w:div w:id="1646860989">
      <w:bodyDiv w:val="1"/>
      <w:marLeft w:val="0"/>
      <w:marRight w:val="0"/>
      <w:marTop w:val="0"/>
      <w:marBottom w:val="0"/>
      <w:divBdr>
        <w:top w:val="none" w:sz="0" w:space="0" w:color="auto"/>
        <w:left w:val="none" w:sz="0" w:space="0" w:color="auto"/>
        <w:bottom w:val="none" w:sz="0" w:space="0" w:color="auto"/>
        <w:right w:val="none" w:sz="0" w:space="0" w:color="auto"/>
      </w:divBdr>
    </w:div>
    <w:div w:id="1693190553">
      <w:bodyDiv w:val="1"/>
      <w:marLeft w:val="0"/>
      <w:marRight w:val="0"/>
      <w:marTop w:val="0"/>
      <w:marBottom w:val="0"/>
      <w:divBdr>
        <w:top w:val="none" w:sz="0" w:space="0" w:color="auto"/>
        <w:left w:val="none" w:sz="0" w:space="0" w:color="auto"/>
        <w:bottom w:val="none" w:sz="0" w:space="0" w:color="auto"/>
        <w:right w:val="none" w:sz="0" w:space="0" w:color="auto"/>
      </w:divBdr>
    </w:div>
    <w:div w:id="1935897569">
      <w:bodyDiv w:val="1"/>
      <w:marLeft w:val="0"/>
      <w:marRight w:val="0"/>
      <w:marTop w:val="0"/>
      <w:marBottom w:val="0"/>
      <w:divBdr>
        <w:top w:val="none" w:sz="0" w:space="0" w:color="auto"/>
        <w:left w:val="none" w:sz="0" w:space="0" w:color="auto"/>
        <w:bottom w:val="none" w:sz="0" w:space="0" w:color="auto"/>
        <w:right w:val="none" w:sz="0" w:space="0" w:color="auto"/>
      </w:divBdr>
    </w:div>
    <w:div w:id="1994942492">
      <w:bodyDiv w:val="1"/>
      <w:marLeft w:val="0"/>
      <w:marRight w:val="0"/>
      <w:marTop w:val="0"/>
      <w:marBottom w:val="0"/>
      <w:divBdr>
        <w:top w:val="none" w:sz="0" w:space="0" w:color="auto"/>
        <w:left w:val="none" w:sz="0" w:space="0" w:color="auto"/>
        <w:bottom w:val="none" w:sz="0" w:space="0" w:color="auto"/>
        <w:right w:val="none" w:sz="0" w:space="0" w:color="auto"/>
      </w:divBdr>
    </w:div>
    <w:div w:id="2040350548">
      <w:bodyDiv w:val="1"/>
      <w:marLeft w:val="0"/>
      <w:marRight w:val="0"/>
      <w:marTop w:val="0"/>
      <w:marBottom w:val="0"/>
      <w:divBdr>
        <w:top w:val="none" w:sz="0" w:space="0" w:color="auto"/>
        <w:left w:val="none" w:sz="0" w:space="0" w:color="auto"/>
        <w:bottom w:val="none" w:sz="0" w:space="0" w:color="auto"/>
        <w:right w:val="none" w:sz="0" w:space="0" w:color="auto"/>
      </w:divBdr>
    </w:div>
    <w:div w:id="2142266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gione.umbr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FB820-723E-493B-9A9B-1434C03AC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10356</Words>
  <Characters>59031</Characters>
  <Application>Microsoft Office Word</Application>
  <DocSecurity>0</DocSecurity>
  <Lines>491</Lines>
  <Paragraphs>138</Paragraphs>
  <ScaleCrop>false</ScaleCrop>
  <HeadingPairs>
    <vt:vector size="4" baseType="variant">
      <vt:variant>
        <vt:lpstr>Titolo</vt:lpstr>
      </vt:variant>
      <vt:variant>
        <vt:i4>1</vt:i4>
      </vt:variant>
      <vt:variant>
        <vt:lpstr>Intestazioni</vt:lpstr>
      </vt:variant>
      <vt:variant>
        <vt:i4>4</vt:i4>
      </vt:variant>
    </vt:vector>
  </HeadingPairs>
  <TitlesOfParts>
    <vt:vector size="5" baseType="lpstr">
      <vt:lpstr/>
      <vt:lpstr>Art. 1 Regolamentazione ed indirizzi di riferimento </vt:lpstr>
      <vt:lpstr>Art. 2 Premessa </vt:lpstr>
      <vt:lpstr>Art. 3 Descrizione dell’incarico</vt:lpstr>
      <vt:lpstr>Art. 4 Oggetto dell’affidamento e ambito delle attività di valutazione</vt:lpstr>
    </vt:vector>
  </TitlesOfParts>
  <Company/>
  <LinksUpToDate>false</LinksUpToDate>
  <CharactersWithSpaces>69249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Mariano</dc:creator>
  <cp:keywords/>
  <dc:description/>
  <cp:lastModifiedBy>Paola Cappelletti</cp:lastModifiedBy>
  <cp:revision>6</cp:revision>
  <cp:lastPrinted>2016-10-11T14:58:00Z</cp:lastPrinted>
  <dcterms:created xsi:type="dcterms:W3CDTF">2017-08-01T10:02:00Z</dcterms:created>
  <dcterms:modified xsi:type="dcterms:W3CDTF">2017-08-01T14:03:00Z</dcterms:modified>
</cp:coreProperties>
</file>