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Caricare:</w:t>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Atto di notorietà del rivenditore concessionario che dia conto dei riferimenti dimostrativi l'immissione del bene nel mercato nei due esercizi precedenti la presentazione della domanda di sostegno SIAR (per gli investimenti già realizzati) ovvero </w:t>
      </w:r>
      <w:r w:rsidDel="00000000" w:rsidR="00000000" w:rsidRPr="00000000">
        <w:rPr>
          <w:rtl w:val="0"/>
        </w:rPr>
        <w:t xml:space="preserve">nei due esercizi precedenti la presentazione della domanda di sostegno SIAN (per gli investimenti da realizzare);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istino prezzi e/o altro documento attestante l'immissione del mezzo nel mercato da non più di 2 anni </w:t>
      </w:r>
      <w:r w:rsidDel="00000000" w:rsidR="00000000" w:rsidRPr="00000000">
        <w:rPr>
          <w:rtl w:val="0"/>
        </w:rPr>
        <w:t xml:space="preserve"> precedenti la presentazione della domanda di sostegno SIAR (per gli investimenti già realizzati) ovvero nei due anni precedenti i la presentazione della domanda di sostegno SIAN (per gli investimenti da realizzare)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 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alternativa, dichiarazione di conformità/brevetto del mezzo/attrezzatura da cui si evinca il carattere di innovazione del bene in questione.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N.B. Qualora il carattere innovativo interessasse solo parte di un investimento, deve essere specificato ed imputato il solo valore della parte innovativa.</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Denominazione File: Innovazione.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