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C0" w:rsidRPr="00FA2C66" w:rsidRDefault="00B001C0" w:rsidP="00FA2C66">
      <w:pPr>
        <w:tabs>
          <w:tab w:val="center" w:pos="2001"/>
        </w:tabs>
        <w:rPr>
          <w:color w:val="000000"/>
        </w:rPr>
      </w:pPr>
      <w:bookmarkStart w:id="0" w:name="_GoBack"/>
      <w:bookmarkEnd w:id="0"/>
    </w:p>
    <w:p w:rsidR="00B001C0" w:rsidRPr="00FA2C66" w:rsidRDefault="00B001C0" w:rsidP="00FA2C66">
      <w:pPr>
        <w:tabs>
          <w:tab w:val="center" w:pos="2001"/>
        </w:tabs>
        <w:rPr>
          <w:color w:val="000000"/>
        </w:rPr>
      </w:pPr>
    </w:p>
    <w:p w:rsidR="00B001C0" w:rsidRDefault="00B001C0" w:rsidP="00394FCC">
      <w:pPr>
        <w:widowControl w:val="0"/>
        <w:tabs>
          <w:tab w:val="right" w:pos="9070"/>
        </w:tabs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0"/>
      </w:tblGrid>
      <w:tr w:rsidR="00B001C0">
        <w:tc>
          <w:tcPr>
            <w:tcW w:w="907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01C0" w:rsidRDefault="00B001C0">
            <w:pPr>
              <w:widowControl w:val="0"/>
              <w:tabs>
                <w:tab w:val="left" w:pos="0"/>
                <w:tab w:val="left" w:pos="8505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:rsidR="00B001C0" w:rsidRDefault="00B001C0">
            <w:pPr>
              <w:widowControl w:val="0"/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  <w:r w:rsidRPr="004A4B2F"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i1025" type="#_x0000_t75" style="width:36pt;height:54pt;visibility:visible">
                  <v:imagedata r:id="rId7" o:title=""/>
                </v:shape>
              </w:pict>
            </w:r>
          </w:p>
          <w:p w:rsidR="00B001C0" w:rsidRDefault="00B001C0">
            <w:pPr>
              <w:pStyle w:val="Header"/>
              <w:tabs>
                <w:tab w:val="clear" w:pos="4535"/>
                <w:tab w:val="clear" w:pos="9070"/>
                <w:tab w:val="center" w:pos="4819"/>
                <w:tab w:val="right" w:pos="9638"/>
              </w:tabs>
              <w:spacing w:before="120"/>
              <w:jc w:val="center"/>
              <w:rPr>
                <w:rFonts w:ascii="Univers" w:hAnsi="Univers" w:cs="Univers"/>
                <w:color w:val="000000"/>
              </w:rPr>
            </w:pPr>
            <w:r>
              <w:rPr>
                <w:rFonts w:ascii="Univers" w:cs="Univers"/>
                <w:b/>
                <w:bCs/>
                <w:color w:val="000000"/>
                <w:sz w:val="40"/>
                <w:szCs w:val="40"/>
              </w:rPr>
              <w:t>Regione Umbria</w:t>
            </w:r>
          </w:p>
          <w:p w:rsidR="00B001C0" w:rsidRDefault="00B001C0">
            <w:pPr>
              <w:widowControl w:val="0"/>
              <w:jc w:val="center"/>
              <w:rPr>
                <w:rFonts w:ascii="Bodoni BT" w:hAnsi="Bodoni BT" w:cs="Bodoni BT"/>
                <w:color w:val="000000"/>
              </w:rPr>
            </w:pPr>
            <w:r>
              <w:rPr>
                <w:rFonts w:ascii="Bodoni BT" w:hAnsi="Bodoni BT" w:cs="Bodoni BT"/>
                <w:color w:val="000000"/>
              </w:rPr>
              <w:t>Giunta Regionale</w:t>
            </w:r>
          </w:p>
        </w:tc>
      </w:tr>
      <w:tr w:rsidR="00B001C0">
        <w:tc>
          <w:tcPr>
            <w:tcW w:w="907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01C0" w:rsidRDefault="00B001C0">
            <w:pPr>
              <w:widowControl w:val="0"/>
              <w:tabs>
                <w:tab w:val="left" w:pos="0"/>
                <w:tab w:val="left" w:pos="8505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B001C0">
        <w:trPr>
          <w:trHeight w:val="567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1C0" w:rsidRDefault="00B001C0">
            <w:pPr>
              <w:widowControl w:val="0"/>
              <w:tabs>
                <w:tab w:val="left" w:pos="0"/>
                <w:tab w:val="left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DIREZIONE REGIONALE RISORSA UMBRIA. FEDERALISMO, RISORSE FINANZIARIE E STRUMENTALI</w:t>
            </w:r>
          </w:p>
        </w:tc>
      </w:tr>
      <w:tr w:rsidR="00B001C0">
        <w:trPr>
          <w:trHeight w:val="567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1C0" w:rsidRDefault="00B001C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Servizio Politiche per l'innovazione, la promozione e fitosanitarie</w:t>
            </w:r>
          </w:p>
          <w:p w:rsidR="00B001C0" w:rsidRPr="00CD6D37" w:rsidRDefault="00B001C0">
            <w:pPr>
              <w:widowControl w:val="0"/>
              <w:jc w:val="center"/>
              <w:rPr>
                <w:b/>
                <w:bCs/>
              </w:rPr>
            </w:pPr>
          </w:p>
        </w:tc>
      </w:tr>
    </w:tbl>
    <w:p w:rsidR="00B001C0" w:rsidRDefault="00B001C0">
      <w:pPr>
        <w:widowControl w:val="0"/>
        <w:jc w:val="both"/>
      </w:pPr>
    </w:p>
    <w:p w:rsidR="00B001C0" w:rsidRDefault="00B001C0">
      <w:pPr>
        <w:widowControl w:val="0"/>
        <w:jc w:val="both"/>
      </w:pPr>
    </w:p>
    <w:p w:rsidR="00B001C0" w:rsidRDefault="00B001C0">
      <w:pPr>
        <w:widowControl w:val="0"/>
        <w:jc w:val="both"/>
      </w:pPr>
    </w:p>
    <w:p w:rsidR="00B001C0" w:rsidRDefault="00B001C0">
      <w:pPr>
        <w:pStyle w:val="Heading4"/>
        <w:rPr>
          <w:sz w:val="32"/>
          <w:szCs w:val="32"/>
        </w:rPr>
      </w:pPr>
      <w:r>
        <w:rPr>
          <w:sz w:val="32"/>
          <w:szCs w:val="32"/>
        </w:rPr>
        <w:t>DETERMINAZIONE DIRIGENZIALE</w:t>
      </w:r>
    </w:p>
    <w:p w:rsidR="00B001C0" w:rsidRDefault="00B001C0">
      <w:pPr>
        <w:widowControl w:val="0"/>
        <w:jc w:val="center"/>
      </w:pPr>
    </w:p>
    <w:p w:rsidR="00B001C0" w:rsidRDefault="00B001C0">
      <w:pPr>
        <w:widowControl w:val="0"/>
        <w:jc w:val="both"/>
      </w:pPr>
    </w:p>
    <w:p w:rsidR="00B001C0" w:rsidRPr="00386985" w:rsidRDefault="00B001C0">
      <w:pPr>
        <w:widowControl w:val="0"/>
        <w:jc w:val="center"/>
        <w:rPr>
          <w:b/>
          <w:bCs/>
        </w:rPr>
      </w:pPr>
      <w:r w:rsidRPr="00386985">
        <w:rPr>
          <w:b/>
          <w:bCs/>
        </w:rPr>
        <w:t>N. 2027  DEL  03/04/2015</w:t>
      </w:r>
    </w:p>
    <w:p w:rsidR="00B001C0" w:rsidRPr="00386985" w:rsidRDefault="00B001C0">
      <w:pPr>
        <w:widowControl w:val="0"/>
        <w:jc w:val="both"/>
      </w:pPr>
    </w:p>
    <w:p w:rsidR="00B001C0" w:rsidRPr="00386985" w:rsidRDefault="00B001C0">
      <w:pPr>
        <w:widowControl w:val="0"/>
        <w:ind w:left="1418" w:hanging="1418"/>
        <w:jc w:val="both"/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87"/>
        <w:gridCol w:w="7391"/>
      </w:tblGrid>
      <w:tr w:rsidR="00B001C0">
        <w:trPr>
          <w:trHeight w:val="2835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B001C0" w:rsidRDefault="00B001C0">
            <w:pPr>
              <w:widowControl w:val="0"/>
              <w:tabs>
                <w:tab w:val="left" w:pos="1418"/>
              </w:tabs>
              <w:jc w:val="both"/>
            </w:pPr>
            <w:r>
              <w:rPr>
                <w:b/>
                <w:bCs/>
              </w:rPr>
              <w:t>OGGETTO:</w:t>
            </w:r>
            <w:r>
              <w:t xml:space="preserve">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</w:tcPr>
          <w:p w:rsidR="00B001C0" w:rsidRDefault="00B001C0">
            <w:pPr>
              <w:widowControl w:val="0"/>
              <w:tabs>
                <w:tab w:val="left" w:pos="1418"/>
              </w:tabs>
              <w:jc w:val="both"/>
            </w:pPr>
            <w:r>
              <w:t>Disciplinare di produzione integrata della Regione Umbria. Sezione “Difesa fitosanitaria e controllo delle infestanti. Annualità 2014-</w:t>
            </w:r>
            <w:smartTag w:uri="urn:schemas-microsoft-com:office:smarttags" w:element="metricconverter">
              <w:smartTagPr>
                <w:attr w:name="ProductID" w:val="2015.”"/>
              </w:smartTagPr>
              <w:r>
                <w:t>2015.”</w:t>
              </w:r>
            </w:smartTag>
            <w:r>
              <w:t xml:space="preserve">  </w:t>
            </w:r>
          </w:p>
        </w:tc>
      </w:tr>
    </w:tbl>
    <w:p w:rsidR="00B001C0" w:rsidRDefault="00B001C0">
      <w:pPr>
        <w:widowControl w:val="0"/>
        <w:tabs>
          <w:tab w:val="left" w:pos="1418"/>
        </w:tabs>
        <w:ind w:left="1418" w:hanging="1418"/>
        <w:jc w:val="both"/>
      </w:pPr>
    </w:p>
    <w:p w:rsidR="00B001C0" w:rsidRDefault="00B001C0" w:rsidP="005B0901">
      <w:pPr>
        <w:widowControl w:val="0"/>
        <w:tabs>
          <w:tab w:val="left" w:pos="6521"/>
        </w:tabs>
        <w:ind w:right="142"/>
        <w:jc w:val="both"/>
      </w:pPr>
      <w:r>
        <w:rPr>
          <w:b/>
          <w:bCs/>
        </w:rPr>
        <w:t>Visto</w:t>
      </w:r>
      <w:r>
        <w:t xml:space="preserve"> il decreto legislativo 30 marzo 2001, 165 e sue successive modifiche ed integrazioni;</w:t>
      </w:r>
    </w:p>
    <w:p w:rsidR="00B001C0" w:rsidRDefault="00B001C0" w:rsidP="005B0901">
      <w:pPr>
        <w:widowControl w:val="0"/>
        <w:jc w:val="both"/>
      </w:pPr>
      <w:r>
        <w:rPr>
          <w:b/>
          <w:bCs/>
        </w:rPr>
        <w:t>Vista</w:t>
      </w:r>
      <w:r>
        <w:t xml:space="preserve"> la legge regionale 1 febbraio 2005, n. 2 e i successivi regolamenti di organizzazione, attuativi della stessa;</w:t>
      </w:r>
    </w:p>
    <w:p w:rsidR="00B001C0" w:rsidRDefault="00B001C0" w:rsidP="005B0901">
      <w:pPr>
        <w:widowControl w:val="0"/>
        <w:jc w:val="both"/>
      </w:pPr>
      <w:r>
        <w:rPr>
          <w:b/>
          <w:bCs/>
        </w:rPr>
        <w:t>Vista</w:t>
      </w:r>
      <w:r>
        <w:t xml:space="preserve"> la legge 7 agosto 1990, n. 241 e sue successive modifiche ed integrazioni;</w:t>
      </w:r>
    </w:p>
    <w:p w:rsidR="00B001C0" w:rsidRDefault="00B001C0" w:rsidP="005B0901">
      <w:pPr>
        <w:widowControl w:val="0"/>
        <w:jc w:val="both"/>
      </w:pPr>
      <w:r>
        <w:rPr>
          <w:b/>
          <w:bCs/>
        </w:rPr>
        <w:t>Vista</w:t>
      </w:r>
      <w:r>
        <w:t xml:space="preserve"> la legge regionale 9 agosto 1991, n. 21; </w:t>
      </w:r>
    </w:p>
    <w:p w:rsidR="00B001C0" w:rsidRDefault="00B001C0" w:rsidP="005B0901">
      <w:pPr>
        <w:widowControl w:val="0"/>
        <w:jc w:val="both"/>
      </w:pPr>
      <w:r>
        <w:rPr>
          <w:b/>
          <w:bCs/>
        </w:rPr>
        <w:t>Visto</w:t>
      </w:r>
      <w:r>
        <w:t xml:space="preserve"> il Regolamento interno di questa Giunta;</w:t>
      </w:r>
    </w:p>
    <w:p w:rsidR="00B001C0" w:rsidRDefault="00B001C0" w:rsidP="00846632">
      <w:pPr>
        <w:widowControl w:val="0"/>
        <w:jc w:val="both"/>
      </w:pPr>
      <w:r>
        <w:rPr>
          <w:b/>
        </w:rPr>
        <w:t>Vista</w:t>
      </w:r>
      <w:r>
        <w:t xml:space="preserve"> la DGR 1689 del 15/12/14 con cui tra l’altro viene nominato dirigente del Servizio Fitosanitario Regionale il dr. Giuliano Polenzani;</w:t>
      </w:r>
    </w:p>
    <w:p w:rsidR="00B001C0" w:rsidRDefault="00B001C0" w:rsidP="00846632">
      <w:pPr>
        <w:widowControl w:val="0"/>
        <w:jc w:val="both"/>
      </w:pPr>
      <w:r>
        <w:rPr>
          <w:b/>
          <w:bCs/>
        </w:rPr>
        <w:t xml:space="preserve">Rilevato </w:t>
      </w:r>
      <w:r>
        <w:t xml:space="preserve">che i disciplinari di produzione integrata, articolati nelle sezioni </w:t>
      </w:r>
      <w:r w:rsidRPr="000C63F6">
        <w:t>pratiche agronomiche</w:t>
      </w:r>
      <w:r>
        <w:t xml:space="preserve"> e </w:t>
      </w:r>
      <w:r w:rsidRPr="000C63F6">
        <w:t>difesa fitosanitaria delle colture</w:t>
      </w:r>
      <w:r>
        <w:t>,  sono redatti sulla base delle Linee Guida Nazionali Produzione Integrata, consultabili sul sito della rete rurale (www.reterurale.it)  e  costituiscono il riferimento regionale per:</w:t>
      </w:r>
    </w:p>
    <w:p w:rsidR="00B001C0" w:rsidRDefault="00B001C0" w:rsidP="00846632">
      <w:pPr>
        <w:widowControl w:val="0"/>
        <w:jc w:val="both"/>
      </w:pPr>
      <w:r>
        <w:t>-</w:t>
      </w:r>
      <w:r w:rsidRPr="000C63F6">
        <w:t xml:space="preserve"> </w:t>
      </w:r>
      <w:r>
        <w:t>gli adempimenti previsti dalla misura 10 – operazione “agricoltura integrata” del Programma di Sviluppo Rurale 2014 – 2020 ai sensi del Reg. UE n. 1305/2013</w:t>
      </w:r>
    </w:p>
    <w:p w:rsidR="00B001C0" w:rsidRDefault="00B001C0" w:rsidP="00846632">
      <w:pPr>
        <w:widowControl w:val="0"/>
        <w:jc w:val="both"/>
      </w:pPr>
      <w:r>
        <w:t>-l’adesione al Sistema di Qualità Nazionale Produzione Integrata (SQNPI) istituito con la Legge n. 4 del 3 febbraio 2011.</w:t>
      </w:r>
    </w:p>
    <w:p w:rsidR="00B001C0" w:rsidRDefault="00B001C0" w:rsidP="00846632">
      <w:pPr>
        <w:widowControl w:val="0"/>
        <w:jc w:val="both"/>
      </w:pPr>
      <w:r>
        <w:t>La loro applicazione può essere prevista o per l’intera azienda , nel caso di adesione all’operazione “agricoltura integrata” del PSR o anche per singole colture nel caso di adesione al SQNPI.</w:t>
      </w:r>
    </w:p>
    <w:p w:rsidR="00B001C0" w:rsidRDefault="00B001C0" w:rsidP="00846632">
      <w:pPr>
        <w:widowControl w:val="0"/>
        <w:jc w:val="both"/>
      </w:pPr>
      <w:r>
        <w:t xml:space="preserve"> </w:t>
      </w:r>
    </w:p>
    <w:p w:rsidR="00B001C0" w:rsidRDefault="00B001C0" w:rsidP="00846632">
      <w:pPr>
        <w:widowControl w:val="0"/>
        <w:jc w:val="both"/>
      </w:pPr>
      <w:r>
        <w:rPr>
          <w:b/>
          <w:bCs/>
        </w:rPr>
        <w:t>Preso atto</w:t>
      </w:r>
      <w:r>
        <w:t xml:space="preserve"> che i beneficiari delle relative misure del PSR hanno  l’ obbligo di rispettare sulle superfici a vincolo, le norme tecniche e comportamentali previsti dai disciplinari di produzione integrata della Regione Umbria (DPI), nonché l’ obbligo di adeguarsi, durante tutto il periodo vincolativo, alle nuove disposizioni e/o modifiche conseguenti gli aggiornamenti che l’Amministrazione regionale riterrà opportuno apportare ai disciplinari stessi.</w:t>
      </w:r>
    </w:p>
    <w:p w:rsidR="00B001C0" w:rsidRDefault="00B001C0" w:rsidP="00846632">
      <w:pPr>
        <w:widowControl w:val="0"/>
        <w:jc w:val="both"/>
      </w:pPr>
      <w:r>
        <w:rPr>
          <w:b/>
          <w:bCs/>
        </w:rPr>
        <w:t xml:space="preserve">Atteso </w:t>
      </w:r>
      <w:r>
        <w:t>che il Gruppo  Difesa Integrata  (G.D.I.) , quale gruppo specialistico dell’Organismo tecnico scientifico –OTS- istituito con DM 4890 dell’ 08 maggio 2014, nella riunione del  15.12.2014, ha espresso parere favorevole  in ordine alla conformità del disciplinare proposto per l’anno 2014-2015 da parte dell’attuale Servizio Politiche per l’ Innovazione e Fitosanitarie così come allegato al presente provvedimento per farne parte integrante e sostanziale – allegato A);</w:t>
      </w:r>
    </w:p>
    <w:p w:rsidR="00B001C0" w:rsidRDefault="00B001C0" w:rsidP="00846632">
      <w:pPr>
        <w:widowControl w:val="0"/>
        <w:jc w:val="both"/>
      </w:pPr>
      <w:r w:rsidRPr="00773FD3">
        <w:rPr>
          <w:b/>
        </w:rPr>
        <w:t xml:space="preserve">Ravvisata </w:t>
      </w:r>
      <w:r>
        <w:rPr>
          <w:b/>
        </w:rPr>
        <w:t xml:space="preserve"> </w:t>
      </w:r>
      <w:r w:rsidRPr="00773FD3">
        <w:t>la necessità</w:t>
      </w:r>
      <w:r>
        <w:t>,</w:t>
      </w:r>
      <w:r w:rsidRPr="00165CED">
        <w:t xml:space="preserve"> </w:t>
      </w:r>
      <w:r>
        <w:t>come riportato nelle  relative Linee guida nazionali, di apportare modifiche nel disciplinare di difesa integrata valido per la campagna 2014-2015 :</w:t>
      </w:r>
    </w:p>
    <w:p w:rsidR="00B001C0" w:rsidRDefault="00B001C0" w:rsidP="00846632">
      <w:pPr>
        <w:widowControl w:val="0"/>
        <w:jc w:val="both"/>
      </w:pPr>
      <w:r>
        <w:t>- la disciplina dell’ utilizzo degli acaricidi;</w:t>
      </w:r>
    </w:p>
    <w:p w:rsidR="00B001C0" w:rsidRDefault="00B001C0" w:rsidP="00846632">
      <w:pPr>
        <w:widowControl w:val="0"/>
        <w:jc w:val="both"/>
      </w:pPr>
      <w:r>
        <w:t xml:space="preserve">-sulla coltura della vite per il controllo della peronospora alla colonna “Note e limitazioni” –Nota (3) si aggiunge “ </w:t>
      </w:r>
      <w:r w:rsidRPr="00442CB4">
        <w:t>con CAA</w:t>
      </w:r>
      <w:r>
        <w:t>”</w:t>
      </w:r>
    </w:p>
    <w:p w:rsidR="00B001C0" w:rsidRDefault="00B001C0" w:rsidP="00846632">
      <w:pPr>
        <w:widowControl w:val="0"/>
        <w:jc w:val="both"/>
      </w:pPr>
      <w:r>
        <w:t>- sulla coltura della cipolla da seme relativamente al diserbo in pre-emergenza è eliminato il Clortal dimetile in quanto revocato;</w:t>
      </w:r>
    </w:p>
    <w:p w:rsidR="00B001C0" w:rsidRDefault="00B001C0" w:rsidP="00846632">
      <w:pPr>
        <w:widowControl w:val="0"/>
        <w:jc w:val="both"/>
      </w:pPr>
      <w:r>
        <w:t>-sulla coltura della fragola è esluso il fenamifos (2) con relativa nota (2) dall’avversità nematodi galligeni in quanto revocato;</w:t>
      </w:r>
    </w:p>
    <w:p w:rsidR="00B001C0" w:rsidRDefault="00B001C0" w:rsidP="00846632">
      <w:pPr>
        <w:widowControl w:val="0"/>
        <w:jc w:val="both"/>
      </w:pPr>
      <w:r>
        <w:t>- unificate le schede di diserbo del frumento tenero e duro;</w:t>
      </w:r>
    </w:p>
    <w:p w:rsidR="00B001C0" w:rsidRDefault="00B001C0" w:rsidP="00846632">
      <w:pPr>
        <w:widowControl w:val="0"/>
        <w:jc w:val="both"/>
      </w:pPr>
      <w:r>
        <w:t>-unificate le schede di difesa di pisello e pisello proteico  e aggiunta per il controllo del mal bianco della s. a. penconazolo con le relative limitazioni riportate nelle Linee Guida nazionali;</w:t>
      </w:r>
    </w:p>
    <w:p w:rsidR="00B001C0" w:rsidRDefault="00B001C0" w:rsidP="00846632">
      <w:pPr>
        <w:widowControl w:val="0"/>
        <w:jc w:val="both"/>
      </w:pPr>
      <w:r>
        <w:t>-Inserimento dell’avversità Nottue fogliari per la coltura del fagiolo;</w:t>
      </w:r>
    </w:p>
    <w:p w:rsidR="00B001C0" w:rsidRDefault="00B001C0" w:rsidP="00846632">
      <w:pPr>
        <w:widowControl w:val="0"/>
        <w:jc w:val="both"/>
      </w:pPr>
      <w:r>
        <w:t>- per la coltura del pero e per l’avversità della cocciniglia di S. José alla Nota 3 “ Al massimo 4 interventi invece di 6 con clorpirifos metile, clorpirifos etile e fosmet”;</w:t>
      </w:r>
    </w:p>
    <w:p w:rsidR="00B001C0" w:rsidRDefault="00B001C0" w:rsidP="00846632">
      <w:pPr>
        <w:widowControl w:val="0"/>
        <w:jc w:val="both"/>
      </w:pPr>
      <w:r>
        <w:t>- per la coltura del cece tolta la s.a. aclonifen;</w:t>
      </w:r>
    </w:p>
    <w:p w:rsidR="00B001C0" w:rsidRDefault="00B001C0" w:rsidP="00846632">
      <w:pPr>
        <w:widowControl w:val="0"/>
        <w:jc w:val="both"/>
      </w:pPr>
      <w:r>
        <w:t>-per la coltura del mais relativamente all’ avversità degli elateridi si aggiunge ” L’uso dei geodisinfestanti è in alternativa ai semi conciati “;</w:t>
      </w:r>
    </w:p>
    <w:p w:rsidR="00B001C0" w:rsidRDefault="00B001C0" w:rsidP="00846632">
      <w:pPr>
        <w:widowControl w:val="0"/>
        <w:jc w:val="both"/>
      </w:pPr>
      <w:r>
        <w:t>-per la coltura del cece si aggiunge in pre-semina il diserbo  per il controllo di graminacee e dicotiledoni con glifosate %  p.a. 30,4 , Dose l o Kg\ha 1,5-3;</w:t>
      </w:r>
    </w:p>
    <w:p w:rsidR="00B001C0" w:rsidRDefault="00B001C0" w:rsidP="00846632">
      <w:pPr>
        <w:widowControl w:val="0"/>
        <w:jc w:val="both"/>
      </w:pPr>
      <w:r>
        <w:t>-adeguamento diserbo favino alle LGN;</w:t>
      </w:r>
    </w:p>
    <w:p w:rsidR="00B001C0" w:rsidRDefault="00B001C0" w:rsidP="00846632">
      <w:pPr>
        <w:widowControl w:val="0"/>
        <w:jc w:val="both"/>
      </w:pPr>
      <w:r>
        <w:t xml:space="preserve">-inserimento avversità Moscerino dei piccoli frutti </w:t>
      </w:r>
      <w:r w:rsidRPr="00CA6BC0">
        <w:rPr>
          <w:i/>
        </w:rPr>
        <w:t>Drosophila Suzukii</w:t>
      </w:r>
      <w:r>
        <w:t xml:space="preserve"> per la coltura del ciliegio;</w:t>
      </w:r>
    </w:p>
    <w:p w:rsidR="00B001C0" w:rsidRDefault="00B001C0" w:rsidP="00846632">
      <w:pPr>
        <w:widowControl w:val="0"/>
        <w:jc w:val="both"/>
      </w:pPr>
      <w:r>
        <w:t>-Al paragrafo 4 . Prescrizioni a carattere generale  del Capitolo Indicazioni e Norme generali si inserisce la nota:</w:t>
      </w:r>
    </w:p>
    <w:p w:rsidR="00B001C0" w:rsidRPr="00401D16" w:rsidRDefault="00B001C0" w:rsidP="00846632">
      <w:pPr>
        <w:widowControl w:val="0"/>
        <w:jc w:val="both"/>
      </w:pPr>
      <w:r w:rsidRPr="00401D16">
        <w:t>I numeri riportati a fianco di alcuni prodotti, nella colonna “ S.a. e ausiliari”, indicano il corrispondente numero della nota, riportata nella colonna “ Limitazioni d’uso e note”, da riferirsi a quello specifico prodotto.</w:t>
      </w:r>
    </w:p>
    <w:p w:rsidR="00B001C0" w:rsidRDefault="00B001C0" w:rsidP="008466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</w:pPr>
      <w:r>
        <w:t>Quando lo stesso numero è riportato a fianco di più s.a., la limitazione d’uso si riferisce al numero complessivo di trattamenti realizzabili con tutti i prodotti indicati. Il loro impiego deve quindi considerarsi alternativo;</w:t>
      </w:r>
    </w:p>
    <w:p w:rsidR="00B001C0" w:rsidRDefault="00B001C0" w:rsidP="00846632">
      <w:pPr>
        <w:numPr>
          <w:ilvl w:val="2"/>
          <w:numId w:val="12"/>
        </w:numPr>
        <w:tabs>
          <w:tab w:val="clear" w:pos="2340"/>
        </w:tabs>
        <w:autoSpaceDE/>
        <w:autoSpaceDN/>
        <w:ind w:left="180" w:hanging="180"/>
        <w:jc w:val="both"/>
      </w:pPr>
      <w:r w:rsidRPr="00401D16">
        <w:t xml:space="preserve"> </w:t>
      </w:r>
      <w:r>
        <w:t>Al paragrafo 4 . Prescrizioni a carattere generale  del Capitolo Indicazioni e Norme generali, è eliminata la frase “ :</w:t>
      </w:r>
      <w:r w:rsidRPr="009328F5">
        <w:t xml:space="preserve"> </w:t>
      </w:r>
      <w:r w:rsidRPr="00FF2F5C">
        <w:t>Qualora durante l’annata agraria fossero registrati nuovi formulati commerciali, non classificati come T+, T,  il S</w:t>
      </w:r>
      <w:r>
        <w:t>ervizio tecnico agronomico</w:t>
      </w:r>
      <w:r w:rsidRPr="00FF2F5C">
        <w:t xml:space="preserve"> potrà autorizzarne l’impiego, fatto salvo il successivo inserimento degli stessi formulati nelle norme tecniche, da parte del Comitato Regionale, al momento dell’aggiornamento annuale</w:t>
      </w:r>
      <w:r>
        <w:t>;</w:t>
      </w:r>
    </w:p>
    <w:p w:rsidR="00B001C0" w:rsidRPr="00FF2F5C" w:rsidRDefault="00B001C0" w:rsidP="00846632">
      <w:pPr>
        <w:numPr>
          <w:ilvl w:val="2"/>
          <w:numId w:val="12"/>
        </w:numPr>
        <w:tabs>
          <w:tab w:val="clear" w:pos="2340"/>
        </w:tabs>
        <w:autoSpaceDE/>
        <w:autoSpaceDN/>
        <w:ind w:left="180" w:hanging="180"/>
        <w:jc w:val="both"/>
      </w:pPr>
      <w:r>
        <w:t>Al paragrafo 4 . Prescrizioni a carattere generale  del Capitolo Indicazioni e Norme generali, il punto “ Devono essere escluse le polveri bagnabili ecc…” è modificato in “ Si consiglia di escludere ecc……”</w:t>
      </w:r>
    </w:p>
    <w:p w:rsidR="00B001C0" w:rsidRDefault="00B001C0" w:rsidP="00846632">
      <w:pPr>
        <w:widowControl w:val="0"/>
        <w:jc w:val="both"/>
      </w:pPr>
      <w:r>
        <w:rPr>
          <w:b/>
          <w:bCs/>
        </w:rPr>
        <w:t xml:space="preserve">Considerato che </w:t>
      </w:r>
      <w:r>
        <w:t>con la  sottoscrizione del presente atto se ne attesta la legittimità</w:t>
      </w:r>
    </w:p>
    <w:p w:rsidR="00B001C0" w:rsidRDefault="00B001C0" w:rsidP="005B0901">
      <w:pPr>
        <w:widowControl w:val="0"/>
        <w:spacing w:before="60"/>
        <w:jc w:val="center"/>
      </w:pPr>
    </w:p>
    <w:p w:rsidR="00B001C0" w:rsidRDefault="00B001C0" w:rsidP="005B0901">
      <w:pPr>
        <w:widowControl w:val="0"/>
        <w:spacing w:before="60"/>
        <w:jc w:val="center"/>
        <w:rPr>
          <w:b/>
          <w:bCs/>
        </w:rPr>
      </w:pPr>
      <w:r>
        <w:rPr>
          <w:b/>
          <w:bCs/>
        </w:rPr>
        <w:t>Il Dirigente</w:t>
      </w:r>
    </w:p>
    <w:p w:rsidR="00B001C0" w:rsidRDefault="00B001C0" w:rsidP="005B0901">
      <w:pPr>
        <w:widowControl w:val="0"/>
        <w:jc w:val="center"/>
        <w:rPr>
          <w:b/>
          <w:bCs/>
        </w:rPr>
      </w:pPr>
      <w:r>
        <w:rPr>
          <w:b/>
          <w:bCs/>
        </w:rPr>
        <w:t>D E T E R M I N A</w:t>
      </w:r>
    </w:p>
    <w:p w:rsidR="00B001C0" w:rsidRDefault="00B001C0" w:rsidP="005B0901">
      <w:pPr>
        <w:widowControl w:val="0"/>
        <w:jc w:val="center"/>
        <w:rPr>
          <w:b/>
          <w:bCs/>
        </w:rPr>
      </w:pPr>
    </w:p>
    <w:p w:rsidR="00B001C0" w:rsidRDefault="00B001C0" w:rsidP="00846632">
      <w:pPr>
        <w:widowControl w:val="0"/>
        <w:tabs>
          <w:tab w:val="left" w:pos="1418"/>
        </w:tabs>
        <w:jc w:val="both"/>
      </w:pPr>
      <w:r>
        <w:t>1) di approvare, per quanto in premessa indicato, il Disciplinare di produzione integrata della Regione Umbria. Sezione “Difesa fitosanitaria e controllo delle infestanti. Annualità 2014-</w:t>
      </w:r>
      <w:smartTag w:uri="urn:schemas-microsoft-com:office:smarttags" w:element="metricconverter">
        <w:smartTagPr>
          <w:attr w:name="ProductID" w:val="2015.”"/>
        </w:smartTagPr>
        <w:r>
          <w:t>2015.”</w:t>
        </w:r>
      </w:smartTag>
      <w:r>
        <w:t xml:space="preserve"> così come riportato  nell’ allegato A), che si unisce al presente atto per formarne parte integrante e sostanziale;</w:t>
      </w:r>
    </w:p>
    <w:p w:rsidR="00B001C0" w:rsidRDefault="00B001C0" w:rsidP="00846632">
      <w:pPr>
        <w:widowControl w:val="0"/>
        <w:jc w:val="both"/>
      </w:pPr>
      <w:r>
        <w:t>2) di stabilire che l’ applicazione dei disciplinari di cui al punto 1) decorre dal giorno successivo a quello della data di pubblicazione del presente provvedimento nel Bollettino Ufficiale della Regione e che i predetti disciplinari sono sostitutivi di tutti quelli precedentemente pubblicati;</w:t>
      </w:r>
    </w:p>
    <w:p w:rsidR="00B001C0" w:rsidRDefault="00B001C0" w:rsidP="00846632">
      <w:pPr>
        <w:widowControl w:val="0"/>
        <w:jc w:val="both"/>
      </w:pPr>
      <w:r>
        <w:t xml:space="preserve"> 3) di consentire l’utilizzo dei prodotti fitosanitari contenenti sostanze attive, non più ammesse a seguito della revisione dei rispettivi disciplinari, fino al termine dell’ annata agraria 2014/2015 (10/11/2015), a condizione che l’ acquisto sia avvenuto antecedentemente alla data di pubblicazione del presente atto;</w:t>
      </w:r>
    </w:p>
    <w:p w:rsidR="00B001C0" w:rsidRDefault="00B001C0" w:rsidP="00846632">
      <w:pPr>
        <w:widowControl w:val="0"/>
        <w:jc w:val="both"/>
      </w:pPr>
      <w:r>
        <w:t>4) di disporre la pubblicazione del presente atto nel Bollettino Ufficiale della Regione      Umbria  e sul sito Internet della Regione Umbria nella parte riguardante il Servizio fitosanitario regionale dell’ area tematica Agricoltura;</w:t>
      </w:r>
    </w:p>
    <w:p w:rsidR="00B001C0" w:rsidRDefault="00B001C0" w:rsidP="00846632">
      <w:pPr>
        <w:widowControl w:val="0"/>
        <w:jc w:val="both"/>
      </w:pPr>
      <w:r>
        <w:t>5) di dichiarare che l'atto è immediatamente efficace.</w:t>
      </w:r>
    </w:p>
    <w:p w:rsidR="00B001C0" w:rsidRDefault="00B001C0" w:rsidP="005B0901">
      <w:pPr>
        <w:widowControl w:val="0"/>
        <w:jc w:val="center"/>
      </w:pPr>
    </w:p>
    <w:p w:rsidR="00B001C0" w:rsidRDefault="00B001C0" w:rsidP="005B0901">
      <w:pPr>
        <w:widowControl w:val="0"/>
        <w:spacing w:before="60"/>
        <w:jc w:val="center"/>
      </w:pPr>
    </w:p>
    <w:p w:rsidR="00B001C0" w:rsidRDefault="00B001C0" w:rsidP="005B0901">
      <w:pPr>
        <w:widowControl w:val="0"/>
        <w:jc w:val="both"/>
      </w:pPr>
    </w:p>
    <w:p w:rsidR="00B001C0" w:rsidRPr="00B84C3E" w:rsidRDefault="00B001C0" w:rsidP="00FA2C66">
      <w:pPr>
        <w:tabs>
          <w:tab w:val="center" w:pos="2001"/>
        </w:tabs>
        <w:rPr>
          <w:color w:val="000000"/>
        </w:rPr>
      </w:pPr>
    </w:p>
    <w:p w:rsidR="00B001C0" w:rsidRPr="00FA2C66" w:rsidRDefault="00B001C0" w:rsidP="00FA2C66">
      <w:pPr>
        <w:tabs>
          <w:tab w:val="center" w:pos="2001"/>
        </w:tabs>
        <w:rPr>
          <w:color w:val="000000"/>
        </w:rPr>
      </w:pPr>
    </w:p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344"/>
        <w:gridCol w:w="6728"/>
      </w:tblGrid>
      <w:tr w:rsidR="00B001C0">
        <w:trPr>
          <w:trHeight w:val="454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001C0" w:rsidRPr="00B56F50" w:rsidRDefault="00B001C0">
            <w:pPr>
              <w:tabs>
                <w:tab w:val="center" w:pos="2001"/>
              </w:tabs>
              <w:rPr>
                <w:color w:val="000000"/>
              </w:rPr>
            </w:pPr>
            <w:r w:rsidRPr="004D657E">
              <w:rPr>
                <w:color w:val="000000"/>
              </w:rPr>
              <w:t>Perugia</w:t>
            </w:r>
            <w:r>
              <w:rPr>
                <w:color w:val="000000"/>
              </w:rPr>
              <w:t xml:space="preserve"> lì </w:t>
            </w:r>
            <w:r w:rsidRPr="00B56F50">
              <w:rPr>
                <w:color w:val="000000"/>
              </w:rPr>
              <w:t>03/04/2015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001C0" w:rsidRDefault="00B001C0">
            <w:pPr>
              <w:tabs>
                <w:tab w:val="center" w:pos="2268"/>
                <w:tab w:val="center" w:pos="7655"/>
              </w:tabs>
              <w:jc w:val="center"/>
            </w:pPr>
            <w:r>
              <w:t>L’Istruttore</w:t>
            </w:r>
          </w:p>
          <w:p w:rsidR="00B001C0" w:rsidRPr="00B56F50" w:rsidRDefault="00B001C0">
            <w:pPr>
              <w:tabs>
                <w:tab w:val="center" w:pos="2268"/>
                <w:tab w:val="center" w:pos="7655"/>
              </w:tabs>
              <w:jc w:val="center"/>
            </w:pPr>
            <w:r w:rsidRPr="00B56F50">
              <w:t>Giovanni Natalini</w:t>
            </w:r>
          </w:p>
        </w:tc>
      </w:tr>
      <w:tr w:rsidR="00B001C0">
        <w:trPr>
          <w:trHeight w:val="454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001C0" w:rsidRDefault="00B001C0">
            <w:pPr>
              <w:tabs>
                <w:tab w:val="left" w:pos="5812"/>
              </w:tabs>
              <w:ind w:right="142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001C0" w:rsidRPr="00CC7C3F" w:rsidRDefault="00B00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Istruttoria firmata </w:t>
            </w:r>
            <w:r w:rsidRPr="00CC7C3F">
              <w:rPr>
                <w:sz w:val="18"/>
                <w:szCs w:val="18"/>
              </w:rPr>
              <w:t xml:space="preserve"> ai sensi dell’ art. 23-ter del Codice dell’Amministrazione digitale</w:t>
            </w:r>
          </w:p>
        </w:tc>
      </w:tr>
    </w:tbl>
    <w:p w:rsidR="00B001C0" w:rsidRDefault="00B001C0"/>
    <w:p w:rsidR="00B001C0" w:rsidRPr="00745AC1" w:rsidRDefault="00B001C0" w:rsidP="00FA2C66">
      <w:pPr>
        <w:tabs>
          <w:tab w:val="center" w:pos="2001"/>
        </w:tabs>
        <w:rPr>
          <w:color w:val="000000"/>
        </w:rPr>
      </w:pPr>
    </w:p>
    <w:p w:rsidR="00B001C0" w:rsidRPr="00DE1922" w:rsidRDefault="00B001C0" w:rsidP="00FA2C66">
      <w:pPr>
        <w:tabs>
          <w:tab w:val="center" w:pos="2001"/>
        </w:tabs>
        <w:rPr>
          <w:color w:val="000000"/>
        </w:rPr>
      </w:pPr>
    </w:p>
    <w:tbl>
      <w:tblPr>
        <w:tblW w:w="909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431"/>
        <w:gridCol w:w="6661"/>
      </w:tblGrid>
      <w:tr w:rsidR="00B001C0">
        <w:trPr>
          <w:trHeight w:val="454"/>
          <w:jc w:val="center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B001C0" w:rsidRPr="00DE1922" w:rsidRDefault="00B001C0">
            <w:pPr>
              <w:tabs>
                <w:tab w:val="center" w:pos="2001"/>
              </w:tabs>
              <w:rPr>
                <w:color w:val="000000"/>
              </w:rPr>
            </w:pPr>
            <w:r w:rsidRPr="00886356">
              <w:rPr>
                <w:color w:val="000000"/>
              </w:rPr>
              <w:t>Perugia</w:t>
            </w:r>
            <w:r>
              <w:rPr>
                <w:color w:val="000000"/>
              </w:rPr>
              <w:t xml:space="preserve"> lì </w:t>
            </w:r>
            <w:r w:rsidRPr="00DE1922">
              <w:rPr>
                <w:color w:val="000000"/>
              </w:rPr>
              <w:t>03/04/2015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1C0" w:rsidRDefault="00B001C0" w:rsidP="00061E2D">
            <w:pPr>
              <w:widowControl w:val="0"/>
              <w:tabs>
                <w:tab w:val="center" w:pos="1418"/>
                <w:tab w:val="center" w:pos="7655"/>
              </w:tabs>
              <w:jc w:val="center"/>
            </w:pPr>
            <w:r>
              <w:t>Si attesta la regolarità tecnica e amministrativa</w:t>
            </w:r>
          </w:p>
          <w:p w:rsidR="00B001C0" w:rsidRDefault="00B001C0" w:rsidP="00061E2D">
            <w:pPr>
              <w:tabs>
                <w:tab w:val="center" w:pos="2268"/>
                <w:tab w:val="center" w:pos="7655"/>
              </w:tabs>
              <w:jc w:val="center"/>
            </w:pPr>
            <w:r>
              <w:t>Il Responsabile</w:t>
            </w:r>
          </w:p>
          <w:p w:rsidR="00B001C0" w:rsidRPr="00DE1922" w:rsidRDefault="00B001C0" w:rsidP="00061E2D">
            <w:pPr>
              <w:tabs>
                <w:tab w:val="center" w:pos="2268"/>
                <w:tab w:val="center" w:pos="7655"/>
              </w:tabs>
              <w:jc w:val="center"/>
            </w:pPr>
            <w:r w:rsidRPr="00DE1922">
              <w:t>Giovanni Natalini</w:t>
            </w:r>
          </w:p>
        </w:tc>
      </w:tr>
      <w:tr w:rsidR="00B001C0" w:rsidTr="007A6D08">
        <w:trPr>
          <w:trHeight w:val="454"/>
          <w:jc w:val="center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1C0" w:rsidRDefault="00B001C0" w:rsidP="0068217C">
            <w:pPr>
              <w:tabs>
                <w:tab w:val="left" w:pos="5812"/>
              </w:tabs>
              <w:ind w:right="142"/>
              <w:jc w:val="center"/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</w:tcPr>
          <w:p w:rsidR="00B001C0" w:rsidRPr="00CC7C3F" w:rsidRDefault="00B001C0" w:rsidP="007A6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Parere apposto ai sensi </w:t>
            </w:r>
            <w:r w:rsidRPr="00CC7C3F">
              <w:rPr>
                <w:sz w:val="18"/>
                <w:szCs w:val="18"/>
              </w:rPr>
              <w:t>dell’ art. 23-ter del Codice dell’Amministrazione digitale</w:t>
            </w:r>
          </w:p>
        </w:tc>
      </w:tr>
    </w:tbl>
    <w:p w:rsidR="00B001C0" w:rsidRDefault="00B001C0"/>
    <w:p w:rsidR="00B001C0" w:rsidRDefault="00B001C0">
      <w:pPr>
        <w:autoSpaceDE/>
        <w:autoSpaceDN/>
      </w:pPr>
    </w:p>
    <w:p w:rsidR="00B001C0" w:rsidRDefault="00B001C0">
      <w:pPr>
        <w:autoSpaceDE/>
        <w:autoSpaceDN/>
      </w:pPr>
    </w:p>
    <w:p w:rsidR="00B001C0" w:rsidRPr="00BF586F" w:rsidRDefault="00B001C0">
      <w:pPr>
        <w:autoSpaceDE/>
        <w:autoSpaceDN/>
      </w:pPr>
      <w:r w:rsidRPr="00BF586F">
        <w:t xml:space="preserve"> </w:t>
      </w:r>
    </w:p>
    <w:p w:rsidR="00B001C0" w:rsidRPr="00FA2C66" w:rsidRDefault="00B001C0" w:rsidP="00BC137C">
      <w:pPr>
        <w:tabs>
          <w:tab w:val="center" w:pos="2001"/>
        </w:tabs>
        <w:autoSpaceDE/>
        <w:autoSpaceDN/>
        <w:rPr>
          <w:color w:val="000000"/>
        </w:rPr>
      </w:pPr>
    </w:p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344"/>
        <w:gridCol w:w="6728"/>
      </w:tblGrid>
      <w:tr w:rsidR="00B001C0">
        <w:trPr>
          <w:trHeight w:val="454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001C0" w:rsidRPr="00BC137C" w:rsidRDefault="00B001C0" w:rsidP="008E0E29">
            <w:pPr>
              <w:tabs>
                <w:tab w:val="center" w:pos="2001"/>
              </w:tabs>
              <w:autoSpaceDE/>
              <w:autoSpaceDN/>
              <w:rPr>
                <w:color w:val="000000"/>
              </w:rPr>
            </w:pPr>
            <w:r w:rsidRPr="00ED2337">
              <w:rPr>
                <w:color w:val="000000"/>
              </w:rPr>
              <w:t>Perugia</w:t>
            </w:r>
            <w:r>
              <w:rPr>
                <w:color w:val="000000"/>
              </w:rPr>
              <w:t xml:space="preserve"> lì </w:t>
            </w:r>
            <w:r w:rsidRPr="00BC137C">
              <w:rPr>
                <w:color w:val="000000"/>
              </w:rPr>
              <w:t>03/04/2015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001C0" w:rsidRPr="003B31E1" w:rsidRDefault="00B001C0" w:rsidP="008E0E29">
            <w:pPr>
              <w:tabs>
                <w:tab w:val="center" w:pos="2268"/>
                <w:tab w:val="center" w:pos="7655"/>
              </w:tabs>
              <w:autoSpaceDE/>
              <w:autoSpaceDN/>
              <w:jc w:val="center"/>
            </w:pPr>
            <w:r>
              <w:t xml:space="preserve">Il </w:t>
            </w:r>
            <w:r w:rsidRPr="00ED2337">
              <w:t>Dirigente</w:t>
            </w:r>
            <w:r>
              <w:t xml:space="preserve"> </w:t>
            </w:r>
          </w:p>
          <w:p w:rsidR="00B001C0" w:rsidRPr="006D40AD" w:rsidRDefault="00B001C0" w:rsidP="008E0E29">
            <w:pPr>
              <w:tabs>
                <w:tab w:val="center" w:pos="2268"/>
                <w:tab w:val="center" w:pos="7655"/>
              </w:tabs>
              <w:autoSpaceDE/>
              <w:autoSpaceDN/>
              <w:jc w:val="center"/>
            </w:pPr>
            <w:r w:rsidRPr="00415FCC">
              <w:t>Giuliano Polenzani</w:t>
            </w:r>
          </w:p>
        </w:tc>
      </w:tr>
      <w:tr w:rsidR="00B001C0">
        <w:trPr>
          <w:trHeight w:val="454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001C0" w:rsidRDefault="00B001C0" w:rsidP="008E0E29">
            <w:pPr>
              <w:tabs>
                <w:tab w:val="left" w:pos="5812"/>
              </w:tabs>
              <w:autoSpaceDE/>
              <w:autoSpaceDN/>
              <w:ind w:right="142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001C0" w:rsidRPr="00032A7D" w:rsidRDefault="00B001C0" w:rsidP="008E0E2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032A7D">
              <w:rPr>
                <w:sz w:val="16"/>
                <w:szCs w:val="16"/>
              </w:rPr>
              <w:t>Documento firmato digitalmente ai sensi del d.l.g.s. 7 marzo 2005, n.82, art. 2</w:t>
            </w:r>
            <w:r>
              <w:rPr>
                <w:sz w:val="16"/>
                <w:szCs w:val="16"/>
              </w:rPr>
              <w:t>1</w:t>
            </w:r>
            <w:r w:rsidRPr="00032A7D">
              <w:rPr>
                <w:sz w:val="16"/>
                <w:szCs w:val="16"/>
              </w:rPr>
              <w:t xml:space="preserve"> comma 2</w:t>
            </w:r>
          </w:p>
        </w:tc>
      </w:tr>
    </w:tbl>
    <w:p w:rsidR="00B001C0" w:rsidRDefault="00B001C0" w:rsidP="00BC137C">
      <w:pPr>
        <w:autoSpaceDE/>
        <w:autoSpaceDN/>
      </w:pPr>
    </w:p>
    <w:p w:rsidR="00B001C0" w:rsidRPr="00860AA3" w:rsidRDefault="00B001C0">
      <w:pPr>
        <w:autoSpaceDE/>
        <w:autoSpaceDN/>
      </w:pPr>
    </w:p>
    <w:sectPr w:rsidR="00B001C0" w:rsidRPr="00860AA3" w:rsidSect="00782A3F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1C0" w:rsidRDefault="00B001C0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001C0" w:rsidRDefault="00B001C0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ni BT">
    <w:altName w:val="Modern No. 20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1C0" w:rsidRDefault="00B001C0">
    <w:pPr>
      <w:pStyle w:val="Footer"/>
      <w:tabs>
        <w:tab w:val="left" w:pos="2552"/>
      </w:tabs>
      <w:rPr>
        <w:sz w:val="16"/>
        <w:szCs w:val="16"/>
      </w:rPr>
    </w:pPr>
    <w:r>
      <w:rPr>
        <w:sz w:val="16"/>
        <w:szCs w:val="16"/>
      </w:rPr>
      <w:t>segue atto n. 2027</w:t>
    </w:r>
    <w:r>
      <w:rPr>
        <w:sz w:val="16"/>
        <w:szCs w:val="16"/>
      </w:rPr>
      <w:tab/>
      <w:t xml:space="preserve"> del 03/04/2015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fldChar w:fldCharType="begin"/>
    </w:r>
    <w:r>
      <w:rPr>
        <w:sz w:val="16"/>
        <w:szCs w:val="16"/>
      </w:rPr>
      <w:instrText>\page\* ARABIC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1C0" w:rsidRPr="00AB06FB" w:rsidRDefault="00B001C0">
    <w:pPr>
      <w:pStyle w:val="Footer"/>
      <w:rPr>
        <w:sz w:val="16"/>
        <w:szCs w:val="16"/>
      </w:rPr>
    </w:pPr>
    <w:r>
      <w:tab/>
    </w:r>
    <w:r>
      <w:tab/>
    </w:r>
    <w:r w:rsidRPr="00AB06FB">
      <w:rPr>
        <w:rStyle w:val="PageNumber"/>
        <w:sz w:val="16"/>
        <w:szCs w:val="16"/>
      </w:rPr>
      <w:fldChar w:fldCharType="begin"/>
    </w:r>
    <w:r w:rsidRPr="00AB06FB">
      <w:rPr>
        <w:rStyle w:val="PageNumber"/>
        <w:sz w:val="16"/>
        <w:szCs w:val="16"/>
      </w:rPr>
      <w:instrText xml:space="preserve"> PAGE </w:instrText>
    </w:r>
    <w:r w:rsidRPr="00AB06FB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AB06FB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1C0" w:rsidRDefault="00B001C0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001C0" w:rsidRDefault="00B001C0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1C0" w:rsidRDefault="00B001C0" w:rsidP="00394FCC">
    <w:pPr>
      <w:pStyle w:val="Header"/>
      <w:tabs>
        <w:tab w:val="clear" w:pos="4535"/>
        <w:tab w:val="clear" w:pos="9070"/>
        <w:tab w:val="center" w:pos="4819"/>
        <w:tab w:val="right" w:pos="9638"/>
      </w:tabs>
      <w:rPr>
        <w:rFonts w:ascii="Times New Roman" w:hAnsi="Times New Roman" w:cs="Times New Roman"/>
        <w:sz w:val="20"/>
        <w:szCs w:val="20"/>
      </w:rPr>
    </w:pPr>
    <w:r>
      <w:rPr>
        <w:sz w:val="12"/>
        <w:szCs w:val="12"/>
      </w:rPr>
      <w:t>COD. PRATICA: 2015-002-2673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1C0" w:rsidRDefault="00B001C0" w:rsidP="00394FCC">
    <w:pPr>
      <w:widowControl w:val="0"/>
      <w:tabs>
        <w:tab w:val="center" w:pos="4536"/>
        <w:tab w:val="right" w:pos="9072"/>
      </w:tabs>
      <w:jc w:val="both"/>
    </w:pPr>
    <w:r>
      <w:rPr>
        <w:sz w:val="12"/>
        <w:szCs w:val="12"/>
      </w:rPr>
      <w:t>CODPRAT: 2015-002-2673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97E7070"/>
    <w:name w:val="RTF_Num 2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>
    <w:nsid w:val="16C110C9"/>
    <w:multiLevelType w:val="multilevel"/>
    <w:tmpl w:val="1DCECAFE"/>
    <w:name w:val="RTF_Num 22"/>
    <w:lvl w:ilvl="0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">
    <w:nsid w:val="20494C98"/>
    <w:multiLevelType w:val="multilevel"/>
    <w:tmpl w:val="38C075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>
    <w:nsid w:val="286D2210"/>
    <w:multiLevelType w:val="multilevel"/>
    <w:tmpl w:val="D44264C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2"/>
        <w:szCs w:val="22"/>
      </w:rPr>
    </w:lvl>
  </w:abstractNum>
  <w:abstractNum w:abstractNumId="4">
    <w:nsid w:val="2A327E5D"/>
    <w:multiLevelType w:val="multilevel"/>
    <w:tmpl w:val="295E6E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2"/>
        <w:szCs w:val="22"/>
      </w:rPr>
    </w:lvl>
  </w:abstractNum>
  <w:abstractNum w:abstractNumId="5">
    <w:nsid w:val="2A7C1515"/>
    <w:multiLevelType w:val="multilevel"/>
    <w:tmpl w:val="D8FCD6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2"/>
        <w:szCs w:val="22"/>
      </w:rPr>
    </w:lvl>
  </w:abstractNum>
  <w:abstractNum w:abstractNumId="6">
    <w:nsid w:val="3923290F"/>
    <w:multiLevelType w:val="hybridMultilevel"/>
    <w:tmpl w:val="CE80C2C2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553523C3"/>
    <w:multiLevelType w:val="hybridMultilevel"/>
    <w:tmpl w:val="E72620E4"/>
    <w:lvl w:ilvl="0" w:tplc="78E0B7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BA0F3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AAD4F39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9BA0F3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2C49A02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D857BF9"/>
    <w:multiLevelType w:val="multilevel"/>
    <w:tmpl w:val="3D7416B8"/>
    <w:lvl w:ilvl="0">
      <w:start w:val="8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>
    <w:nsid w:val="65E429AB"/>
    <w:multiLevelType w:val="multilevel"/>
    <w:tmpl w:val="8586F5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2"/>
        <w:szCs w:val="22"/>
      </w:rPr>
    </w:lvl>
  </w:abstractNum>
  <w:abstractNum w:abstractNumId="10">
    <w:nsid w:val="70C4565D"/>
    <w:multiLevelType w:val="multilevel"/>
    <w:tmpl w:val="4B2E8712"/>
    <w:name w:val="RTF_Num 222"/>
    <w:lvl w:ilvl="0">
      <w:start w:val="9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1">
    <w:nsid w:val="78B04ECE"/>
    <w:multiLevelType w:val="multilevel"/>
    <w:tmpl w:val="DE1E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10"/>
  </w:num>
  <w:num w:numId="9">
    <w:abstractNumId w:val="8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82"/>
  <w:embedSystemFonts/>
  <w:bordersDoNotSurroundHeader/>
  <w:bordersDoNotSurroundFooter/>
  <w:stylePaneFormatFilter w:val="3F0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D46"/>
    <w:rsid w:val="00032A7D"/>
    <w:rsid w:val="00061E2D"/>
    <w:rsid w:val="00071A6A"/>
    <w:rsid w:val="000C63F6"/>
    <w:rsid w:val="000E4BB3"/>
    <w:rsid w:val="00116D78"/>
    <w:rsid w:val="00165CED"/>
    <w:rsid w:val="001C4200"/>
    <w:rsid w:val="00223F01"/>
    <w:rsid w:val="00257AD2"/>
    <w:rsid w:val="00340900"/>
    <w:rsid w:val="00386985"/>
    <w:rsid w:val="00394FCC"/>
    <w:rsid w:val="003B31E1"/>
    <w:rsid w:val="00401D16"/>
    <w:rsid w:val="00415FCC"/>
    <w:rsid w:val="00442CB4"/>
    <w:rsid w:val="004778AA"/>
    <w:rsid w:val="00484447"/>
    <w:rsid w:val="004A4B2F"/>
    <w:rsid w:val="004D1579"/>
    <w:rsid w:val="004D657E"/>
    <w:rsid w:val="005A74C9"/>
    <w:rsid w:val="005B0901"/>
    <w:rsid w:val="0068217C"/>
    <w:rsid w:val="006D40AD"/>
    <w:rsid w:val="00745AC1"/>
    <w:rsid w:val="00773FD3"/>
    <w:rsid w:val="00782A3F"/>
    <w:rsid w:val="00793D46"/>
    <w:rsid w:val="007A50B5"/>
    <w:rsid w:val="007A6D08"/>
    <w:rsid w:val="007E5CA0"/>
    <w:rsid w:val="00846632"/>
    <w:rsid w:val="00860AA3"/>
    <w:rsid w:val="00864E7A"/>
    <w:rsid w:val="00882D45"/>
    <w:rsid w:val="00886356"/>
    <w:rsid w:val="008E0E29"/>
    <w:rsid w:val="009328F5"/>
    <w:rsid w:val="0099399E"/>
    <w:rsid w:val="00A2184F"/>
    <w:rsid w:val="00A666B0"/>
    <w:rsid w:val="00AB06FB"/>
    <w:rsid w:val="00AE2E98"/>
    <w:rsid w:val="00B001C0"/>
    <w:rsid w:val="00B03ABC"/>
    <w:rsid w:val="00B56F50"/>
    <w:rsid w:val="00B84C3E"/>
    <w:rsid w:val="00BC137C"/>
    <w:rsid w:val="00BF586F"/>
    <w:rsid w:val="00C264C5"/>
    <w:rsid w:val="00CA6BC0"/>
    <w:rsid w:val="00CC7C3F"/>
    <w:rsid w:val="00CD6D37"/>
    <w:rsid w:val="00CF6B70"/>
    <w:rsid w:val="00D8603C"/>
    <w:rsid w:val="00DD3D36"/>
    <w:rsid w:val="00DD798A"/>
    <w:rsid w:val="00DE1922"/>
    <w:rsid w:val="00DE3802"/>
    <w:rsid w:val="00E21610"/>
    <w:rsid w:val="00E74694"/>
    <w:rsid w:val="00ED2337"/>
    <w:rsid w:val="00F64738"/>
    <w:rsid w:val="00FA2C66"/>
    <w:rsid w:val="00FF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666B0"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666B0"/>
    <w:pPr>
      <w:keepNext/>
      <w:autoSpaceDE/>
      <w:autoSpaceDN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666B0"/>
    <w:pPr>
      <w:keepNext/>
      <w:autoSpaceDE/>
      <w:autoSpaceDN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666B0"/>
    <w:pPr>
      <w:keepNext/>
      <w:autoSpaceDE/>
      <w:autoSpaceDN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66B0"/>
    <w:pPr>
      <w:keepNext/>
      <w:widowControl w:val="0"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66B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666B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666B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666B0"/>
    <w:rPr>
      <w:rFonts w:ascii="Calibri" w:hAnsi="Calibri" w:cs="Calibri"/>
      <w:b/>
      <w:bCs/>
      <w:sz w:val="28"/>
      <w:szCs w:val="28"/>
    </w:rPr>
  </w:style>
  <w:style w:type="paragraph" w:customStyle="1" w:styleId="Heading">
    <w:name w:val="Heading"/>
    <w:basedOn w:val="Normal"/>
    <w:next w:val="BodyText"/>
    <w:uiPriority w:val="99"/>
    <w:rsid w:val="00A666B0"/>
    <w:pPr>
      <w:keepNext/>
      <w:widowControl w:val="0"/>
      <w:spacing w:before="240" w:after="120"/>
      <w:jc w:val="both"/>
    </w:pPr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A666B0"/>
    <w:pPr>
      <w:widowControl w:val="0"/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666B0"/>
    <w:rPr>
      <w:rFonts w:ascii="Arial" w:hAnsi="Arial" w:cs="Arial"/>
    </w:rPr>
  </w:style>
  <w:style w:type="paragraph" w:styleId="List">
    <w:name w:val="List"/>
    <w:basedOn w:val="BodyText"/>
    <w:uiPriority w:val="99"/>
    <w:rsid w:val="00A666B0"/>
  </w:style>
  <w:style w:type="paragraph" w:styleId="Caption">
    <w:name w:val="caption"/>
    <w:basedOn w:val="Normal"/>
    <w:uiPriority w:val="99"/>
    <w:qFormat/>
    <w:rsid w:val="00A666B0"/>
    <w:pPr>
      <w:widowControl w:val="0"/>
      <w:spacing w:before="120" w:after="120"/>
      <w:jc w:val="both"/>
    </w:pPr>
    <w:rPr>
      <w:i/>
      <w:iCs/>
    </w:rPr>
  </w:style>
  <w:style w:type="paragraph" w:customStyle="1" w:styleId="Index">
    <w:name w:val="Index"/>
    <w:basedOn w:val="Normal"/>
    <w:uiPriority w:val="99"/>
    <w:rsid w:val="00A666B0"/>
    <w:pPr>
      <w:widowControl w:val="0"/>
      <w:jc w:val="both"/>
    </w:pPr>
  </w:style>
  <w:style w:type="paragraph" w:customStyle="1" w:styleId="Heading30">
    <w:name w:val="Heading3"/>
    <w:basedOn w:val="Normal"/>
    <w:next w:val="BodyText"/>
    <w:uiPriority w:val="99"/>
    <w:rsid w:val="00A666B0"/>
    <w:pPr>
      <w:keepNext/>
      <w:widowControl w:val="0"/>
      <w:spacing w:before="240" w:after="120"/>
      <w:jc w:val="both"/>
    </w:pPr>
    <w:rPr>
      <w:sz w:val="12"/>
      <w:szCs w:val="12"/>
    </w:rPr>
  </w:style>
  <w:style w:type="paragraph" w:customStyle="1" w:styleId="Index3">
    <w:name w:val="Index3"/>
    <w:basedOn w:val="Normal"/>
    <w:uiPriority w:val="99"/>
    <w:rsid w:val="00A666B0"/>
    <w:pPr>
      <w:widowControl w:val="0"/>
      <w:jc w:val="both"/>
    </w:pPr>
  </w:style>
  <w:style w:type="paragraph" w:customStyle="1" w:styleId="Heading20">
    <w:name w:val="Heading2"/>
    <w:basedOn w:val="Normal"/>
    <w:next w:val="BodyText"/>
    <w:uiPriority w:val="99"/>
    <w:rsid w:val="00A666B0"/>
    <w:pPr>
      <w:keepNext/>
      <w:widowControl w:val="0"/>
      <w:spacing w:before="240" w:after="120"/>
      <w:jc w:val="both"/>
    </w:pPr>
    <w:rPr>
      <w:sz w:val="12"/>
      <w:szCs w:val="12"/>
    </w:rPr>
  </w:style>
  <w:style w:type="paragraph" w:customStyle="1" w:styleId="Index2">
    <w:name w:val="Index2"/>
    <w:basedOn w:val="Normal"/>
    <w:uiPriority w:val="99"/>
    <w:rsid w:val="00A666B0"/>
    <w:pPr>
      <w:widowControl w:val="0"/>
      <w:jc w:val="both"/>
    </w:pPr>
  </w:style>
  <w:style w:type="paragraph" w:customStyle="1" w:styleId="Heading10">
    <w:name w:val="Heading1"/>
    <w:basedOn w:val="Normal"/>
    <w:next w:val="BodyText"/>
    <w:uiPriority w:val="99"/>
    <w:rsid w:val="00A666B0"/>
    <w:pPr>
      <w:keepNext/>
      <w:widowControl w:val="0"/>
      <w:spacing w:before="240" w:after="120"/>
      <w:jc w:val="both"/>
    </w:pPr>
    <w:rPr>
      <w:sz w:val="28"/>
      <w:szCs w:val="28"/>
    </w:rPr>
  </w:style>
  <w:style w:type="paragraph" w:customStyle="1" w:styleId="Index1">
    <w:name w:val="Index1"/>
    <w:basedOn w:val="Normal"/>
    <w:uiPriority w:val="99"/>
    <w:rsid w:val="00A666B0"/>
    <w:pPr>
      <w:widowControl w:val="0"/>
      <w:jc w:val="both"/>
    </w:pPr>
  </w:style>
  <w:style w:type="paragraph" w:styleId="Header">
    <w:name w:val="header"/>
    <w:basedOn w:val="Normal"/>
    <w:link w:val="HeaderChar"/>
    <w:uiPriority w:val="99"/>
    <w:rsid w:val="00A666B0"/>
    <w:pPr>
      <w:widowControl w:val="0"/>
      <w:tabs>
        <w:tab w:val="center" w:pos="4535"/>
        <w:tab w:val="right" w:pos="9070"/>
      </w:tabs>
      <w:jc w:val="both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66B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A666B0"/>
    <w:pPr>
      <w:widowControl w:val="0"/>
      <w:tabs>
        <w:tab w:val="center" w:pos="4535"/>
        <w:tab w:val="right" w:pos="9070"/>
      </w:tabs>
      <w:jc w:val="both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66B0"/>
    <w:rPr>
      <w:rFonts w:ascii="Arial" w:hAnsi="Arial" w:cs="Arial"/>
    </w:rPr>
  </w:style>
  <w:style w:type="paragraph" w:styleId="CommentText">
    <w:name w:val="annotation text"/>
    <w:basedOn w:val="Normal"/>
    <w:link w:val="CommentTextChar"/>
    <w:uiPriority w:val="99"/>
    <w:semiHidden/>
    <w:rsid w:val="00A666B0"/>
    <w:pPr>
      <w:widowControl w:val="0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666B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6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666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666B0"/>
    <w:pPr>
      <w:widowControl w:val="0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66B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uiPriority w:val="99"/>
    <w:rsid w:val="00A666B0"/>
    <w:pPr>
      <w:widowControl w:val="0"/>
      <w:jc w:val="both"/>
    </w:pPr>
  </w:style>
  <w:style w:type="paragraph" w:customStyle="1" w:styleId="TableHeading">
    <w:name w:val="Table Heading"/>
    <w:basedOn w:val="TableContents"/>
    <w:uiPriority w:val="99"/>
    <w:rsid w:val="00A666B0"/>
    <w:pPr>
      <w:jc w:val="center"/>
    </w:pPr>
    <w:rPr>
      <w:b/>
      <w:bCs/>
    </w:rPr>
  </w:style>
  <w:style w:type="paragraph" w:customStyle="1" w:styleId="TableContents1">
    <w:name w:val="Table Contents1"/>
    <w:basedOn w:val="Normal"/>
    <w:uiPriority w:val="99"/>
    <w:rsid w:val="00A666B0"/>
    <w:pPr>
      <w:widowControl w:val="0"/>
      <w:jc w:val="both"/>
    </w:pPr>
  </w:style>
  <w:style w:type="paragraph" w:customStyle="1" w:styleId="TableHeading1">
    <w:name w:val="Table Heading1"/>
    <w:basedOn w:val="TableContents1"/>
    <w:uiPriority w:val="99"/>
    <w:rsid w:val="00A666B0"/>
    <w:pPr>
      <w:jc w:val="center"/>
    </w:pPr>
    <w:rPr>
      <w:b/>
      <w:bCs/>
    </w:rPr>
  </w:style>
  <w:style w:type="paragraph" w:customStyle="1" w:styleId="TableContents2">
    <w:name w:val="Table Contents2"/>
    <w:basedOn w:val="Normal"/>
    <w:uiPriority w:val="99"/>
    <w:rsid w:val="00A666B0"/>
    <w:pPr>
      <w:widowControl w:val="0"/>
      <w:jc w:val="both"/>
    </w:pPr>
  </w:style>
  <w:style w:type="paragraph" w:customStyle="1" w:styleId="TableHeading2">
    <w:name w:val="Table Heading2"/>
    <w:basedOn w:val="TableContents2"/>
    <w:uiPriority w:val="99"/>
    <w:rsid w:val="00A666B0"/>
    <w:pPr>
      <w:jc w:val="center"/>
    </w:pPr>
    <w:rPr>
      <w:b/>
      <w:bCs/>
    </w:rPr>
  </w:style>
  <w:style w:type="paragraph" w:customStyle="1" w:styleId="TableContents3">
    <w:name w:val="Table Contents3"/>
    <w:basedOn w:val="Normal"/>
    <w:uiPriority w:val="99"/>
    <w:rsid w:val="00A666B0"/>
    <w:pPr>
      <w:widowControl w:val="0"/>
      <w:jc w:val="both"/>
    </w:pPr>
  </w:style>
  <w:style w:type="paragraph" w:customStyle="1" w:styleId="TableHeading3">
    <w:name w:val="Table Heading3"/>
    <w:basedOn w:val="TableContents3"/>
    <w:uiPriority w:val="99"/>
    <w:rsid w:val="00A666B0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A666B0"/>
    <w:rPr>
      <w:sz w:val="22"/>
    </w:rPr>
  </w:style>
  <w:style w:type="character" w:customStyle="1" w:styleId="RTFNum22">
    <w:name w:val="RTF_Num 2 2"/>
    <w:uiPriority w:val="99"/>
    <w:rsid w:val="00A666B0"/>
    <w:rPr>
      <w:sz w:val="22"/>
    </w:rPr>
  </w:style>
  <w:style w:type="character" w:customStyle="1" w:styleId="RTFNum23">
    <w:name w:val="RTF_Num 2 3"/>
    <w:uiPriority w:val="99"/>
    <w:rsid w:val="00A666B0"/>
    <w:rPr>
      <w:sz w:val="22"/>
    </w:rPr>
  </w:style>
  <w:style w:type="character" w:customStyle="1" w:styleId="RTFNum24">
    <w:name w:val="RTF_Num 2 4"/>
    <w:uiPriority w:val="99"/>
    <w:rsid w:val="00A666B0"/>
    <w:rPr>
      <w:sz w:val="22"/>
    </w:rPr>
  </w:style>
  <w:style w:type="character" w:customStyle="1" w:styleId="RTFNum25">
    <w:name w:val="RTF_Num 2 5"/>
    <w:uiPriority w:val="99"/>
    <w:rsid w:val="00A666B0"/>
    <w:rPr>
      <w:sz w:val="22"/>
    </w:rPr>
  </w:style>
  <w:style w:type="character" w:customStyle="1" w:styleId="RTFNum26">
    <w:name w:val="RTF_Num 2 6"/>
    <w:uiPriority w:val="99"/>
    <w:rsid w:val="00A666B0"/>
    <w:rPr>
      <w:sz w:val="22"/>
    </w:rPr>
  </w:style>
  <w:style w:type="character" w:customStyle="1" w:styleId="RTFNum27">
    <w:name w:val="RTF_Num 2 7"/>
    <w:uiPriority w:val="99"/>
    <w:rsid w:val="00A666B0"/>
    <w:rPr>
      <w:sz w:val="22"/>
    </w:rPr>
  </w:style>
  <w:style w:type="character" w:customStyle="1" w:styleId="RTFNum28">
    <w:name w:val="RTF_Num 2 8"/>
    <w:uiPriority w:val="99"/>
    <w:rsid w:val="00A666B0"/>
    <w:rPr>
      <w:sz w:val="22"/>
    </w:rPr>
  </w:style>
  <w:style w:type="character" w:customStyle="1" w:styleId="RTFNum29">
    <w:name w:val="RTF_Num 2 9"/>
    <w:uiPriority w:val="99"/>
    <w:rsid w:val="00A666B0"/>
    <w:rPr>
      <w:sz w:val="22"/>
    </w:rPr>
  </w:style>
  <w:style w:type="character" w:customStyle="1" w:styleId="RTFNum31">
    <w:name w:val="RTF_Num 3 1"/>
    <w:uiPriority w:val="99"/>
    <w:rsid w:val="00A666B0"/>
    <w:rPr>
      <w:rFonts w:ascii="Symbol" w:hAnsi="Symbol"/>
      <w:sz w:val="22"/>
    </w:rPr>
  </w:style>
  <w:style w:type="character" w:customStyle="1" w:styleId="RTFNum32">
    <w:name w:val="RTF_Num 3 2"/>
    <w:uiPriority w:val="99"/>
    <w:rsid w:val="00A666B0"/>
    <w:rPr>
      <w:sz w:val="22"/>
    </w:rPr>
  </w:style>
  <w:style w:type="character" w:customStyle="1" w:styleId="RTFNum33">
    <w:name w:val="RTF_Num 3 3"/>
    <w:uiPriority w:val="99"/>
    <w:rsid w:val="00A666B0"/>
    <w:rPr>
      <w:sz w:val="22"/>
    </w:rPr>
  </w:style>
  <w:style w:type="character" w:customStyle="1" w:styleId="RTFNum34">
    <w:name w:val="RTF_Num 3 4"/>
    <w:uiPriority w:val="99"/>
    <w:rsid w:val="00A666B0"/>
    <w:rPr>
      <w:sz w:val="22"/>
    </w:rPr>
  </w:style>
  <w:style w:type="character" w:customStyle="1" w:styleId="RTFNum35">
    <w:name w:val="RTF_Num 3 5"/>
    <w:uiPriority w:val="99"/>
    <w:rsid w:val="00A666B0"/>
    <w:rPr>
      <w:sz w:val="22"/>
    </w:rPr>
  </w:style>
  <w:style w:type="character" w:customStyle="1" w:styleId="RTFNum36">
    <w:name w:val="RTF_Num 3 6"/>
    <w:uiPriority w:val="99"/>
    <w:rsid w:val="00A666B0"/>
    <w:rPr>
      <w:sz w:val="22"/>
    </w:rPr>
  </w:style>
  <w:style w:type="character" w:customStyle="1" w:styleId="RTFNum37">
    <w:name w:val="RTF_Num 3 7"/>
    <w:uiPriority w:val="99"/>
    <w:rsid w:val="00A666B0"/>
    <w:rPr>
      <w:sz w:val="22"/>
    </w:rPr>
  </w:style>
  <w:style w:type="character" w:customStyle="1" w:styleId="RTFNum38">
    <w:name w:val="RTF_Num 3 8"/>
    <w:uiPriority w:val="99"/>
    <w:rsid w:val="00A666B0"/>
    <w:rPr>
      <w:sz w:val="22"/>
    </w:rPr>
  </w:style>
  <w:style w:type="character" w:customStyle="1" w:styleId="RTFNum39">
    <w:name w:val="RTF_Num 3 9"/>
    <w:uiPriority w:val="99"/>
    <w:rsid w:val="00A666B0"/>
    <w:rPr>
      <w:sz w:val="22"/>
    </w:rPr>
  </w:style>
  <w:style w:type="character" w:customStyle="1" w:styleId="RTFNum41">
    <w:name w:val="RTF_Num 4 1"/>
    <w:uiPriority w:val="99"/>
    <w:rsid w:val="00A666B0"/>
    <w:rPr>
      <w:sz w:val="22"/>
    </w:rPr>
  </w:style>
  <w:style w:type="character" w:customStyle="1" w:styleId="RTFNum42">
    <w:name w:val="RTF_Num 4 2"/>
    <w:uiPriority w:val="99"/>
    <w:rsid w:val="00A666B0"/>
    <w:rPr>
      <w:sz w:val="22"/>
    </w:rPr>
  </w:style>
  <w:style w:type="character" w:customStyle="1" w:styleId="RTFNum43">
    <w:name w:val="RTF_Num 4 3"/>
    <w:uiPriority w:val="99"/>
    <w:rsid w:val="00A666B0"/>
    <w:rPr>
      <w:sz w:val="22"/>
    </w:rPr>
  </w:style>
  <w:style w:type="character" w:customStyle="1" w:styleId="RTFNum44">
    <w:name w:val="RTF_Num 4 4"/>
    <w:uiPriority w:val="99"/>
    <w:rsid w:val="00A666B0"/>
    <w:rPr>
      <w:sz w:val="22"/>
    </w:rPr>
  </w:style>
  <w:style w:type="character" w:customStyle="1" w:styleId="RTFNum45">
    <w:name w:val="RTF_Num 4 5"/>
    <w:uiPriority w:val="99"/>
    <w:rsid w:val="00A666B0"/>
    <w:rPr>
      <w:sz w:val="22"/>
    </w:rPr>
  </w:style>
  <w:style w:type="character" w:customStyle="1" w:styleId="RTFNum46">
    <w:name w:val="RTF_Num 4 6"/>
    <w:uiPriority w:val="99"/>
    <w:rsid w:val="00A666B0"/>
    <w:rPr>
      <w:sz w:val="22"/>
    </w:rPr>
  </w:style>
  <w:style w:type="character" w:customStyle="1" w:styleId="RTFNum47">
    <w:name w:val="RTF_Num 4 7"/>
    <w:uiPriority w:val="99"/>
    <w:rsid w:val="00A666B0"/>
    <w:rPr>
      <w:sz w:val="22"/>
    </w:rPr>
  </w:style>
  <w:style w:type="character" w:customStyle="1" w:styleId="RTFNum48">
    <w:name w:val="RTF_Num 4 8"/>
    <w:uiPriority w:val="99"/>
    <w:rsid w:val="00A666B0"/>
    <w:rPr>
      <w:sz w:val="22"/>
    </w:rPr>
  </w:style>
  <w:style w:type="character" w:customStyle="1" w:styleId="RTFNum49">
    <w:name w:val="RTF_Num 4 9"/>
    <w:uiPriority w:val="99"/>
    <w:rsid w:val="00A666B0"/>
    <w:rPr>
      <w:sz w:val="22"/>
    </w:rPr>
  </w:style>
  <w:style w:type="character" w:customStyle="1" w:styleId="RTFNum51">
    <w:name w:val="RTF_Num 5 1"/>
    <w:uiPriority w:val="99"/>
    <w:rsid w:val="00A666B0"/>
    <w:rPr>
      <w:rFonts w:ascii="Arial" w:hAnsi="Arial"/>
      <w:sz w:val="22"/>
    </w:rPr>
  </w:style>
  <w:style w:type="character" w:customStyle="1" w:styleId="RTFNum52">
    <w:name w:val="RTF_Num 5 2"/>
    <w:uiPriority w:val="99"/>
    <w:rsid w:val="00A666B0"/>
    <w:rPr>
      <w:sz w:val="22"/>
    </w:rPr>
  </w:style>
  <w:style w:type="character" w:customStyle="1" w:styleId="RTFNum53">
    <w:name w:val="RTF_Num 5 3"/>
    <w:uiPriority w:val="99"/>
    <w:rsid w:val="00A666B0"/>
    <w:rPr>
      <w:sz w:val="22"/>
    </w:rPr>
  </w:style>
  <w:style w:type="character" w:customStyle="1" w:styleId="RTFNum54">
    <w:name w:val="RTF_Num 5 4"/>
    <w:uiPriority w:val="99"/>
    <w:rsid w:val="00A666B0"/>
    <w:rPr>
      <w:sz w:val="22"/>
    </w:rPr>
  </w:style>
  <w:style w:type="character" w:customStyle="1" w:styleId="RTFNum55">
    <w:name w:val="RTF_Num 5 5"/>
    <w:uiPriority w:val="99"/>
    <w:rsid w:val="00A666B0"/>
    <w:rPr>
      <w:sz w:val="22"/>
    </w:rPr>
  </w:style>
  <w:style w:type="character" w:customStyle="1" w:styleId="RTFNum56">
    <w:name w:val="RTF_Num 5 6"/>
    <w:uiPriority w:val="99"/>
    <w:rsid w:val="00A666B0"/>
    <w:rPr>
      <w:sz w:val="22"/>
    </w:rPr>
  </w:style>
  <w:style w:type="character" w:customStyle="1" w:styleId="RTFNum57">
    <w:name w:val="RTF_Num 5 7"/>
    <w:uiPriority w:val="99"/>
    <w:rsid w:val="00A666B0"/>
    <w:rPr>
      <w:sz w:val="22"/>
    </w:rPr>
  </w:style>
  <w:style w:type="character" w:customStyle="1" w:styleId="RTFNum58">
    <w:name w:val="RTF_Num 5 8"/>
    <w:uiPriority w:val="99"/>
    <w:rsid w:val="00A666B0"/>
    <w:rPr>
      <w:sz w:val="22"/>
    </w:rPr>
  </w:style>
  <w:style w:type="character" w:customStyle="1" w:styleId="RTFNum59">
    <w:name w:val="RTF_Num 5 9"/>
    <w:uiPriority w:val="99"/>
    <w:rsid w:val="00A666B0"/>
    <w:rPr>
      <w:sz w:val="22"/>
    </w:rPr>
  </w:style>
  <w:style w:type="character" w:customStyle="1" w:styleId="RTFNum61">
    <w:name w:val="RTF_Num 6 1"/>
    <w:uiPriority w:val="99"/>
    <w:rsid w:val="00A666B0"/>
    <w:rPr>
      <w:sz w:val="22"/>
    </w:rPr>
  </w:style>
  <w:style w:type="character" w:customStyle="1" w:styleId="RTFNum62">
    <w:name w:val="RTF_Num 6 2"/>
    <w:uiPriority w:val="99"/>
    <w:rsid w:val="00A666B0"/>
    <w:rPr>
      <w:sz w:val="22"/>
    </w:rPr>
  </w:style>
  <w:style w:type="character" w:customStyle="1" w:styleId="RTFNum63">
    <w:name w:val="RTF_Num 6 3"/>
    <w:uiPriority w:val="99"/>
    <w:rsid w:val="00A666B0"/>
    <w:rPr>
      <w:sz w:val="22"/>
    </w:rPr>
  </w:style>
  <w:style w:type="character" w:customStyle="1" w:styleId="RTFNum64">
    <w:name w:val="RTF_Num 6 4"/>
    <w:uiPriority w:val="99"/>
    <w:rsid w:val="00A666B0"/>
    <w:rPr>
      <w:sz w:val="22"/>
    </w:rPr>
  </w:style>
  <w:style w:type="character" w:customStyle="1" w:styleId="RTFNum65">
    <w:name w:val="RTF_Num 6 5"/>
    <w:uiPriority w:val="99"/>
    <w:rsid w:val="00A666B0"/>
    <w:rPr>
      <w:sz w:val="22"/>
    </w:rPr>
  </w:style>
  <w:style w:type="character" w:customStyle="1" w:styleId="RTFNum66">
    <w:name w:val="RTF_Num 6 6"/>
    <w:uiPriority w:val="99"/>
    <w:rsid w:val="00A666B0"/>
    <w:rPr>
      <w:sz w:val="22"/>
    </w:rPr>
  </w:style>
  <w:style w:type="character" w:customStyle="1" w:styleId="RTFNum67">
    <w:name w:val="RTF_Num 6 7"/>
    <w:uiPriority w:val="99"/>
    <w:rsid w:val="00A666B0"/>
    <w:rPr>
      <w:sz w:val="22"/>
    </w:rPr>
  </w:style>
  <w:style w:type="character" w:customStyle="1" w:styleId="RTFNum68">
    <w:name w:val="RTF_Num 6 8"/>
    <w:uiPriority w:val="99"/>
    <w:rsid w:val="00A666B0"/>
    <w:rPr>
      <w:sz w:val="22"/>
    </w:rPr>
  </w:style>
  <w:style w:type="character" w:customStyle="1" w:styleId="RTFNum69">
    <w:name w:val="RTF_Num 6 9"/>
    <w:uiPriority w:val="99"/>
    <w:rsid w:val="00A666B0"/>
    <w:rPr>
      <w:sz w:val="22"/>
    </w:rPr>
  </w:style>
  <w:style w:type="character" w:styleId="PageNumber">
    <w:name w:val="page number"/>
    <w:basedOn w:val="DefaultParagraphFont"/>
    <w:uiPriority w:val="99"/>
    <w:rsid w:val="00A666B0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A666B0"/>
    <w:rPr>
      <w:rFonts w:ascii="Times New Roman" w:hAnsi="Times New Roman" w:cs="Times New Roman"/>
      <w:sz w:val="16"/>
      <w:szCs w:val="16"/>
    </w:rPr>
  </w:style>
  <w:style w:type="paragraph" w:customStyle="1" w:styleId="TableHeading21">
    <w:name w:val="Table Heading21"/>
    <w:basedOn w:val="TableContents2"/>
    <w:next w:val="TableHeading2"/>
    <w:uiPriority w:val="99"/>
    <w:rsid w:val="00A666B0"/>
    <w:pPr>
      <w:jc w:val="center"/>
    </w:pPr>
    <w:rPr>
      <w:b/>
      <w:bCs/>
    </w:rPr>
  </w:style>
  <w:style w:type="paragraph" w:customStyle="1" w:styleId="TableContents31">
    <w:name w:val="Table Contents31"/>
    <w:basedOn w:val="Normal"/>
    <w:next w:val="TableContents3"/>
    <w:uiPriority w:val="99"/>
    <w:rsid w:val="00A666B0"/>
    <w:pPr>
      <w:widowControl w:val="0"/>
      <w:jc w:val="both"/>
    </w:pPr>
  </w:style>
  <w:style w:type="paragraph" w:customStyle="1" w:styleId="TableHeading31">
    <w:name w:val="Table Heading31"/>
    <w:basedOn w:val="TableContents3"/>
    <w:next w:val="TableHeading3"/>
    <w:uiPriority w:val="99"/>
    <w:rsid w:val="00A666B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96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1094</Words>
  <Characters>6241</Characters>
  <Application>Microsoft Office Outlook</Application>
  <DocSecurity>0</DocSecurity>
  <Lines>0</Lines>
  <Paragraphs>0</Paragraphs>
  <ScaleCrop>false</ScaleCrop>
  <Company>Regione Umbria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_Regione UmbriaGiunta Regionale____DIREZIONE REGIONALE RISORSA UMBRIA. FEDERALISMO, RISORSE FINANZIARIE E STRUMENTALI__Servizio Politiche per l'innovazione, la promozione e fitosanitarie__DETERMINAZIONE DIRIGENZIALEN. 2027  DEL  03/04/2015OG</dc:title>
  <dc:subject/>
  <dc:creator>Petesse</dc:creator>
  <cp:keywords/>
  <dc:description/>
  <cp:lastModifiedBy>Eliana Consolani</cp:lastModifiedBy>
  <cp:revision>2</cp:revision>
  <cp:lastPrinted>2010-02-24T12:25:00Z</cp:lastPrinted>
  <dcterms:created xsi:type="dcterms:W3CDTF">2015-04-16T09:06:00Z</dcterms:created>
  <dcterms:modified xsi:type="dcterms:W3CDTF">2015-04-16T09:06:00Z</dcterms:modified>
</cp:coreProperties>
</file>