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D5" w:rsidRPr="007C2BD5" w:rsidRDefault="007C2BD5" w:rsidP="007C2BD5">
      <w:pPr>
        <w:shd w:val="clear" w:color="auto" w:fill="FFFFFF"/>
        <w:spacing w:after="0" w:line="240" w:lineRule="auto"/>
        <w:ind w:left="567"/>
        <w:jc w:val="center"/>
        <w:rPr>
          <w:rFonts w:ascii="Titillium Web" w:eastAsia="Times New Roman" w:hAnsi="Titillium Web" w:cs="Arial"/>
          <w:b/>
          <w:sz w:val="28"/>
          <w:szCs w:val="28"/>
          <w:lang w:eastAsia="it-IT"/>
        </w:rPr>
      </w:pPr>
      <w:r w:rsidRPr="007C2BD5">
        <w:rPr>
          <w:rFonts w:ascii="Titillium Web" w:eastAsia="Times New Roman" w:hAnsi="Titillium Web" w:cs="Arial"/>
          <w:b/>
          <w:sz w:val="28"/>
          <w:szCs w:val="28"/>
          <w:lang w:eastAsia="it-IT"/>
        </w:rPr>
        <w:t>CAMPAGNA DI COMUNICAZIONE “UMBRIA NO SLOT”</w:t>
      </w:r>
    </w:p>
    <w:p w:rsidR="007C2BD5" w:rsidRPr="00E247DD" w:rsidRDefault="007C2BD5" w:rsidP="007C2BD5">
      <w:pPr>
        <w:shd w:val="clear" w:color="auto" w:fill="FFFFFF"/>
        <w:spacing w:after="0" w:line="240" w:lineRule="auto"/>
        <w:ind w:left="567"/>
        <w:rPr>
          <w:rFonts w:ascii="Titillium Web" w:eastAsia="Times New Roman" w:hAnsi="Titillium Web" w:cs="Arial"/>
          <w:sz w:val="24"/>
          <w:szCs w:val="24"/>
          <w:lang w:eastAsia="it-IT"/>
        </w:rPr>
      </w:pPr>
    </w:p>
    <w:p w:rsidR="007C2BD5" w:rsidRDefault="007C2BD5" w:rsidP="007C2BD5">
      <w:p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</w:p>
    <w:p w:rsidR="007C2BD5" w:rsidRPr="00E247DD" w:rsidRDefault="007C2BD5" w:rsidP="007C2BD5">
      <w:p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La campagna è il frutto di un “concorso di idee”, al quale hanno partecipato circa 150 creativi in tutta Italia. Punta su</w:t>
      </w:r>
      <w:bookmarkStart w:id="0" w:name="_GoBack"/>
      <w:bookmarkEnd w:id="0"/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lla qualità grafica dell'immagine e sulla trasversalità del messaggio, è declinata attraverso layout e video con proposte diverse. È rivolta a un 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>target molto ampio, dai 15 ai 74 anni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, utilizzando tutti i principali mezzi di comunicazione, con un'azione capillare che unisce un approccio tradizionale all'innovatività del web.</w:t>
      </w:r>
    </w:p>
    <w:p w:rsidR="007C2BD5" w:rsidRPr="00E247DD" w:rsidRDefault="007C2BD5" w:rsidP="007C2BD5">
      <w:pPr>
        <w:shd w:val="clear" w:color="auto" w:fill="FFFFFF"/>
        <w:spacing w:before="100" w:beforeAutospacing="1" w:after="24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>Sei i temi utilizzati per dire no al gioco d'azzardo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, declinati tra giovani e adulti, attraverso un linguaggio semplice, diretto e positivo. Ai ragazzi l'invito a non "farsi fregare" e a compiere una scelta importante, quella di "essere liberi”, attraverso i seguenti slogan: 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 xml:space="preserve">"Il gioco d'azzardo ti incatena? Scegli di essere libero" 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e ancora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 xml:space="preserve"> "Il gioco d'azzardo ti ingabbia? Scegli di essere libero". 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Per il pubblico over 35 si punta, invece, sul senso della perdita legato agli aspetti più significativi della vita di ciascuno, come la famiglia, l'amore per i figli, l'amicizia. Si parte dalla domanda "Giochi d'azzardo?" per rispondere in vari modi: 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 xml:space="preserve">"Hai perso… un momento magico con i tuoi figli", 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oppure 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>"un pomeriggio al parco con i tuoi figli"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,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 xml:space="preserve"> "le tue amicizie più care"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 o ancora </w:t>
      </w:r>
      <w:r w:rsidRPr="00E247DD">
        <w:rPr>
          <w:rFonts w:ascii="Titillium Web" w:eastAsia="Times New Roman" w:hAnsi="Titillium Web" w:cs="Arial"/>
          <w:b/>
          <w:bCs/>
          <w:sz w:val="24"/>
          <w:szCs w:val="24"/>
          <w:lang w:eastAsia="it-IT"/>
        </w:rPr>
        <w:t>"una passeggiata con un amico fedele"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.</w:t>
      </w:r>
    </w:p>
    <w:p w:rsidR="007C2BD5" w:rsidRPr="00E247DD" w:rsidRDefault="007C2BD5" w:rsidP="007C2BD5">
      <w:p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La campagna </w:t>
      </w:r>
      <w:r w:rsidRPr="00E247DD">
        <w:rPr>
          <w:rFonts w:ascii="Titillium Web" w:eastAsia="Times New Roman" w:hAnsi="Titillium Web" w:cs="Arial"/>
          <w:b/>
          <w:sz w:val="24"/>
          <w:szCs w:val="24"/>
          <w:lang w:eastAsia="it-IT"/>
        </w:rPr>
        <w:t xml:space="preserve">Umbria No Slot </w:t>
      </w: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prevede inoltre la diffusione capillare di materiali informativi destinati a vari target:</w:t>
      </w:r>
    </w:p>
    <w:p w:rsidR="007C2BD5" w:rsidRPr="00E247DD" w:rsidRDefault="007C2BD5" w:rsidP="007C2BD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Locandine e </w:t>
      </w:r>
      <w:proofErr w:type="spellStart"/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depliant</w:t>
      </w:r>
      <w:proofErr w:type="spellEnd"/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 informativi rivolti a tutti i cittadini e diffusi nelle farmacie, ambulatori, servizi sanitari e sociali, ecc.,</w:t>
      </w:r>
    </w:p>
    <w:p w:rsidR="007C2BD5" w:rsidRPr="00E247DD" w:rsidRDefault="007C2BD5" w:rsidP="007C2BD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proofErr w:type="spellStart"/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Depliant</w:t>
      </w:r>
      <w:proofErr w:type="spellEnd"/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 xml:space="preserve"> informativi rivolti ai gestori degli esercizi con offerta di giochi d’azzardo,</w:t>
      </w:r>
    </w:p>
    <w:p w:rsidR="007C2BD5" w:rsidRPr="00E247DD" w:rsidRDefault="007C2BD5" w:rsidP="007C2BD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tillium Web" w:eastAsia="Times New Roman" w:hAnsi="Titillium Web" w:cs="Arial"/>
          <w:sz w:val="24"/>
          <w:szCs w:val="24"/>
          <w:lang w:eastAsia="it-IT"/>
        </w:rPr>
      </w:pPr>
      <w:r w:rsidRPr="00E247DD">
        <w:rPr>
          <w:rFonts w:ascii="Titillium Web" w:eastAsia="Times New Roman" w:hAnsi="Titillium Web" w:cs="Arial"/>
          <w:sz w:val="24"/>
          <w:szCs w:val="24"/>
          <w:lang w:eastAsia="it-IT"/>
        </w:rPr>
        <w:t>Locandine rivolte ai giocatori, per l’esposizione obbligatoria disposta dalle normative nazionali e rinforzata dalla legge regionale n. 21/2014, negli esercizi con offerta di giochi d’azzardo.</w:t>
      </w:r>
    </w:p>
    <w:p w:rsidR="007C2BD5" w:rsidRDefault="007C2BD5" w:rsidP="007C2BD5">
      <w:pPr>
        <w:shd w:val="clear" w:color="auto" w:fill="FFFFFF"/>
        <w:spacing w:before="100" w:beforeAutospacing="1" w:after="0" w:line="240" w:lineRule="auto"/>
        <w:rPr>
          <w:rFonts w:ascii="Titillium Web" w:eastAsia="Times New Roman" w:hAnsi="Titillium Web" w:cs="Arial"/>
          <w:b/>
          <w:color w:val="FF0000"/>
          <w:sz w:val="20"/>
          <w:szCs w:val="20"/>
          <w:lang w:eastAsia="it-IT"/>
        </w:rPr>
      </w:pPr>
    </w:p>
    <w:p w:rsidR="0067368C" w:rsidRDefault="0067368C"/>
    <w:sectPr w:rsidR="00673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 We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2FDB"/>
    <w:multiLevelType w:val="hybridMultilevel"/>
    <w:tmpl w:val="549C58FC"/>
    <w:lvl w:ilvl="0" w:tplc="BFB299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5"/>
    <w:rsid w:val="00502116"/>
    <w:rsid w:val="0067368C"/>
    <w:rsid w:val="007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A5B0"/>
  <w15:chartTrackingRefBased/>
  <w15:docId w15:val="{479916EF-B581-4619-8B94-4FE2DF23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2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Moliterni</dc:creator>
  <cp:keywords/>
  <dc:description/>
  <cp:lastModifiedBy>Giuseppina Moliterni</cp:lastModifiedBy>
  <cp:revision>2</cp:revision>
  <dcterms:created xsi:type="dcterms:W3CDTF">2018-08-31T08:16:00Z</dcterms:created>
  <dcterms:modified xsi:type="dcterms:W3CDTF">2018-08-31T08:16:00Z</dcterms:modified>
</cp:coreProperties>
</file>